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DYCOM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27305</wp:posOffset>
            </wp:positionV>
            <wp:extent cx="4371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40" w:type="dxa"/>
        <w:tblCellMar>
          <w:top w:w="0" w:type="dxa"/>
          <w:left w:w="0" w:type="dxa"/>
          <w:bottom w:w="0" w:type="dxa"/>
          <w:right w:w="0" w:type="dxa"/>
        </w:tblCellMar>
      </w:tblPr>
      <w:tr>
        <w:trPr>
          <w:trHeight w:val="245"/>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3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001-10613</w:t>
            </w:r>
          </w:p>
        </w:tc>
        <w:tc>
          <w:tcPr>
            <w:tcW w:w="620" w:type="dxa"/>
            <w:vAlign w:val="bottom"/>
          </w:tcPr>
          <w:p>
            <w:pPr>
              <w:spacing w:after="0"/>
              <w:rPr>
                <w:sz w:val="21"/>
                <w:szCs w:val="21"/>
                <w:color w:val="auto"/>
              </w:rPr>
            </w:pPr>
          </w:p>
        </w:tc>
        <w:tc>
          <w:tcPr>
            <w:tcW w:w="44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59-1277135</w:t>
            </w:r>
          </w:p>
        </w:tc>
      </w:tr>
      <w:tr>
        <w:trPr>
          <w:trHeight w:val="234"/>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2920" w:type="dxa"/>
            <w:vAlign w:val="bottom"/>
            <w:tcBorders>
              <w:top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6"/>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300 Banyan Blvd., Suite 1101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8"/>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West Palm Beach,</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FL</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33401</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0</wp:posOffset>
            </wp:positionV>
            <wp:extent cx="2254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w:t>
      </w:r>
    </w:p>
    <w:p>
      <w:pPr>
        <w:jc w:val="center"/>
        <w:spacing w:after="0"/>
        <w:rPr>
          <w:sz w:val="20"/>
          <w:szCs w:val="20"/>
          <w:color w:val="auto"/>
        </w:rPr>
      </w:pPr>
      <w:r>
        <w:rPr>
          <w:rFonts w:ascii="Times New Roman" w:cs="Times New Roman" w:eastAsia="Times New Roman" w:hAnsi="Times New Roman"/>
          <w:sz w:val="18"/>
          <w:szCs w:val="18"/>
          <w:color w:val="auto"/>
        </w:rPr>
        <w:t>Code)</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627-7171</w:t>
      </w:r>
    </w:p>
    <w:p>
      <w:pPr>
        <w:spacing w:after="0" w:line="200" w:lineRule="exact"/>
        <w:rPr>
          <w:sz w:val="24"/>
          <w:szCs w:val="24"/>
          <w:color w:val="auto"/>
        </w:rPr>
      </w:pPr>
    </w:p>
    <w:p>
      <w:pPr>
        <w:spacing w:after="0" w:line="259"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20" w:firstLine="8"/>
        <w:spacing w:after="0" w:line="407"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$0.33 1/3 per share</w:t>
            </w:r>
          </w:p>
        </w:tc>
        <w:tc>
          <w:tcPr>
            <w:tcW w:w="8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DY</w:t>
            </w:r>
          </w:p>
        </w:tc>
        <w:tc>
          <w:tcPr>
            <w:tcW w:w="10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4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111125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59690</wp:posOffset>
            </wp:positionV>
            <wp:extent cx="711517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63238"/>
        </w:rPr>
        <w:t>In accordance with the Board Tenure and Mandatory Retirement Policy of Dycom Industries, Inc. (the “Company”), Ms. Laurie J. Thomsen did not stand for election at the 2026 Annual Meeting of Shareholders held on May 28, 2026 (the “2026 Annual Meeting”) and retired from the Board effective at the conclusion of the 2026 Annual Meeting. Mr. Luis Avila-Marco, whose term expired at the Company’s 2026 Annual Meeting, notified the Board on December 18, 2025 that he had decided not to stand for reelection at the 2026 Annual Meeting and would retire from the Board, also effective at the conclusion of the 2026 Annual Meeting. Accordingly, at the conclusion of the 2026 Annual Meeting, Ms. Thomsen’s and Mr. Avila-Marco’s retirements became effective and the size of the Board was reduced from eleven members to nine members. Ms. Thomsen’s and Mr. Avila-Marco’s retirement from the Board was not the result of any disagreement with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400"/>
        <w:spacing w:after="0" w:line="320" w:lineRule="auto"/>
        <w:rPr>
          <w:sz w:val="20"/>
          <w:szCs w:val="20"/>
          <w:color w:val="auto"/>
        </w:rPr>
      </w:pPr>
      <w:r>
        <w:rPr>
          <w:rFonts w:ascii="Times New Roman" w:cs="Times New Roman" w:eastAsia="Times New Roman" w:hAnsi="Times New Roman"/>
          <w:sz w:val="17"/>
          <w:szCs w:val="17"/>
          <w:color w:val="auto"/>
        </w:rPr>
        <w:t>At the 2026 Annual Meeting, three proposals were voted upon by the Company’s shareholders. The proposals are described in detail in the Company's definitive Proxy Statement for the 2026 Annual Meeting filed on April 16, 2026. At the 2026 Annual Meeting, the Company’s shareholders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right="140" w:hanging="328"/>
        <w:spacing w:after="0" w:line="266"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elected each of Phillip R. Gallagher, Stephen O. LeClair and Peter T. Pruitt, Jr. to serve as directors until the Company's 2029 Annual Meeting of Shareholders and elected Raejeanne Skillern to serve as a director until the Company's 2027 Annual Meeting of Shareholders;</w:t>
      </w:r>
    </w:p>
    <w:p>
      <w:pPr>
        <w:spacing w:after="0" w:line="20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Company’s executive compensation;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ratified the appointment of PricewaterhouseCoopers LLP as the Company’s independent auditor for fiscal 2027.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voting results for each matter submitted to a vote: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10"/>
        </w:trPr>
        <w:tc>
          <w:tcPr>
            <w:tcW w:w="1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8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5"/>
        </w:trPr>
        <w:tc>
          <w:tcPr>
            <w:tcW w:w="29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Phillip R. Gallagher</w:t>
            </w:r>
          </w:p>
        </w:tc>
        <w:tc>
          <w:tcPr>
            <w:tcW w:w="25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25,008,288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80,822</w:t>
            </w:r>
          </w:p>
        </w:tc>
        <w:tc>
          <w:tcPr>
            <w:tcW w:w="620" w:type="dxa"/>
            <w:vAlign w:val="bottom"/>
          </w:tcPr>
          <w:p>
            <w:pPr>
              <w:spacing w:after="0"/>
              <w:rPr>
                <w:sz w:val="21"/>
                <w:szCs w:val="21"/>
                <w:color w:val="auto"/>
              </w:rPr>
            </w:pPr>
          </w:p>
        </w:tc>
        <w:tc>
          <w:tcPr>
            <w:tcW w:w="1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14,940</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1,823,944</w:t>
            </w:r>
          </w:p>
        </w:tc>
      </w:tr>
      <w:tr>
        <w:trPr>
          <w:trHeight w:val="229"/>
        </w:trPr>
        <w:tc>
          <w:tcPr>
            <w:tcW w:w="29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Stephen O. LeClair</w:t>
            </w:r>
          </w:p>
        </w:tc>
        <w:tc>
          <w:tcPr>
            <w:tcW w:w="25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25,007,163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81,913</w:t>
            </w:r>
          </w:p>
        </w:tc>
        <w:tc>
          <w:tcPr>
            <w:tcW w:w="620" w:type="dxa"/>
            <w:vAlign w:val="bottom"/>
          </w:tcPr>
          <w:p>
            <w:pPr>
              <w:spacing w:after="0"/>
              <w:rPr>
                <w:sz w:val="19"/>
                <w:szCs w:val="19"/>
                <w:color w:val="auto"/>
              </w:rPr>
            </w:pPr>
          </w:p>
        </w:tc>
        <w:tc>
          <w:tcPr>
            <w:tcW w:w="1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14,974</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1,823,944</w:t>
            </w:r>
          </w:p>
        </w:tc>
      </w:tr>
      <w:tr>
        <w:trPr>
          <w:trHeight w:val="230"/>
        </w:trPr>
        <w:tc>
          <w:tcPr>
            <w:tcW w:w="29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Peter T. Pruitt, Jr.</w:t>
            </w:r>
          </w:p>
        </w:tc>
        <w:tc>
          <w:tcPr>
            <w:tcW w:w="25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24,306,772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782,014</w:t>
            </w:r>
          </w:p>
        </w:tc>
        <w:tc>
          <w:tcPr>
            <w:tcW w:w="620" w:type="dxa"/>
            <w:vAlign w:val="bottom"/>
          </w:tcPr>
          <w:p>
            <w:pPr>
              <w:spacing w:after="0"/>
              <w:rPr>
                <w:sz w:val="19"/>
                <w:szCs w:val="19"/>
                <w:color w:val="auto"/>
              </w:rPr>
            </w:pPr>
          </w:p>
        </w:tc>
        <w:tc>
          <w:tcPr>
            <w:tcW w:w="1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15,264</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1,823,944</w:t>
            </w:r>
          </w:p>
        </w:tc>
      </w:tr>
      <w:tr>
        <w:trPr>
          <w:trHeight w:val="234"/>
        </w:trPr>
        <w:tc>
          <w:tcPr>
            <w:tcW w:w="29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Raejeanne Skillern</w:t>
            </w:r>
          </w:p>
        </w:tc>
        <w:tc>
          <w:tcPr>
            <w:tcW w:w="25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25,044,321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45,644</w:t>
            </w:r>
          </w:p>
        </w:tc>
        <w:tc>
          <w:tcPr>
            <w:tcW w:w="620" w:type="dxa"/>
            <w:vAlign w:val="bottom"/>
          </w:tcPr>
          <w:p>
            <w:pPr>
              <w:spacing w:after="0"/>
              <w:rPr>
                <w:sz w:val="20"/>
                <w:szCs w:val="20"/>
                <w:color w:val="auto"/>
              </w:rPr>
            </w:pPr>
          </w:p>
        </w:tc>
        <w:tc>
          <w:tcPr>
            <w:tcW w:w="1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14,085</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1,823,944</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Proposal 2. Approval, by non-binding advisory vote, of the compensation of the Company’s named executive officers:</w:t>
            </w:r>
          </w:p>
        </w:tc>
        <w:tc>
          <w:tcPr>
            <w:tcW w:w="1400" w:type="dxa"/>
            <w:vAlign w:val="bottom"/>
          </w:tcPr>
          <w:p>
            <w:pPr>
              <w:spacing w:after="0"/>
              <w:rPr>
                <w:sz w:val="20"/>
                <w:szCs w:val="20"/>
                <w:color w:val="auto"/>
              </w:rPr>
            </w:pPr>
          </w:p>
        </w:tc>
      </w:tr>
      <w:tr>
        <w:trPr>
          <w:trHeight w:val="310"/>
        </w:trPr>
        <w:tc>
          <w:tcPr>
            <w:tcW w:w="10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960" w:type="dxa"/>
            <w:vAlign w:val="bottom"/>
          </w:tcPr>
          <w:p>
            <w:pPr>
              <w:spacing w:after="0"/>
              <w:rPr>
                <w:sz w:val="24"/>
                <w:szCs w:val="24"/>
                <w:color w:val="auto"/>
              </w:rPr>
            </w:pPr>
          </w:p>
        </w:tc>
        <w:tc>
          <w:tcPr>
            <w:tcW w:w="24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50"/>
        </w:trPr>
        <w:tc>
          <w:tcPr>
            <w:tcW w:w="27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24,341,198</w:t>
            </w: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743,277</w:t>
            </w:r>
          </w:p>
        </w:tc>
        <w:tc>
          <w:tcPr>
            <w:tcW w:w="1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80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1,823,944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Ratification of the appointment of PricewaterhouseCoopers LLP as the Company’s independent auditor for fiscal 2027: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172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4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27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26,812,913</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100,053</w:t>
            </w:r>
          </w:p>
        </w:tc>
        <w:tc>
          <w:tcPr>
            <w:tcW w:w="100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15,028</w:t>
            </w:r>
          </w:p>
        </w:tc>
        <w:tc>
          <w:tcPr>
            <w:tcW w:w="1820" w:type="dxa"/>
            <w:vAlign w:val="bottom"/>
          </w:tcPr>
          <w:p>
            <w:pPr>
              <w:spacing w:after="0"/>
              <w:rPr>
                <w:sz w:val="21"/>
                <w:szCs w:val="21"/>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r>
      <w:tr>
        <w:trPr>
          <w:trHeight w:val="2288"/>
        </w:trPr>
        <w:tc>
          <w:tcPr>
            <w:tcW w:w="1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DYCOM INDUSTRIES, INC.</w:t>
      </w: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tbl>
      <w:tblPr>
        <w:tblLayout w:type="fixed"/>
        <w:tblInd w:w="5540" w:type="dxa"/>
        <w:tblCellMar>
          <w:top w:w="0" w:type="dxa"/>
          <w:left w:w="0" w:type="dxa"/>
          <w:bottom w:w="0" w:type="dxa"/>
          <w:right w:w="0" w:type="dxa"/>
        </w:tblCellMar>
      </w:tblPr>
      <w:tr>
        <w:trPr>
          <w:trHeight w:val="25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F. Urness</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F. Urness</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2026-06-01T07:06:25Z</dcterms:created>
  <dcterms:modified xsi:type="dcterms:W3CDTF">2026-06-01T07:06:25Z</dcterms:modified>
</cp:coreProperties>
</file>