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30"/>
          <w:szCs w:val="130"/>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20</w:t>
      </w:r>
      <w:r>
        <w:rPr>
          <w:rFonts w:ascii="Arial" w:cs="Arial" w:eastAsia="Arial" w:hAnsi="Arial"/>
          <w:sz w:val="130"/>
          <w:szCs w:val="130"/>
          <w:b w:val="1"/>
          <w:bCs w:val="1"/>
          <w:color w:val="74B500"/>
        </w:rPr>
        <w:t>25</w:t>
      </w:r>
    </w:p>
    <w:p>
      <w:pPr>
        <w:jc w:val="right"/>
        <w:spacing w:after="0"/>
        <w:rPr>
          <w:sz w:val="20"/>
          <w:szCs w:val="20"/>
          <w:color w:val="auto"/>
        </w:rPr>
      </w:pPr>
      <w:r>
        <w:rPr>
          <w:rFonts w:ascii="Arial" w:cs="Arial" w:eastAsia="Arial" w:hAnsi="Arial"/>
          <w:sz w:val="35"/>
          <w:szCs w:val="35"/>
          <w:b w:val="1"/>
          <w:bCs w:val="1"/>
          <w:color w:val="74B500"/>
        </w:rPr>
        <w:t xml:space="preserve">ANNUAL </w:t>
      </w:r>
      <w:r>
        <w:rPr>
          <w:rFonts w:ascii="Arial" w:cs="Arial" w:eastAsia="Arial" w:hAnsi="Arial"/>
          <w:sz w:val="35"/>
          <w:szCs w:val="35"/>
          <w:b w:val="1"/>
          <w:bCs w:val="1"/>
          <w:color w:val="FFFFFF"/>
        </w:rPr>
        <w:t>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left="6220"/>
        <w:spacing w:after="0"/>
        <w:rPr>
          <w:sz w:val="20"/>
          <w:szCs w:val="20"/>
          <w:color w:val="auto"/>
        </w:rPr>
      </w:pPr>
      <w:r>
        <w:rPr>
          <w:rFonts w:ascii="Arial" w:cs="Arial" w:eastAsia="Arial" w:hAnsi="Arial"/>
          <w:sz w:val="38"/>
          <w:szCs w:val="38"/>
          <w:b w:val="1"/>
          <w:bCs w:val="1"/>
          <w:color w:val="FFFFFF"/>
        </w:rPr>
        <w:t>THE PEOPLE</w:t>
      </w:r>
    </w:p>
    <w:p>
      <w:pPr>
        <w:ind w:left="6000"/>
        <w:spacing w:after="0" w:line="208" w:lineRule="auto"/>
        <w:rPr>
          <w:sz w:val="20"/>
          <w:szCs w:val="20"/>
          <w:color w:val="auto"/>
        </w:rPr>
      </w:pPr>
      <w:r>
        <w:rPr>
          <w:rFonts w:ascii="Arial" w:cs="Arial" w:eastAsia="Arial" w:hAnsi="Arial"/>
          <w:sz w:val="38"/>
          <w:szCs w:val="38"/>
          <w:b w:val="1"/>
          <w:bCs w:val="1"/>
          <w:color w:val="74B500"/>
        </w:rPr>
        <w:t>CONNECTING</w:t>
      </w:r>
    </w:p>
    <w:p>
      <w:pPr>
        <w:spacing w:after="0" w:line="1" w:lineRule="exact"/>
        <w:rPr>
          <w:sz w:val="24"/>
          <w:szCs w:val="24"/>
          <w:color w:val="auto"/>
        </w:rPr>
      </w:pPr>
    </w:p>
    <w:p>
      <w:pPr>
        <w:ind w:left="6760"/>
        <w:spacing w:after="0"/>
        <w:rPr>
          <w:sz w:val="20"/>
          <w:szCs w:val="20"/>
          <w:color w:val="auto"/>
        </w:rPr>
      </w:pPr>
      <w:r>
        <w:rPr>
          <w:rFonts w:ascii="Arial" w:cs="Arial" w:eastAsia="Arial" w:hAnsi="Arial"/>
          <w:sz w:val="38"/>
          <w:szCs w:val="38"/>
          <w:b w:val="1"/>
          <w:bCs w:val="1"/>
          <w:color w:val="FFFFFF"/>
        </w:rPr>
        <w:t>AMERICA</w:t>
      </w:r>
      <w:r>
        <w:rPr>
          <w:rFonts w:ascii="Arial" w:cs="Arial" w:eastAsia="Arial" w:hAnsi="Arial"/>
          <w:sz w:val="11"/>
          <w:szCs w:val="11"/>
          <w:color w:val="FFFFFF"/>
        </w:rPr>
        <w:t>®</w:t>
      </w:r>
    </w:p>
    <w:p>
      <w:pPr>
        <w:sectPr>
          <w:pgSz w:w="11880" w:h="15480" w:orient="portrait"/>
          <w:cols w:equalWidth="0" w:num="1">
            <w:col w:w="9620"/>
          </w:cols>
          <w:pgMar w:left="1440" w:top="569" w:right="820" w:bottom="144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471805</wp:posOffset>
            </wp:positionV>
            <wp:extent cx="7543800" cy="9357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3800" cy="935799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51"/>
          <w:szCs w:val="51"/>
          <w:b w:val="1"/>
          <w:bCs w:val="1"/>
          <w:color w:val="74B500"/>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t xml:space="preserve">CORPORATE </w:t>
      </w:r>
      <w:r>
        <w:rPr>
          <w:rFonts w:ascii="Arial" w:cs="Arial" w:eastAsia="Arial" w:hAnsi="Arial"/>
          <w:sz w:val="51"/>
          <w:szCs w:val="51"/>
          <w:b w:val="1"/>
          <w:bCs w:val="1"/>
          <w:color w:val="0055B5"/>
        </w:rPr>
        <w:t>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96520</wp:posOffset>
            </wp:positionV>
            <wp:extent cx="7543800" cy="3578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543800" cy="3578860"/>
                    </a:xfrm>
                    <a:prstGeom prst="rect">
                      <a:avLst/>
                    </a:prstGeom>
                    <a:noFill/>
                  </pic:spPr>
                </pic:pic>
              </a:graphicData>
            </a:graphic>
          </wp:anchor>
        </w:drawing>
      </w:r>
    </w:p>
    <w:p>
      <w:pPr>
        <w:sectPr>
          <w:pgSz w:w="11880" w:h="15480" w:orient="portrait"/>
          <w:cols w:equalWidth="0" w:num="1">
            <w:col w:w="10580"/>
          </w:cols>
          <w:pgMar w:left="540" w:top="480" w:right="760" w:bottom="0" w:gutter="0" w:footer="0" w:header="0"/>
        </w:sectPr>
      </w:pPr>
    </w:p>
    <w:p>
      <w:pPr>
        <w:spacing w:after="0" w:line="200" w:lineRule="exact"/>
        <w:rPr>
          <w:sz w:val="20"/>
          <w:szCs w:val="20"/>
          <w:color w:val="auto"/>
        </w:rPr>
      </w:pPr>
    </w:p>
    <w:p>
      <w:pPr>
        <w:spacing w:after="0" w:line="350"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191919"/>
        </w:rPr>
        <w:t>Dycom Industries, Inc. is a leading provider of specialty contracting services to the telecommunications infrastructure and utility industries throughout the United States. Since our incorporation in the State of Florida in 1969, we have expanded our scope and service offerings organically</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191919"/>
        </w:rPr>
        <w:t>and through acquisitions. Today, Dycom is made up of 40 operating companies that serve a diverse customer base across all 50 states from hundreds of field offices. Our deep industry knowledge, strong customer relationships, broad geographic presence and skilled workforce provide the scale needed to quickly execute on opportunities to service existing and new customers throughout urban, suburban and rural America.</w:t>
      </w:r>
    </w:p>
    <w:p>
      <w:pPr>
        <w:spacing w:after="0" w:line="16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191919"/>
        </w:rPr>
        <w:t>Dycom’s operating companies supply telecommunications providers with a comprehensive portfolio of specialty services, including program management, planning, engineering</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6"/>
          <w:szCs w:val="16"/>
          <w:color w:val="191919"/>
        </w:rPr>
        <w:t>and design; aerial, underground, and wireless construction; maintenance; and fulfillment services. Additionally, we provide underground facility locating services for various utilities, including telecommunications providers, as well as other construction and maintenance services for electric and gas utilities. Dycom supplies the expertise, labor, equipment, and tools necessary to provide services to our customers.</w:t>
      </w:r>
    </w:p>
    <w:p>
      <w:pPr>
        <w:spacing w:after="0" w:line="195" w:lineRule="exact"/>
        <w:rPr>
          <w:sz w:val="20"/>
          <w:szCs w:val="20"/>
          <w:color w:val="auto"/>
        </w:rPr>
      </w:pPr>
    </w:p>
    <w:p>
      <w:pPr>
        <w:spacing w:after="0"/>
        <w:rPr>
          <w:sz w:val="20"/>
          <w:szCs w:val="20"/>
          <w:color w:val="auto"/>
        </w:rPr>
      </w:pPr>
      <w:r>
        <w:rPr>
          <w:rFonts w:ascii="Arial" w:cs="Arial" w:eastAsia="Arial" w:hAnsi="Arial"/>
          <w:sz w:val="24"/>
          <w:szCs w:val="24"/>
          <w:b w:val="1"/>
          <w:bCs w:val="1"/>
          <w:color w:val="0055B5"/>
        </w:rPr>
        <w:t>ENGINEERING SERVICES</w:t>
      </w:r>
    </w:p>
    <w:p>
      <w:pPr>
        <w:spacing w:after="0" w:line="17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191919"/>
        </w:rPr>
        <w:t>We provide engineering services to telecommunications providers, including the planning and design of aerial, underground, and buried fiber optic, copper, and coaxial cable systems that extend from the telephone company hub location, or cable operator headend, to a consumer’s home or business. We also plan and design wireless networks in connection with the deployment of new and enhanced macro cell and new small cell sites. Additionally, we obtain rights of way and permits in support of our engineering activities and those of our customers and provide program and project management and inspection personnel in conjunction with engineering services or on a stand-alone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40"/>
        <w:spacing w:after="0"/>
        <w:rPr>
          <w:sz w:val="20"/>
          <w:szCs w:val="20"/>
          <w:color w:val="auto"/>
        </w:rPr>
      </w:pPr>
      <w:r>
        <w:rPr>
          <w:rFonts w:ascii="Arial" w:cs="Arial" w:eastAsia="Arial" w:hAnsi="Arial"/>
          <w:sz w:val="24"/>
          <w:szCs w:val="24"/>
          <w:b w:val="1"/>
          <w:bCs w:val="1"/>
          <w:color w:val="0055B5"/>
        </w:rPr>
        <w:t>DYCOM’S NATIONWIDE PRESENCE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0055B5"/>
        </w:rPr>
        <w:t>FINANCIAL HIGHLIGHTS</w:t>
      </w:r>
    </w:p>
    <w:p>
      <w:pPr>
        <w:spacing w:after="0" w:line="172"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i w:val="1"/>
          <w:iCs w:val="1"/>
          <w:color w:val="191919"/>
        </w:rPr>
        <w:t>The following financial information has been derived from the Company’s consolidated financial statements. This information should be read in conjunction with the consolidated financial statements and the notes thereto contained in this Annual Report, as well as the section of this Annual Report entitled “Management’s Discussion and Analysis of Financial Condition and Results of Operations.”</w:t>
      </w:r>
    </w:p>
    <w:p>
      <w:pPr>
        <w:spacing w:after="0" w:line="362" w:lineRule="exact"/>
        <w:rPr>
          <w:sz w:val="20"/>
          <w:szCs w:val="20"/>
          <w:color w:val="auto"/>
        </w:rPr>
      </w:pPr>
    </w:p>
    <w:p>
      <w:pPr>
        <w:jc w:val="right"/>
        <w:ind w:right="40"/>
        <w:spacing w:after="0"/>
        <w:tabs>
          <w:tab w:leader="none" w:pos="1940" w:val="left"/>
          <w:tab w:leader="none" w:pos="800" w:val="left"/>
        </w:tabs>
        <w:rPr>
          <w:sz w:val="20"/>
          <w:szCs w:val="20"/>
          <w:color w:val="auto"/>
        </w:rPr>
      </w:pPr>
      <w:r>
        <w:rPr>
          <w:rFonts w:ascii="Arial" w:cs="Arial" w:eastAsia="Arial" w:hAnsi="Arial"/>
          <w:sz w:val="16"/>
          <w:szCs w:val="16"/>
          <w:b w:val="1"/>
          <w:bCs w:val="1"/>
          <w:color w:val="0055B5"/>
        </w:rPr>
        <w:t>Fiscal 2025</w:t>
      </w:r>
      <w:r>
        <w:rPr>
          <w:sz w:val="20"/>
          <w:szCs w:val="20"/>
          <w:color w:val="auto"/>
        </w:rPr>
        <w:tab/>
      </w:r>
      <w:r>
        <w:rPr>
          <w:rFonts w:ascii="Arial" w:cs="Arial" w:eastAsia="Arial" w:hAnsi="Arial"/>
          <w:sz w:val="16"/>
          <w:szCs w:val="16"/>
          <w:b w:val="1"/>
          <w:bCs w:val="1"/>
          <w:color w:val="0055B5"/>
        </w:rPr>
        <w:t>Fiscal 2024</w:t>
      </w:r>
      <w:r>
        <w:rPr>
          <w:sz w:val="20"/>
          <w:szCs w:val="20"/>
          <w:color w:val="auto"/>
        </w:rPr>
        <w:tab/>
      </w:r>
      <w:r>
        <w:rPr>
          <w:rFonts w:ascii="Arial" w:cs="Arial" w:eastAsia="Arial" w:hAnsi="Arial"/>
          <w:sz w:val="15"/>
          <w:szCs w:val="15"/>
          <w:b w:val="1"/>
          <w:bCs w:val="1"/>
          <w:color w:val="0055B5"/>
        </w:rPr>
        <w:t>Fiscal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1439545</wp:posOffset>
                </wp:positionH>
                <wp:positionV relativeFrom="paragraph">
                  <wp:posOffset>40005</wp:posOffset>
                </wp:positionV>
                <wp:extent cx="210312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03120" cy="4763"/>
                        </a:xfrm>
                        <a:prstGeom prst="line">
                          <a:avLst/>
                        </a:prstGeom>
                        <a:solidFill>
                          <a:srgbClr val="FFFFFF"/>
                        </a:solidFill>
                        <a:ln w="12700">
                          <a:solidFill>
                            <a:srgbClr val="0055B5"/>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3.35pt,3.15pt" to="278.95pt,3.15pt" o:allowincell="f" strokecolor="#0055B5" strokeweight="1pt"/>
            </w:pict>
          </mc:Fallback>
        </mc:AlternateContent>
      </w:r>
    </w:p>
    <w:p>
      <w:pPr>
        <w:spacing w:after="0" w:line="125" w:lineRule="exact"/>
        <w:rPr>
          <w:sz w:val="20"/>
          <w:szCs w:val="20"/>
          <w:color w:val="auto"/>
        </w:rPr>
      </w:pPr>
    </w:p>
    <w:p>
      <w:pPr>
        <w:sectPr>
          <w:pgSz w:w="11880" w:h="15480" w:orient="portrait"/>
          <w:cols w:equalWidth="0" w:num="2">
            <w:col w:w="4660" w:space="400"/>
            <w:col w:w="5520"/>
          </w:cols>
          <w:pgMar w:left="540" w:top="480" w:right="760" w:bottom="0" w:gutter="0" w:footer="0" w:header="0"/>
          <w:type w:val="continuous"/>
        </w:sectPr>
      </w:pPr>
    </w:p>
    <w:p>
      <w:pPr>
        <w:ind w:right="640"/>
        <w:spacing w:after="0" w:line="237" w:lineRule="auto"/>
        <w:rPr>
          <w:sz w:val="20"/>
          <w:szCs w:val="20"/>
          <w:color w:val="auto"/>
        </w:rPr>
      </w:pPr>
      <w:r>
        <w:rPr>
          <w:rFonts w:ascii="Arial" w:cs="Arial" w:eastAsia="Arial" w:hAnsi="Arial"/>
          <w:sz w:val="23"/>
          <w:szCs w:val="23"/>
          <w:b w:val="1"/>
          <w:bCs w:val="1"/>
          <w:color w:val="0063BC"/>
        </w:rPr>
        <w:t>CONSTRUCTION, MAINTENANCE, AND INSTALLATION SERVICES</w:t>
      </w:r>
    </w:p>
    <w:p>
      <w:pPr>
        <w:spacing w:after="0" w:line="165" w:lineRule="exact"/>
        <w:rPr>
          <w:sz w:val="20"/>
          <w:szCs w:val="20"/>
          <w:color w:val="auto"/>
        </w:rPr>
      </w:pPr>
    </w:p>
    <w:p>
      <w:pPr>
        <w:spacing w:after="0" w:line="243" w:lineRule="auto"/>
        <w:rPr>
          <w:sz w:val="20"/>
          <w:szCs w:val="20"/>
          <w:color w:val="auto"/>
        </w:rPr>
      </w:pPr>
      <w:r>
        <w:rPr>
          <w:rFonts w:ascii="Arial" w:cs="Arial" w:eastAsia="Arial" w:hAnsi="Arial"/>
          <w:sz w:val="16"/>
          <w:szCs w:val="16"/>
          <w:color w:val="191919"/>
        </w:rPr>
        <w:t>We provide a range of construction, maintenance, and installation services, including the placement and splicing of fiber, copper, and coaxial cables. We excavate trenches to place these cables; place related structures, such as poles, anchors, conduits, manholes, cabinets, and closures; place drop lines from main distribution lines to a consumer’s home or business; and maintain and remove these facilities. We provide these services for both telephone companies and cable multiple system operators in connection with the deployment, expansion, or maintenance of new and existing networks. We also provide tower construction, lines and antenna installation, foundation and equipment pad construction, small cell site placement for wireless carriers, and equipment installation and material fabrication and site testing services. In addition, we provide underground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0055B5"/>
        </w:rPr>
        <w:t>Revenues</w:t>
      </w: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0055B5"/>
        </w:rPr>
        <w:t>Net income</w:t>
      </w:r>
    </w:p>
    <w:p>
      <w:pPr>
        <w:spacing w:after="0" w:line="308" w:lineRule="exact"/>
        <w:rPr>
          <w:sz w:val="20"/>
          <w:szCs w:val="20"/>
          <w:color w:val="auto"/>
        </w:rPr>
      </w:pPr>
    </w:p>
    <w:p>
      <w:pPr>
        <w:spacing w:after="0" w:line="258" w:lineRule="auto"/>
        <w:rPr>
          <w:sz w:val="20"/>
          <w:szCs w:val="20"/>
          <w:color w:val="auto"/>
        </w:rPr>
      </w:pPr>
      <w:r>
        <w:rPr>
          <w:rFonts w:ascii="Arial" w:cs="Arial" w:eastAsia="Arial" w:hAnsi="Arial"/>
          <w:sz w:val="14"/>
          <w:szCs w:val="14"/>
          <w:color w:val="0055B5"/>
        </w:rPr>
        <w:t>Earnings per common share – diluted</w:t>
      </w:r>
    </w:p>
    <w:p>
      <w:pPr>
        <w:spacing w:after="0" w:line="291" w:lineRule="exact"/>
        <w:rPr>
          <w:sz w:val="20"/>
          <w:szCs w:val="20"/>
          <w:color w:val="auto"/>
        </w:rPr>
      </w:pPr>
    </w:p>
    <w:p>
      <w:pPr>
        <w:spacing w:after="0" w:line="258" w:lineRule="auto"/>
        <w:rPr>
          <w:sz w:val="20"/>
          <w:szCs w:val="20"/>
          <w:color w:val="auto"/>
        </w:rPr>
      </w:pPr>
      <w:r>
        <w:rPr>
          <w:rFonts w:ascii="Arial" w:cs="Arial" w:eastAsia="Arial" w:hAnsi="Arial"/>
          <w:sz w:val="14"/>
          <w:szCs w:val="14"/>
          <w:color w:val="0055B5"/>
        </w:rPr>
        <w:t>Non-GAAP Adjusted earnings per common share – diluted</w:t>
      </w:r>
    </w:p>
    <w:p>
      <w:pPr>
        <w:spacing w:after="0" w:line="291" w:lineRule="exact"/>
        <w:rPr>
          <w:sz w:val="20"/>
          <w:szCs w:val="20"/>
          <w:color w:val="auto"/>
        </w:rPr>
      </w:pPr>
    </w:p>
    <w:p>
      <w:pPr>
        <w:spacing w:after="0" w:line="258" w:lineRule="auto"/>
        <w:rPr>
          <w:sz w:val="20"/>
          <w:szCs w:val="20"/>
          <w:color w:val="auto"/>
        </w:rPr>
      </w:pPr>
      <w:r>
        <w:rPr>
          <w:rFonts w:ascii="Arial" w:cs="Arial" w:eastAsia="Arial" w:hAnsi="Arial"/>
          <w:sz w:val="14"/>
          <w:szCs w:val="14"/>
          <w:color w:val="0055B5"/>
        </w:rPr>
        <w:t>Weighted average number of common shares – diluted</w:t>
      </w:r>
    </w:p>
    <w:p>
      <w:pPr>
        <w:spacing w:after="0" w:line="20" w:lineRule="exact"/>
        <w:rPr>
          <w:sz w:val="20"/>
          <w:szCs w:val="20"/>
          <w:color w:val="auto"/>
        </w:rPr>
      </w:pPr>
      <w:r>
        <w:rPr>
          <w:sz w:val="20"/>
          <w:szCs w:val="20"/>
          <w:color w:val="auto"/>
        </w:rPr>
        <w:br w:type="column"/>
      </w:r>
    </w:p>
    <w:p>
      <w:pPr>
        <w:jc w:val="center"/>
        <w:ind w:left="-79"/>
        <w:spacing w:after="0" w:line="281" w:lineRule="auto"/>
        <w:rPr>
          <w:sz w:val="20"/>
          <w:szCs w:val="20"/>
          <w:color w:val="auto"/>
        </w:rPr>
      </w:pPr>
      <w:r>
        <w:rPr>
          <w:rFonts w:ascii="Arial" w:cs="Arial" w:eastAsia="Arial" w:hAnsi="Arial"/>
          <w:sz w:val="14"/>
          <w:szCs w:val="14"/>
          <w:b w:val="1"/>
          <w:bCs w:val="1"/>
          <w:color w:val="0063BC"/>
        </w:rPr>
        <w:t>In thousands, except earnings per common share amounts and number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-1510665</wp:posOffset>
            </wp:positionH>
            <wp:positionV relativeFrom="paragraph">
              <wp:posOffset>52705</wp:posOffset>
            </wp:positionV>
            <wp:extent cx="3670935" cy="3062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extLst>
                    </a:blip>
                    <a:srcRect/>
                    <a:stretch>
                      <a:fillRect/>
                    </a:stretch>
                  </pic:blipFill>
                  <pic:spPr bwMode="auto">
                    <a:xfrm>
                      <a:off x="0" y="0"/>
                      <a:ext cx="3670935" cy="306260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0" w:type="dxa"/>
            <w:vAlign w:val="bottom"/>
          </w:tcPr>
          <w:p>
            <w:pPr>
              <w:jc w:val="right"/>
              <w:spacing w:after="0"/>
              <w:rPr>
                <w:sz w:val="20"/>
                <w:szCs w:val="20"/>
                <w:color w:val="auto"/>
              </w:rPr>
            </w:pPr>
            <w:r>
              <w:rPr>
                <w:rFonts w:ascii="Arial" w:cs="Arial" w:eastAsia="Arial" w:hAnsi="Arial"/>
                <w:sz w:val="14"/>
                <w:szCs w:val="14"/>
                <w:b w:val="1"/>
                <w:bCs w:val="1"/>
                <w:color w:val="0055B5"/>
                <w:w w:val="76"/>
              </w:rPr>
              <w:t>$</w:t>
            </w:r>
          </w:p>
        </w:tc>
        <w:tc>
          <w:tcPr>
            <w:tcW w:w="840" w:type="dxa"/>
            <w:vAlign w:val="bottom"/>
          </w:tcPr>
          <w:p>
            <w:pPr>
              <w:jc w:val="right"/>
              <w:ind w:right="90"/>
              <w:spacing w:after="0"/>
              <w:rPr>
                <w:sz w:val="20"/>
                <w:szCs w:val="20"/>
                <w:color w:val="auto"/>
              </w:rPr>
            </w:pPr>
            <w:r>
              <w:rPr>
                <w:rFonts w:ascii="Arial" w:cs="Arial" w:eastAsia="Arial" w:hAnsi="Arial"/>
                <w:sz w:val="14"/>
                <w:szCs w:val="14"/>
                <w:b w:val="1"/>
                <w:bCs w:val="1"/>
                <w:color w:val="0055B5"/>
              </w:rPr>
              <w:t>4,702,014</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055B5"/>
              </w:rPr>
              <w:t>$</w:t>
            </w:r>
          </w:p>
        </w:tc>
        <w:tc>
          <w:tcPr>
            <w:tcW w:w="860" w:type="dxa"/>
            <w:vAlign w:val="bottom"/>
          </w:tcPr>
          <w:p>
            <w:pPr>
              <w:jc w:val="right"/>
              <w:ind w:right="110"/>
              <w:spacing w:after="0"/>
              <w:rPr>
                <w:sz w:val="20"/>
                <w:szCs w:val="20"/>
                <w:color w:val="auto"/>
              </w:rPr>
            </w:pPr>
            <w:r>
              <w:rPr>
                <w:rFonts w:ascii="Arial" w:cs="Arial" w:eastAsia="Arial" w:hAnsi="Arial"/>
                <w:sz w:val="14"/>
                <w:szCs w:val="14"/>
                <w:b w:val="1"/>
                <w:bCs w:val="1"/>
                <w:color w:val="0055B5"/>
              </w:rPr>
              <w:t>4,175,574</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0055B5"/>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0055B5"/>
              </w:rPr>
              <w:t>3,808,462</w:t>
            </w:r>
          </w:p>
        </w:tc>
      </w:tr>
      <w:tr>
        <w:trPr>
          <w:trHeight w:val="469"/>
        </w:trPr>
        <w:tc>
          <w:tcPr>
            <w:tcW w:w="140" w:type="dxa"/>
            <w:vAlign w:val="bottom"/>
          </w:tcPr>
          <w:p>
            <w:pPr>
              <w:jc w:val="right"/>
              <w:spacing w:after="0"/>
              <w:rPr>
                <w:sz w:val="20"/>
                <w:szCs w:val="20"/>
                <w:color w:val="auto"/>
              </w:rPr>
            </w:pPr>
            <w:r>
              <w:rPr>
                <w:rFonts w:ascii="Arial" w:cs="Arial" w:eastAsia="Arial" w:hAnsi="Arial"/>
                <w:sz w:val="14"/>
                <w:szCs w:val="14"/>
                <w:b w:val="1"/>
                <w:bCs w:val="1"/>
                <w:color w:val="0055B5"/>
                <w:w w:val="76"/>
              </w:rPr>
              <w:t>$</w:t>
            </w:r>
          </w:p>
        </w:tc>
        <w:tc>
          <w:tcPr>
            <w:tcW w:w="840" w:type="dxa"/>
            <w:vAlign w:val="bottom"/>
          </w:tcPr>
          <w:p>
            <w:pPr>
              <w:jc w:val="right"/>
              <w:ind w:right="110"/>
              <w:spacing w:after="0"/>
              <w:rPr>
                <w:sz w:val="20"/>
                <w:szCs w:val="20"/>
                <w:color w:val="auto"/>
              </w:rPr>
            </w:pPr>
            <w:r>
              <w:rPr>
                <w:rFonts w:ascii="Arial" w:cs="Arial" w:eastAsia="Arial" w:hAnsi="Arial"/>
                <w:sz w:val="14"/>
                <w:szCs w:val="14"/>
                <w:b w:val="1"/>
                <w:bCs w:val="1"/>
                <w:color w:val="0055B5"/>
              </w:rPr>
              <w:t>233,413</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055B5"/>
              </w:rPr>
              <w:t>$</w:t>
            </w:r>
          </w:p>
        </w:tc>
        <w:tc>
          <w:tcPr>
            <w:tcW w:w="860" w:type="dxa"/>
            <w:vAlign w:val="bottom"/>
          </w:tcPr>
          <w:p>
            <w:pPr>
              <w:jc w:val="right"/>
              <w:ind w:right="90"/>
              <w:spacing w:after="0"/>
              <w:rPr>
                <w:sz w:val="20"/>
                <w:szCs w:val="20"/>
                <w:color w:val="auto"/>
              </w:rPr>
            </w:pPr>
            <w:r>
              <w:rPr>
                <w:rFonts w:ascii="Arial" w:cs="Arial" w:eastAsia="Arial" w:hAnsi="Arial"/>
                <w:sz w:val="14"/>
                <w:szCs w:val="14"/>
                <w:b w:val="1"/>
                <w:bCs w:val="1"/>
                <w:color w:val="0055B5"/>
              </w:rPr>
              <w:t>218,923</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0055B5"/>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0055B5"/>
              </w:rPr>
              <w:t>142,213</w:t>
            </w:r>
          </w:p>
        </w:tc>
      </w:tr>
      <w:tr>
        <w:trPr>
          <w:trHeight w:val="559"/>
        </w:trPr>
        <w:tc>
          <w:tcPr>
            <w:tcW w:w="140" w:type="dxa"/>
            <w:vAlign w:val="bottom"/>
          </w:tcPr>
          <w:p>
            <w:pPr>
              <w:jc w:val="right"/>
              <w:spacing w:after="0"/>
              <w:rPr>
                <w:sz w:val="20"/>
                <w:szCs w:val="20"/>
                <w:color w:val="auto"/>
              </w:rPr>
            </w:pPr>
            <w:r>
              <w:rPr>
                <w:rFonts w:ascii="Arial" w:cs="Arial" w:eastAsia="Arial" w:hAnsi="Arial"/>
                <w:sz w:val="14"/>
                <w:szCs w:val="14"/>
                <w:b w:val="1"/>
                <w:bCs w:val="1"/>
                <w:color w:val="0055B5"/>
                <w:w w:val="76"/>
              </w:rPr>
              <w:t>$</w:t>
            </w:r>
          </w:p>
        </w:tc>
        <w:tc>
          <w:tcPr>
            <w:tcW w:w="840" w:type="dxa"/>
            <w:vAlign w:val="bottom"/>
          </w:tcPr>
          <w:p>
            <w:pPr>
              <w:jc w:val="right"/>
              <w:ind w:right="110"/>
              <w:spacing w:after="0"/>
              <w:rPr>
                <w:sz w:val="20"/>
                <w:szCs w:val="20"/>
                <w:color w:val="auto"/>
              </w:rPr>
            </w:pPr>
            <w:r>
              <w:rPr>
                <w:rFonts w:ascii="Arial" w:cs="Arial" w:eastAsia="Arial" w:hAnsi="Arial"/>
                <w:sz w:val="14"/>
                <w:szCs w:val="14"/>
                <w:b w:val="1"/>
                <w:bCs w:val="1"/>
                <w:color w:val="0055B5"/>
              </w:rPr>
              <w:t>7.92</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055B5"/>
              </w:rPr>
              <w:t>$</w:t>
            </w:r>
          </w:p>
        </w:tc>
        <w:tc>
          <w:tcPr>
            <w:tcW w:w="860" w:type="dxa"/>
            <w:vAlign w:val="bottom"/>
          </w:tcPr>
          <w:p>
            <w:pPr>
              <w:jc w:val="right"/>
              <w:ind w:right="90"/>
              <w:spacing w:after="0"/>
              <w:rPr>
                <w:sz w:val="20"/>
                <w:szCs w:val="20"/>
                <w:color w:val="auto"/>
              </w:rPr>
            </w:pPr>
            <w:r>
              <w:rPr>
                <w:rFonts w:ascii="Arial" w:cs="Arial" w:eastAsia="Arial" w:hAnsi="Arial"/>
                <w:sz w:val="14"/>
                <w:szCs w:val="14"/>
                <w:b w:val="1"/>
                <w:bCs w:val="1"/>
                <w:color w:val="0055B5"/>
              </w:rPr>
              <w:t>7.37</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0055B5"/>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0055B5"/>
              </w:rPr>
              <w:t>4.74</w:t>
            </w:r>
          </w:p>
        </w:tc>
      </w:tr>
      <w:tr>
        <w:trPr>
          <w:trHeight w:val="637"/>
        </w:trPr>
        <w:tc>
          <w:tcPr>
            <w:tcW w:w="140" w:type="dxa"/>
            <w:vAlign w:val="bottom"/>
          </w:tcPr>
          <w:p>
            <w:pPr>
              <w:jc w:val="right"/>
              <w:spacing w:after="0"/>
              <w:rPr>
                <w:sz w:val="20"/>
                <w:szCs w:val="20"/>
                <w:color w:val="auto"/>
              </w:rPr>
            </w:pPr>
            <w:r>
              <w:rPr>
                <w:rFonts w:ascii="Arial" w:cs="Arial" w:eastAsia="Arial" w:hAnsi="Arial"/>
                <w:sz w:val="14"/>
                <w:szCs w:val="14"/>
                <w:b w:val="1"/>
                <w:bCs w:val="1"/>
                <w:color w:val="0055B5"/>
                <w:w w:val="76"/>
              </w:rPr>
              <w:t>$</w:t>
            </w:r>
          </w:p>
        </w:tc>
        <w:tc>
          <w:tcPr>
            <w:tcW w:w="840" w:type="dxa"/>
            <w:vAlign w:val="bottom"/>
          </w:tcPr>
          <w:p>
            <w:pPr>
              <w:jc w:val="right"/>
              <w:ind w:right="110"/>
              <w:spacing w:after="0"/>
              <w:rPr>
                <w:sz w:val="20"/>
                <w:szCs w:val="20"/>
                <w:color w:val="auto"/>
              </w:rPr>
            </w:pPr>
            <w:r>
              <w:rPr>
                <w:rFonts w:ascii="Arial" w:cs="Arial" w:eastAsia="Arial" w:hAnsi="Arial"/>
                <w:sz w:val="14"/>
                <w:szCs w:val="14"/>
                <w:b w:val="1"/>
                <w:bCs w:val="1"/>
                <w:color w:val="0055B5"/>
              </w:rPr>
              <w:t>8.44</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055B5"/>
              </w:rPr>
              <w:t>$</w:t>
            </w:r>
          </w:p>
        </w:tc>
        <w:tc>
          <w:tcPr>
            <w:tcW w:w="860" w:type="dxa"/>
            <w:vAlign w:val="bottom"/>
          </w:tcPr>
          <w:p>
            <w:pPr>
              <w:jc w:val="right"/>
              <w:ind w:right="90"/>
              <w:spacing w:after="0"/>
              <w:rPr>
                <w:sz w:val="20"/>
                <w:szCs w:val="20"/>
                <w:color w:val="auto"/>
              </w:rPr>
            </w:pPr>
            <w:r>
              <w:rPr>
                <w:rFonts w:ascii="Arial" w:cs="Arial" w:eastAsia="Arial" w:hAnsi="Arial"/>
                <w:sz w:val="14"/>
                <w:szCs w:val="14"/>
                <w:b w:val="1"/>
                <w:bCs w:val="1"/>
                <w:color w:val="0055B5"/>
              </w:rPr>
              <w:t>7.37</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0055B5"/>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0055B5"/>
              </w:rPr>
              <w:t>4.74</w:t>
            </w:r>
          </w:p>
        </w:tc>
      </w:tr>
      <w:tr>
        <w:trPr>
          <w:trHeight w:val="637"/>
        </w:trPr>
        <w:tc>
          <w:tcPr>
            <w:tcW w:w="140" w:type="dxa"/>
            <w:vAlign w:val="bottom"/>
          </w:tcPr>
          <w:p>
            <w:pPr>
              <w:spacing w:after="0"/>
              <w:rPr>
                <w:sz w:val="24"/>
                <w:szCs w:val="24"/>
                <w:color w:val="auto"/>
              </w:rPr>
            </w:pPr>
          </w:p>
        </w:tc>
        <w:tc>
          <w:tcPr>
            <w:tcW w:w="840" w:type="dxa"/>
            <w:vAlign w:val="bottom"/>
          </w:tcPr>
          <w:p>
            <w:pPr>
              <w:jc w:val="right"/>
              <w:ind w:right="130"/>
              <w:spacing w:after="0"/>
              <w:rPr>
                <w:sz w:val="20"/>
                <w:szCs w:val="20"/>
                <w:color w:val="auto"/>
              </w:rPr>
            </w:pPr>
            <w:r>
              <w:rPr>
                <w:rFonts w:ascii="Arial" w:cs="Arial" w:eastAsia="Arial" w:hAnsi="Arial"/>
                <w:sz w:val="14"/>
                <w:szCs w:val="14"/>
                <w:b w:val="1"/>
                <w:bCs w:val="1"/>
                <w:color w:val="0055B5"/>
              </w:rPr>
              <w:t>29,482</w:t>
            </w:r>
          </w:p>
        </w:tc>
        <w:tc>
          <w:tcPr>
            <w:tcW w:w="300" w:type="dxa"/>
            <w:vAlign w:val="bottom"/>
          </w:tcPr>
          <w:p>
            <w:pPr>
              <w:spacing w:after="0"/>
              <w:rPr>
                <w:sz w:val="24"/>
                <w:szCs w:val="24"/>
                <w:color w:val="auto"/>
              </w:rPr>
            </w:pPr>
          </w:p>
        </w:tc>
        <w:tc>
          <w:tcPr>
            <w:tcW w:w="860" w:type="dxa"/>
            <w:vAlign w:val="bottom"/>
          </w:tcPr>
          <w:p>
            <w:pPr>
              <w:jc w:val="right"/>
              <w:ind w:right="110"/>
              <w:spacing w:after="0"/>
              <w:rPr>
                <w:sz w:val="20"/>
                <w:szCs w:val="20"/>
                <w:color w:val="auto"/>
              </w:rPr>
            </w:pPr>
            <w:r>
              <w:rPr>
                <w:rFonts w:ascii="Arial" w:cs="Arial" w:eastAsia="Arial" w:hAnsi="Arial"/>
                <w:sz w:val="14"/>
                <w:szCs w:val="14"/>
                <w:b w:val="1"/>
                <w:bCs w:val="1"/>
                <w:color w:val="0055B5"/>
              </w:rPr>
              <w:t>29,699</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0055B5"/>
              </w:rPr>
              <w:t>29,997</w:t>
            </w:r>
          </w:p>
        </w:tc>
      </w:tr>
    </w:tbl>
    <w:p>
      <w:pPr>
        <w:spacing w:after="0" w:line="378" w:lineRule="exact"/>
        <w:rPr>
          <w:sz w:val="20"/>
          <w:szCs w:val="20"/>
          <w:color w:val="auto"/>
        </w:rPr>
      </w:pPr>
    </w:p>
    <w:p>
      <w:pPr>
        <w:sectPr>
          <w:pgSz w:w="11880" w:h="15480" w:orient="portrait"/>
          <w:cols w:equalWidth="0" w:num="3">
            <w:col w:w="4480" w:space="640"/>
            <w:col w:w="1900" w:space="380"/>
            <w:col w:w="3180"/>
          </w:cols>
          <w:pgMar w:left="540" w:top="480" w:right="760" w:bottom="0" w:gutter="0" w:footer="0" w:header="0"/>
          <w:type w:val="continuous"/>
        </w:sectPr>
      </w:pPr>
    </w:p>
    <w:p>
      <w:pPr>
        <w:spacing w:after="0" w:line="75" w:lineRule="exact"/>
        <w:rPr>
          <w:sz w:val="20"/>
          <w:szCs w:val="20"/>
          <w:color w:val="auto"/>
        </w:rPr>
      </w:pPr>
    </w:p>
    <w:p>
      <w:pPr>
        <w:spacing w:after="0" w:line="254" w:lineRule="auto"/>
        <w:rPr>
          <w:sz w:val="20"/>
          <w:szCs w:val="20"/>
          <w:color w:val="auto"/>
        </w:rPr>
      </w:pPr>
      <w:r>
        <w:rPr>
          <w:rFonts w:ascii="Arial" w:cs="Arial" w:eastAsia="Arial" w:hAnsi="Arial"/>
          <w:sz w:val="16"/>
          <w:szCs w:val="16"/>
          <w:color w:val="191919"/>
        </w:rPr>
        <w:t>locating services for various utility companies, including telecommunications providers. Our underground facility locating services include locating telephone, cable television, power, water, sewer, and gas lines. In addition, we install and maintain customer premise equipment, such as digital video recorders, set top boxes and modems, for cable multiple system operators and others. We also perform construction and maintenance services for electric and gas utilities and other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613410</wp:posOffset>
            </wp:positionV>
            <wp:extent cx="76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1860" w:type="dxa"/>
            <w:vAlign w:val="bottom"/>
          </w:tcPr>
          <w:p>
            <w:pPr>
              <w:spacing w:after="0"/>
              <w:rPr>
                <w:sz w:val="20"/>
                <w:szCs w:val="20"/>
                <w:color w:val="auto"/>
              </w:rPr>
            </w:pPr>
            <w:r>
              <w:rPr>
                <w:rFonts w:ascii="Arial" w:cs="Arial" w:eastAsia="Arial" w:hAnsi="Arial"/>
                <w:sz w:val="14"/>
                <w:szCs w:val="14"/>
                <w:color w:val="0055B5"/>
              </w:rPr>
              <w:t>Total assets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0055B5"/>
              </w:rPr>
              <w:t>$</w:t>
            </w:r>
          </w:p>
        </w:tc>
        <w:tc>
          <w:tcPr>
            <w:tcW w:w="840" w:type="dxa"/>
            <w:vAlign w:val="bottom"/>
          </w:tcPr>
          <w:p>
            <w:pPr>
              <w:jc w:val="right"/>
              <w:ind w:right="90"/>
              <w:spacing w:after="0"/>
              <w:rPr>
                <w:sz w:val="20"/>
                <w:szCs w:val="20"/>
                <w:color w:val="auto"/>
              </w:rPr>
            </w:pPr>
            <w:r>
              <w:rPr>
                <w:rFonts w:ascii="Arial" w:cs="Arial" w:eastAsia="Arial" w:hAnsi="Arial"/>
                <w:sz w:val="14"/>
                <w:szCs w:val="14"/>
                <w:b w:val="1"/>
                <w:bCs w:val="1"/>
                <w:color w:val="0055B5"/>
              </w:rPr>
              <w:t>2,945,367</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055B5"/>
              </w:rPr>
              <w:t>$</w:t>
            </w:r>
          </w:p>
        </w:tc>
        <w:tc>
          <w:tcPr>
            <w:tcW w:w="860" w:type="dxa"/>
            <w:vAlign w:val="bottom"/>
          </w:tcPr>
          <w:p>
            <w:pPr>
              <w:jc w:val="right"/>
              <w:ind w:right="110"/>
              <w:spacing w:after="0"/>
              <w:rPr>
                <w:sz w:val="20"/>
                <w:szCs w:val="20"/>
                <w:color w:val="auto"/>
              </w:rPr>
            </w:pPr>
            <w:r>
              <w:rPr>
                <w:rFonts w:ascii="Arial" w:cs="Arial" w:eastAsia="Arial" w:hAnsi="Arial"/>
                <w:sz w:val="14"/>
                <w:szCs w:val="14"/>
                <w:b w:val="1"/>
                <w:bCs w:val="1"/>
                <w:color w:val="0055B5"/>
              </w:rPr>
              <w:t>2,516,885</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0055B5"/>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0055B5"/>
              </w:rPr>
              <w:t>2,313,254</w:t>
            </w:r>
          </w:p>
        </w:tc>
      </w:tr>
      <w:tr>
        <w:trPr>
          <w:trHeight w:val="469"/>
        </w:trPr>
        <w:tc>
          <w:tcPr>
            <w:tcW w:w="1860" w:type="dxa"/>
            <w:vAlign w:val="bottom"/>
          </w:tcPr>
          <w:p>
            <w:pPr>
              <w:spacing w:after="0"/>
              <w:rPr>
                <w:sz w:val="20"/>
                <w:szCs w:val="20"/>
                <w:color w:val="auto"/>
              </w:rPr>
            </w:pPr>
            <w:r>
              <w:rPr>
                <w:rFonts w:ascii="Arial" w:cs="Arial" w:eastAsia="Arial" w:hAnsi="Arial"/>
                <w:sz w:val="14"/>
                <w:szCs w:val="14"/>
                <w:color w:val="0055B5"/>
              </w:rPr>
              <w:t>Long-term obligations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0055B5"/>
              </w:rPr>
              <w:t>$</w:t>
            </w:r>
          </w:p>
        </w:tc>
        <w:tc>
          <w:tcPr>
            <w:tcW w:w="840" w:type="dxa"/>
            <w:vAlign w:val="bottom"/>
          </w:tcPr>
          <w:p>
            <w:pPr>
              <w:jc w:val="right"/>
              <w:ind w:right="90"/>
              <w:spacing w:after="0"/>
              <w:rPr>
                <w:sz w:val="20"/>
                <w:szCs w:val="20"/>
                <w:color w:val="auto"/>
              </w:rPr>
            </w:pPr>
            <w:r>
              <w:rPr>
                <w:rFonts w:ascii="Arial" w:cs="Arial" w:eastAsia="Arial" w:hAnsi="Arial"/>
                <w:sz w:val="14"/>
                <w:szCs w:val="14"/>
                <w:b w:val="1"/>
                <w:bCs w:val="1"/>
                <w:color w:val="0055B5"/>
              </w:rPr>
              <w:t>1,119,117</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055B5"/>
              </w:rPr>
              <w:t>$</w:t>
            </w:r>
          </w:p>
        </w:tc>
        <w:tc>
          <w:tcPr>
            <w:tcW w:w="860" w:type="dxa"/>
            <w:vAlign w:val="bottom"/>
          </w:tcPr>
          <w:p>
            <w:pPr>
              <w:jc w:val="right"/>
              <w:ind w:right="130"/>
              <w:spacing w:after="0"/>
              <w:rPr>
                <w:sz w:val="20"/>
                <w:szCs w:val="20"/>
                <w:color w:val="auto"/>
              </w:rPr>
            </w:pPr>
            <w:r>
              <w:rPr>
                <w:rFonts w:ascii="Arial" w:cs="Arial" w:eastAsia="Arial" w:hAnsi="Arial"/>
                <w:sz w:val="14"/>
                <w:szCs w:val="14"/>
                <w:b w:val="1"/>
                <w:bCs w:val="1"/>
                <w:color w:val="0055B5"/>
              </w:rPr>
              <w:t>955,925</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0055B5"/>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0055B5"/>
              </w:rPr>
              <w:t>974,948</w:t>
            </w:r>
          </w:p>
        </w:tc>
      </w:tr>
      <w:tr>
        <w:trPr>
          <w:trHeight w:val="469"/>
        </w:trPr>
        <w:tc>
          <w:tcPr>
            <w:tcW w:w="1860" w:type="dxa"/>
            <w:vAlign w:val="bottom"/>
          </w:tcPr>
          <w:p>
            <w:pPr>
              <w:spacing w:after="0"/>
              <w:rPr>
                <w:sz w:val="20"/>
                <w:szCs w:val="20"/>
                <w:color w:val="auto"/>
              </w:rPr>
            </w:pPr>
            <w:r>
              <w:rPr>
                <w:rFonts w:ascii="Arial" w:cs="Arial" w:eastAsia="Arial" w:hAnsi="Arial"/>
                <w:sz w:val="14"/>
                <w:szCs w:val="14"/>
                <w:color w:val="0055B5"/>
              </w:rPr>
              <w:t>Stockholders’ equity</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0055B5"/>
              </w:rPr>
              <w:t>$</w:t>
            </w:r>
          </w:p>
        </w:tc>
        <w:tc>
          <w:tcPr>
            <w:tcW w:w="840" w:type="dxa"/>
            <w:vAlign w:val="bottom"/>
          </w:tcPr>
          <w:p>
            <w:pPr>
              <w:jc w:val="right"/>
              <w:ind w:right="90"/>
              <w:spacing w:after="0"/>
              <w:rPr>
                <w:sz w:val="20"/>
                <w:szCs w:val="20"/>
                <w:color w:val="auto"/>
              </w:rPr>
            </w:pPr>
            <w:r>
              <w:rPr>
                <w:rFonts w:ascii="Arial" w:cs="Arial" w:eastAsia="Arial" w:hAnsi="Arial"/>
                <w:sz w:val="14"/>
                <w:szCs w:val="14"/>
                <w:b w:val="1"/>
                <w:bCs w:val="1"/>
                <w:color w:val="0055B5"/>
              </w:rPr>
              <w:t>1,239,097</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055B5"/>
              </w:rPr>
              <w:t>$</w:t>
            </w:r>
          </w:p>
        </w:tc>
        <w:tc>
          <w:tcPr>
            <w:tcW w:w="860" w:type="dxa"/>
            <w:vAlign w:val="bottom"/>
          </w:tcPr>
          <w:p>
            <w:pPr>
              <w:jc w:val="right"/>
              <w:ind w:right="110"/>
              <w:spacing w:after="0"/>
              <w:rPr>
                <w:sz w:val="20"/>
                <w:szCs w:val="20"/>
                <w:color w:val="auto"/>
              </w:rPr>
            </w:pPr>
            <w:r>
              <w:rPr>
                <w:rFonts w:ascii="Arial" w:cs="Arial" w:eastAsia="Arial" w:hAnsi="Arial"/>
                <w:sz w:val="14"/>
                <w:szCs w:val="14"/>
                <w:b w:val="1"/>
                <w:bCs w:val="1"/>
                <w:color w:val="0055B5"/>
              </w:rPr>
              <w:t>1,054,656</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0055B5"/>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0055B5"/>
              </w:rPr>
              <w:t>868,755</w:t>
            </w:r>
          </w:p>
        </w:tc>
      </w:tr>
      <w:tr>
        <w:trPr>
          <w:trHeight w:val="469"/>
        </w:trPr>
        <w:tc>
          <w:tcPr>
            <w:tcW w:w="1860" w:type="dxa"/>
            <w:vAlign w:val="bottom"/>
          </w:tcPr>
          <w:p>
            <w:pPr>
              <w:spacing w:after="0"/>
              <w:rPr>
                <w:sz w:val="20"/>
                <w:szCs w:val="20"/>
                <w:color w:val="auto"/>
              </w:rPr>
            </w:pPr>
            <w:r>
              <w:rPr>
                <w:rFonts w:ascii="Arial" w:cs="Arial" w:eastAsia="Arial" w:hAnsi="Arial"/>
                <w:sz w:val="14"/>
                <w:szCs w:val="14"/>
                <w:color w:val="0055B5"/>
              </w:rPr>
              <w:t>Number of employees</w:t>
            </w:r>
          </w:p>
        </w:tc>
        <w:tc>
          <w:tcPr>
            <w:tcW w:w="560" w:type="dxa"/>
            <w:vAlign w:val="bottom"/>
          </w:tcPr>
          <w:p>
            <w:pPr>
              <w:spacing w:after="0"/>
              <w:rPr>
                <w:sz w:val="24"/>
                <w:szCs w:val="24"/>
                <w:color w:val="auto"/>
              </w:rPr>
            </w:pPr>
          </w:p>
        </w:tc>
        <w:tc>
          <w:tcPr>
            <w:tcW w:w="840" w:type="dxa"/>
            <w:vAlign w:val="bottom"/>
          </w:tcPr>
          <w:p>
            <w:pPr>
              <w:jc w:val="right"/>
              <w:ind w:right="110"/>
              <w:spacing w:after="0"/>
              <w:rPr>
                <w:sz w:val="20"/>
                <w:szCs w:val="20"/>
                <w:color w:val="auto"/>
              </w:rPr>
            </w:pPr>
            <w:r>
              <w:rPr>
                <w:rFonts w:ascii="Arial" w:cs="Arial" w:eastAsia="Arial" w:hAnsi="Arial"/>
                <w:sz w:val="14"/>
                <w:szCs w:val="14"/>
                <w:b w:val="1"/>
                <w:bCs w:val="1"/>
                <w:color w:val="0055B5"/>
              </w:rPr>
              <w:t>15,623</w:t>
            </w:r>
          </w:p>
        </w:tc>
        <w:tc>
          <w:tcPr>
            <w:tcW w:w="300" w:type="dxa"/>
            <w:vAlign w:val="bottom"/>
          </w:tcPr>
          <w:p>
            <w:pPr>
              <w:spacing w:after="0"/>
              <w:rPr>
                <w:sz w:val="24"/>
                <w:szCs w:val="24"/>
                <w:color w:val="auto"/>
              </w:rPr>
            </w:pPr>
          </w:p>
        </w:tc>
        <w:tc>
          <w:tcPr>
            <w:tcW w:w="860" w:type="dxa"/>
            <w:vAlign w:val="bottom"/>
          </w:tcPr>
          <w:p>
            <w:pPr>
              <w:jc w:val="right"/>
              <w:ind w:right="110"/>
              <w:spacing w:after="0"/>
              <w:rPr>
                <w:sz w:val="20"/>
                <w:szCs w:val="20"/>
                <w:color w:val="auto"/>
              </w:rPr>
            </w:pPr>
            <w:r>
              <w:rPr>
                <w:rFonts w:ascii="Arial" w:cs="Arial" w:eastAsia="Arial" w:hAnsi="Arial"/>
                <w:sz w:val="14"/>
                <w:szCs w:val="14"/>
                <w:b w:val="1"/>
                <w:bCs w:val="1"/>
                <w:color w:val="0055B5"/>
              </w:rPr>
              <w:t>15,611</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0055B5"/>
              </w:rPr>
              <w:t>15,410</w:t>
            </w:r>
          </w:p>
        </w:tc>
      </w:tr>
    </w:tbl>
    <w:p>
      <w:pPr>
        <w:spacing w:after="0" w:line="200" w:lineRule="exact"/>
        <w:rPr>
          <w:sz w:val="20"/>
          <w:szCs w:val="20"/>
          <w:color w:val="auto"/>
        </w:rPr>
      </w:pPr>
    </w:p>
    <w:p>
      <w:pPr>
        <w:spacing w:after="0" w:line="344" w:lineRule="exact"/>
        <w:rPr>
          <w:sz w:val="20"/>
          <w:szCs w:val="20"/>
          <w:color w:val="auto"/>
        </w:rPr>
      </w:pPr>
    </w:p>
    <w:tbl>
      <w:tblPr>
        <w:tblLayout w:type="fixed"/>
        <w:tblInd w:w="3480" w:type="dxa"/>
        <w:tblCellMar>
          <w:top w:w="0" w:type="dxa"/>
          <w:left w:w="0" w:type="dxa"/>
          <w:bottom w:w="0" w:type="dxa"/>
          <w:right w:w="0" w:type="dxa"/>
        </w:tblCellMar>
      </w:tblPr>
      <w:tr>
        <w:trPr>
          <w:trHeight w:val="217"/>
        </w:trPr>
        <w:tc>
          <w:tcPr>
            <w:tcW w:w="1700" w:type="dxa"/>
            <w:vAlign w:val="bottom"/>
          </w:tcPr>
          <w:p>
            <w:pPr>
              <w:spacing w:after="0"/>
              <w:rPr>
                <w:sz w:val="20"/>
                <w:szCs w:val="20"/>
                <w:color w:val="auto"/>
              </w:rPr>
            </w:pPr>
            <w:r>
              <w:rPr>
                <w:rFonts w:ascii="Arial" w:cs="Arial" w:eastAsia="Arial" w:hAnsi="Arial"/>
                <w:sz w:val="16"/>
                <w:szCs w:val="16"/>
                <w:color w:val="0055B5"/>
              </w:rPr>
              <w:t>2025 Annual Report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74B500"/>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167640</wp:posOffset>
            </wp:positionV>
            <wp:extent cx="7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2">
            <w:col w:w="4540" w:space="580"/>
            <w:col w:w="5460"/>
          </w:cols>
          <w:pgMar w:left="540" w:top="480" w:right="760" w:bottom="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7905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extLst>
                    </a:blip>
                    <a:srcRect/>
                    <a:stretch>
                      <a:fillRect/>
                    </a:stretch>
                  </pic:blipFill>
                  <pic:spPr bwMode="auto">
                    <a:xfrm>
                      <a:off x="0" y="0"/>
                      <a:ext cx="7543800" cy="7905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920"/>
        <w:spacing w:after="0" w:line="241" w:lineRule="auto"/>
        <w:rPr>
          <w:sz w:val="20"/>
          <w:szCs w:val="20"/>
          <w:color w:val="auto"/>
        </w:rPr>
      </w:pPr>
      <w:r>
        <w:rPr>
          <w:rFonts w:ascii="Arial" w:cs="Arial" w:eastAsia="Arial" w:hAnsi="Arial"/>
          <w:sz w:val="51"/>
          <w:szCs w:val="51"/>
          <w:b w:val="1"/>
          <w:bCs w:val="1"/>
          <w:color w:val="74B500"/>
        </w:rPr>
        <w:t xml:space="preserve">DEAR FELLOW </w:t>
      </w:r>
      <w:r>
        <w:rPr>
          <w:rFonts w:ascii="Arial" w:cs="Arial" w:eastAsia="Arial" w:hAnsi="Arial"/>
          <w:sz w:val="51"/>
          <w:szCs w:val="51"/>
          <w:b w:val="1"/>
          <w:bCs w:val="1"/>
          <w:color w:val="0055B5"/>
        </w:rPr>
        <w:t>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74B500"/>
        </w:rPr>
        <w:t xml:space="preserve">April </w:t>
      </w:r>
      <w:r>
        <w:rPr>
          <w:rFonts w:ascii="Arial" w:cs="Arial" w:eastAsia="Arial" w:hAnsi="Arial"/>
          <w:sz w:val="24"/>
          <w:szCs w:val="24"/>
          <w:b w:val="1"/>
          <w:bCs w:val="1"/>
          <w:color w:val="0055B5"/>
        </w:rPr>
        <w:t>2025</w:t>
      </w:r>
    </w:p>
    <w:p>
      <w:pPr>
        <w:spacing w:after="0" w:line="215" w:lineRule="exact"/>
        <w:rPr>
          <w:sz w:val="20"/>
          <w:szCs w:val="20"/>
          <w:color w:val="auto"/>
        </w:rPr>
      </w:pPr>
    </w:p>
    <w:p>
      <w:pPr>
        <w:ind w:right="1340"/>
        <w:spacing w:after="0" w:line="261" w:lineRule="auto"/>
        <w:rPr>
          <w:sz w:val="20"/>
          <w:szCs w:val="20"/>
          <w:color w:val="auto"/>
        </w:rPr>
      </w:pPr>
      <w:r>
        <w:rPr>
          <w:rFonts w:ascii="Arial" w:cs="Arial" w:eastAsia="Arial" w:hAnsi="Arial"/>
          <w:sz w:val="16"/>
          <w:szCs w:val="16"/>
          <w:color w:val="191919"/>
        </w:rPr>
        <w:t>As I step into the role of Chief Executive Officer, I am honored and energized to lead Dycom into its next chapter and am committed to driving sustainable growth and delivering long-term value to you, our shareholders.</w:t>
      </w:r>
    </w:p>
    <w:p>
      <w:pPr>
        <w:spacing w:after="0" w:line="160" w:lineRule="exact"/>
        <w:rPr>
          <w:sz w:val="20"/>
          <w:szCs w:val="20"/>
          <w:color w:val="auto"/>
        </w:rPr>
      </w:pPr>
    </w:p>
    <w:p>
      <w:pPr>
        <w:ind w:right="1240"/>
        <w:spacing w:after="0" w:line="250" w:lineRule="auto"/>
        <w:rPr>
          <w:sz w:val="20"/>
          <w:szCs w:val="20"/>
          <w:color w:val="auto"/>
        </w:rPr>
      </w:pPr>
      <w:r>
        <w:rPr>
          <w:rFonts w:ascii="Arial" w:cs="Arial" w:eastAsia="Arial" w:hAnsi="Arial"/>
          <w:sz w:val="16"/>
          <w:szCs w:val="16"/>
          <w:color w:val="191919"/>
        </w:rPr>
        <w:t>As Dycom’s Chief Operating Officer for the past four years, I helped develop and execute our strategy, have engaged extensively with our operating groups, customers, and stakeholders, and I continue to be inspired by the dedication of our thousands of employees. As CEO,</w:t>
      </w:r>
    </w:p>
    <w:p>
      <w:pPr>
        <w:spacing w:after="0" w:line="1" w:lineRule="exact"/>
        <w:rPr>
          <w:sz w:val="20"/>
          <w:szCs w:val="20"/>
          <w:color w:val="auto"/>
        </w:rPr>
      </w:pPr>
    </w:p>
    <w:p>
      <w:pPr>
        <w:ind w:right="1500"/>
        <w:spacing w:after="0" w:line="283" w:lineRule="auto"/>
        <w:rPr>
          <w:sz w:val="20"/>
          <w:szCs w:val="20"/>
          <w:color w:val="auto"/>
        </w:rPr>
      </w:pPr>
      <w:r>
        <w:rPr>
          <w:rFonts w:ascii="Arial" w:cs="Arial" w:eastAsia="Arial" w:hAnsi="Arial"/>
          <w:sz w:val="16"/>
          <w:szCs w:val="16"/>
          <w:color w:val="191919"/>
        </w:rPr>
        <w:t>I am more confident than ever about our collective ability to drive Dycom’s future success.</w:t>
      </w:r>
    </w:p>
    <w:p>
      <w:pPr>
        <w:spacing w:after="0" w:line="142" w:lineRule="exact"/>
        <w:rPr>
          <w:sz w:val="20"/>
          <w:szCs w:val="20"/>
          <w:color w:val="auto"/>
        </w:rPr>
      </w:pPr>
    </w:p>
    <w:p>
      <w:pPr>
        <w:ind w:right="1380"/>
        <w:spacing w:after="0" w:line="257" w:lineRule="auto"/>
        <w:rPr>
          <w:sz w:val="20"/>
          <w:szCs w:val="20"/>
          <w:color w:val="auto"/>
        </w:rPr>
      </w:pPr>
      <w:r>
        <w:rPr>
          <w:rFonts w:ascii="Arial" w:cs="Arial" w:eastAsia="Arial" w:hAnsi="Arial"/>
          <w:sz w:val="16"/>
          <w:szCs w:val="16"/>
          <w:color w:val="191919"/>
        </w:rPr>
        <w:t>We remain steadfast in our core strategy: to consistently deliver services to our customers and communities at a level of quality that defines the industry and to provide unparalleled opportunities for our people as we fulfill our vision to be “The People Connecting America.” By doing so, we will continue to deliver exceptional value to our shareholders.</w:t>
      </w:r>
    </w:p>
    <w:p>
      <w:pPr>
        <w:spacing w:after="0" w:line="162" w:lineRule="exact"/>
        <w:rPr>
          <w:sz w:val="20"/>
          <w:szCs w:val="20"/>
          <w:color w:val="auto"/>
        </w:rPr>
      </w:pPr>
    </w:p>
    <w:p>
      <w:pPr>
        <w:ind w:right="1340"/>
        <w:spacing w:after="0" w:line="254" w:lineRule="auto"/>
        <w:rPr>
          <w:sz w:val="20"/>
          <w:szCs w:val="20"/>
          <w:color w:val="auto"/>
        </w:rPr>
      </w:pPr>
      <w:r>
        <w:rPr>
          <w:rFonts w:ascii="Arial" w:cs="Arial" w:eastAsia="Arial" w:hAnsi="Arial"/>
          <w:sz w:val="16"/>
          <w:szCs w:val="16"/>
          <w:color w:val="191919"/>
        </w:rPr>
        <w:t>We call this concept “Quality as a Brand.” We define it as the highest level of safety and quality in the field and in the infrastructure we install. We take it further by elevating standards at every step of the process and throughout the entire experience, from day one to day-done. Our teams proactively communicate to stay ten steps ahead and ensure certainty for our customers, the communities where we operate, and our stakeholders. Our comprehensive footprint and proven experience across the telecommunications and digital infrastructure markets enable our people to bring the know-how and relationships that drive excellence and success.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520"/>
        <w:spacing w:after="0" w:line="250" w:lineRule="auto"/>
        <w:rPr>
          <w:sz w:val="20"/>
          <w:szCs w:val="20"/>
          <w:color w:val="auto"/>
        </w:rPr>
      </w:pPr>
      <w:r>
        <w:rPr>
          <w:rFonts w:ascii="Arial" w:cs="Arial" w:eastAsia="Arial" w:hAnsi="Arial"/>
          <w:sz w:val="36"/>
          <w:szCs w:val="36"/>
          <w:color w:val="191919"/>
        </w:rPr>
        <w:t>We remain steadfast in our core strategy: to consistently deliver services to our customers and communities at a level of 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-6426200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rPr>
          <w:sz w:val="20"/>
          <w:szCs w:val="20"/>
          <w:color w:val="auto"/>
        </w:rPr>
      </w:pPr>
      <w:r>
        <w:rPr>
          <w:rFonts w:ascii="Arial" w:cs="Arial" w:eastAsia="Arial" w:hAnsi="Arial"/>
          <w:sz w:val="36"/>
          <w:szCs w:val="36"/>
          <w:color w:val="191919"/>
        </w:rPr>
        <w:t>that defines</w:t>
      </w:r>
    </w:p>
    <w:p>
      <w:pPr>
        <w:spacing w:after="0" w:line="18" w:lineRule="exact"/>
        <w:rPr>
          <w:sz w:val="20"/>
          <w:szCs w:val="20"/>
          <w:color w:val="auto"/>
        </w:rPr>
      </w:pPr>
    </w:p>
    <w:p>
      <w:pPr>
        <w:spacing w:after="0"/>
        <w:rPr>
          <w:sz w:val="20"/>
          <w:szCs w:val="20"/>
          <w:color w:val="auto"/>
        </w:rPr>
      </w:pPr>
      <w:r>
        <w:rPr>
          <w:rFonts w:ascii="Arial" w:cs="Arial" w:eastAsia="Arial" w:hAnsi="Arial"/>
          <w:sz w:val="36"/>
          <w:szCs w:val="36"/>
          <w:color w:val="191919"/>
        </w:rPr>
        <w:t>the industry.</w:t>
      </w:r>
    </w:p>
    <w:p>
      <w:pPr>
        <w:spacing w:after="0" w:line="1793" w:lineRule="exact"/>
        <w:rPr>
          <w:sz w:val="20"/>
          <w:szCs w:val="20"/>
          <w:color w:val="auto"/>
        </w:rPr>
      </w:pPr>
    </w:p>
    <w:p>
      <w:pPr>
        <w:sectPr>
          <w:pgSz w:w="11880" w:h="15480" w:orient="portrait"/>
          <w:cols w:equalWidth="0" w:num="2">
            <w:col w:w="6380" w:space="720"/>
            <w:col w:w="3600"/>
          </w:cols>
          <w:pgMar w:left="540" w:top="1440" w:right="640" w:bottom="0" w:gutter="0" w:footer="0" w:header="0"/>
        </w:sectPr>
      </w:pPr>
    </w:p>
    <w:p>
      <w:pPr>
        <w:spacing w:after="0"/>
        <w:rPr>
          <w:sz w:val="20"/>
          <w:szCs w:val="20"/>
          <w:color w:val="auto"/>
        </w:rPr>
      </w:pPr>
      <w:r>
        <w:rPr>
          <w:rFonts w:ascii="Arial" w:cs="Arial" w:eastAsia="Arial" w:hAnsi="Arial"/>
          <w:sz w:val="16"/>
          <w:szCs w:val="16"/>
          <w:color w:val="191919"/>
        </w:rPr>
        <w:t>We have demonstrated our ability to capitalize on both near and long-term opportunities and are well-positioned for continued growth.</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191919"/>
        </w:rPr>
        <w:t>With rapidly evolving digital infrastructure needs, the complexity of projects in our industry has increased, and we expect it to continue to do so.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191919"/>
        </w:rPr>
        <w:t>This complexity favors Dycom. Our customers have ambitious plans, and we consistently deliver to support their needs.</w:t>
      </w:r>
    </w:p>
    <w:p>
      <w:pPr>
        <w:spacing w:after="0" w:line="200"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191919"/>
        </w:rPr>
        <w:t>Our intense focus on the wireline and wireless telecommunications industry means we constantly innovate, whether in process, applications, AI deployment, or at the face of the work; we commit the capital and the horsepower to move the needle. Our local-first approach, fostering relationships built on decades of work in our cities and communities, is complimented by our enterprise knowledge and expertise. The result? Intense coordination and next-level systems and processes that quickly and reliably turn complexity into achievable objectives that are clearly measured and openly accountable.</w:t>
      </w:r>
    </w:p>
    <w:p>
      <w:pPr>
        <w:sectPr>
          <w:pgSz w:w="11880" w:h="15480" w:orient="portrait"/>
          <w:cols w:equalWidth="0" w:num="1">
            <w:col w:w="10700"/>
          </w:cols>
          <w:pgMar w:left="540" w:top="1440" w:right="640" w:bottom="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700" w:hanging="463"/>
        <w:spacing w:after="0"/>
        <w:tabs>
          <w:tab w:leader="none" w:pos="700" w:val="left"/>
        </w:tabs>
        <w:numPr>
          <w:ilvl w:val="0"/>
          <w:numId w:val="1"/>
        </w:numPr>
        <w:rPr>
          <w:rFonts w:ascii="Arial" w:cs="Arial" w:eastAsia="Arial" w:hAnsi="Arial"/>
          <w:sz w:val="16"/>
          <w:szCs w:val="16"/>
          <w:b w:val="1"/>
          <w:bCs w:val="1"/>
          <w:color w:val="74B500"/>
        </w:rPr>
      </w:pPr>
      <w:r>
        <w:rPr>
          <w:rFonts w:ascii="Arial" w:cs="Arial" w:eastAsia="Arial" w:hAnsi="Arial"/>
          <w:sz w:val="16"/>
          <w:szCs w:val="16"/>
          <w:color w:val="0055B5"/>
        </w:rPr>
        <w:t>Dycom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186690</wp:posOffset>
            </wp:positionV>
            <wp:extent cx="76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7193280</wp:posOffset>
            </wp:positionH>
            <wp:positionV relativeFrom="paragraph">
              <wp:posOffset>186690</wp:posOffset>
            </wp:positionV>
            <wp:extent cx="76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10700"/>
          </w:cols>
          <w:pgMar w:left="540" w:top="1440" w:right="640" w:bottom="0" w:gutter="0" w:footer="0" w:header="0"/>
          <w:type w:val="continuous"/>
        </w:sectPr>
      </w:pPr>
    </w:p>
    <w:bookmarkStart w:id="4" w:name="page5"/>
    <w:bookmarkEnd w:id="4"/>
    <w:p>
      <w:pPr>
        <w:ind w:left="10" w:right="20"/>
        <w:spacing w:after="0" w:line="283" w:lineRule="auto"/>
        <w:rPr>
          <w:sz w:val="20"/>
          <w:szCs w:val="20"/>
          <w:color w:val="auto"/>
        </w:rPr>
      </w:pPr>
      <w:r>
        <w:rPr>
          <w:rFonts w:ascii="Arial" w:cs="Arial" w:eastAsia="Arial" w:hAnsi="Arial"/>
          <w:sz w:val="16"/>
          <w:szCs w:val="16"/>
          <w:color w:val="191919"/>
        </w:rPr>
        <w:drawing>
          <wp:anchor simplePos="0" relativeHeight="251657728" behindDoc="1" locked="0" layoutInCell="0" allowOverlap="1">
            <wp:simplePos x="0" y="0"/>
            <wp:positionH relativeFrom="page">
              <wp:posOffset>0</wp:posOffset>
            </wp:positionH>
            <wp:positionV relativeFrom="page">
              <wp:posOffset>0</wp:posOffset>
            </wp:positionV>
            <wp:extent cx="7233920" cy="9370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extLst>
                    </a:blip>
                    <a:srcRect/>
                    <a:stretch>
                      <a:fillRect/>
                    </a:stretch>
                  </pic:blipFill>
                  <pic:spPr bwMode="auto">
                    <a:xfrm>
                      <a:off x="0" y="0"/>
                      <a:ext cx="7233920" cy="9370060"/>
                    </a:xfrm>
                    <a:prstGeom prst="rect">
                      <a:avLst/>
                    </a:prstGeom>
                    <a:noFill/>
                  </pic:spPr>
                </pic:pic>
              </a:graphicData>
            </a:graphic>
          </wp:anchor>
        </w:drawing>
        <w:t>The demand drivers in our industry are robust and have never been more significant:</w:t>
      </w:r>
    </w:p>
    <w:p>
      <w:pPr>
        <w:spacing w:after="0" w:line="142" w:lineRule="exact"/>
        <w:rPr>
          <w:sz w:val="20"/>
          <w:szCs w:val="20"/>
          <w:color w:val="auto"/>
        </w:rPr>
      </w:pPr>
    </w:p>
    <w:p>
      <w:pPr>
        <w:ind w:left="270" w:right="80" w:hanging="270"/>
        <w:spacing w:after="0" w:line="253" w:lineRule="auto"/>
        <w:tabs>
          <w:tab w:leader="none" w:pos="270" w:val="left"/>
        </w:tabs>
        <w:numPr>
          <w:ilvl w:val="0"/>
          <w:numId w:val="2"/>
        </w:numPr>
        <w:rPr>
          <w:rFonts w:ascii="Arial" w:cs="Arial" w:eastAsia="Arial" w:hAnsi="Arial"/>
          <w:sz w:val="16"/>
          <w:szCs w:val="16"/>
          <w:color w:val="0055B5"/>
        </w:rPr>
      </w:pPr>
      <w:r>
        <w:rPr>
          <w:rFonts w:ascii="Arial" w:cs="Arial" w:eastAsia="Arial" w:hAnsi="Arial"/>
          <w:sz w:val="16"/>
          <w:szCs w:val="16"/>
          <w:color w:val="191919"/>
        </w:rPr>
        <w:t>Fiber-to-the-Home (FTTH): Since being reinvigorated several years ago, FTTH builds have continued to make substantial progress, and the opportunity remains significant in the coming years. In the last 14 months our customers have collectively added an incremental 37 million passings to their plans. In total, an estimated 76.5 million homes are uniquely passed as of calendar 2024, so these plans, and the incremental increase, are significant and provide further evidence that high-speed broadband has become an essential service. We delivered millions of passings in calendar 2024 and are well-positioned to continue capturing this growth.</w:t>
      </w:r>
    </w:p>
    <w:p>
      <w:pPr>
        <w:spacing w:after="0" w:line="170" w:lineRule="exact"/>
        <w:rPr>
          <w:rFonts w:ascii="Arial" w:cs="Arial" w:eastAsia="Arial" w:hAnsi="Arial"/>
          <w:sz w:val="16"/>
          <w:szCs w:val="16"/>
          <w:color w:val="0055B5"/>
        </w:rPr>
      </w:pPr>
    </w:p>
    <w:p>
      <w:pPr>
        <w:ind w:left="270" w:hanging="270"/>
        <w:spacing w:after="0"/>
        <w:tabs>
          <w:tab w:leader="none" w:pos="270" w:val="left"/>
        </w:tabs>
        <w:numPr>
          <w:ilvl w:val="0"/>
          <w:numId w:val="2"/>
        </w:numPr>
        <w:rPr>
          <w:rFonts w:ascii="Arial" w:cs="Arial" w:eastAsia="Arial" w:hAnsi="Arial"/>
          <w:sz w:val="16"/>
          <w:szCs w:val="16"/>
          <w:color w:val="0055B5"/>
        </w:rPr>
      </w:pPr>
      <w:r>
        <w:rPr>
          <w:rFonts w:ascii="Arial" w:cs="Arial" w:eastAsia="Arial" w:hAnsi="Arial"/>
          <w:sz w:val="16"/>
          <w:szCs w:val="16"/>
          <w:color w:val="191919"/>
        </w:rPr>
        <w:t>Hyperscaler AI Infrastructure: The AI race continues to escalate.</w:t>
      </w:r>
    </w:p>
    <w:p>
      <w:pPr>
        <w:spacing w:after="0" w:line="8" w:lineRule="exact"/>
        <w:rPr>
          <w:rFonts w:ascii="Arial" w:cs="Arial" w:eastAsia="Arial" w:hAnsi="Arial"/>
          <w:sz w:val="16"/>
          <w:szCs w:val="16"/>
          <w:color w:val="0055B5"/>
        </w:rPr>
      </w:pPr>
    </w:p>
    <w:p>
      <w:pPr>
        <w:ind w:left="270" w:right="80"/>
        <w:spacing w:after="0" w:line="255" w:lineRule="auto"/>
        <w:rPr>
          <w:rFonts w:ascii="Arial" w:cs="Arial" w:eastAsia="Arial" w:hAnsi="Arial"/>
          <w:sz w:val="16"/>
          <w:szCs w:val="16"/>
          <w:color w:val="0055B5"/>
        </w:rPr>
      </w:pPr>
      <w:r>
        <w:rPr>
          <w:rFonts w:ascii="Arial" w:cs="Arial" w:eastAsia="Arial" w:hAnsi="Arial"/>
          <w:sz w:val="16"/>
          <w:szCs w:val="16"/>
          <w:color w:val="191919"/>
        </w:rPr>
        <w:t>For calendar 2025, the five major hyperscalers have committed approximately $320 billion in capital expenditures, largely for AI infrastructure, a $100 billion increase over last year. While the majority of that spend will be on data centers and equipment, they will also need high-capacity, ultra-low latency, private, secure, redundant fiber infrastructure to connect their data centers nationwide. We are building these long-haul networks today and expect this driver to continue for many years.</w:t>
      </w:r>
    </w:p>
    <w:p>
      <w:pPr>
        <w:spacing w:after="0" w:line="164" w:lineRule="exact"/>
        <w:rPr>
          <w:rFonts w:ascii="Arial" w:cs="Arial" w:eastAsia="Arial" w:hAnsi="Arial"/>
          <w:sz w:val="16"/>
          <w:szCs w:val="16"/>
          <w:color w:val="0055B5"/>
        </w:rPr>
      </w:pPr>
    </w:p>
    <w:p>
      <w:pPr>
        <w:ind w:left="270" w:hanging="270"/>
        <w:spacing w:after="0" w:line="254" w:lineRule="auto"/>
        <w:tabs>
          <w:tab w:leader="none" w:pos="270" w:val="left"/>
        </w:tabs>
        <w:numPr>
          <w:ilvl w:val="0"/>
          <w:numId w:val="2"/>
        </w:numPr>
        <w:rPr>
          <w:rFonts w:ascii="Arial" w:cs="Arial" w:eastAsia="Arial" w:hAnsi="Arial"/>
          <w:sz w:val="16"/>
          <w:szCs w:val="16"/>
          <w:color w:val="0055B5"/>
        </w:rPr>
      </w:pPr>
      <w:r>
        <w:rPr>
          <w:rFonts w:ascii="Arial" w:cs="Arial" w:eastAsia="Arial" w:hAnsi="Arial"/>
          <w:sz w:val="16"/>
          <w:szCs w:val="16"/>
          <w:color w:val="191919"/>
        </w:rPr>
        <w:t>Rural Broadband Expansion: The necessity of connecting every home to high-speed broadband means bridging the digital divide in rural America, and state and federal funding continues to close the gap. States awarded over $1 billion for broadband infrastructure in Q4 2024 alone. Federal programs like RDOF have been funding rural builds for several years, and newer programs, like BEAD, will provide additional funds to support this effort. We expect this driver to connect millions of additional rural homes this decade and potentially into the next.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90" w:right="820"/>
        <w:spacing w:after="0" w:line="250" w:lineRule="auto"/>
        <w:rPr>
          <w:sz w:val="20"/>
          <w:szCs w:val="20"/>
          <w:color w:val="auto"/>
        </w:rPr>
      </w:pPr>
      <w:r>
        <w:rPr>
          <w:rFonts w:ascii="Arial" w:cs="Arial" w:eastAsia="Arial" w:hAnsi="Arial"/>
          <w:sz w:val="36"/>
          <w:szCs w:val="36"/>
          <w:color w:val="191919"/>
        </w:rPr>
        <w:t>The benefits of our strategy, the power of our positioning and execution, and the drivers</w:t>
      </w:r>
    </w:p>
    <w:p>
      <w:pPr>
        <w:spacing w:after="0" w:line="4" w:lineRule="exact"/>
        <w:rPr>
          <w:sz w:val="20"/>
          <w:szCs w:val="20"/>
          <w:color w:val="auto"/>
        </w:rPr>
      </w:pPr>
    </w:p>
    <w:p>
      <w:pPr>
        <w:ind w:left="990" w:right="660"/>
        <w:spacing w:after="0" w:line="253" w:lineRule="auto"/>
        <w:rPr>
          <w:sz w:val="20"/>
          <w:szCs w:val="20"/>
          <w:color w:val="auto"/>
        </w:rPr>
      </w:pPr>
      <w:r>
        <w:rPr>
          <w:rFonts w:ascii="Arial" w:cs="Arial" w:eastAsia="Arial" w:hAnsi="Arial"/>
          <w:sz w:val="36"/>
          <w:szCs w:val="36"/>
          <w:color w:val="191919"/>
        </w:rPr>
        <w:t>of demand in our markets drove a track record of strong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 w:right="40"/>
        <w:spacing w:after="0" w:line="252" w:lineRule="auto"/>
        <w:rPr>
          <w:sz w:val="20"/>
          <w:szCs w:val="20"/>
          <w:color w:val="auto"/>
        </w:rPr>
      </w:pPr>
      <w:r>
        <w:rPr>
          <w:rFonts w:ascii="Arial" w:cs="Arial" w:eastAsia="Arial" w:hAnsi="Arial"/>
          <w:sz w:val="16"/>
          <w:szCs w:val="16"/>
          <w:color w:val="191919"/>
        </w:rPr>
        <w:t>Underlying these drivers, our core service and maintenance business ensures the upkeep, modernization and extension of installed plant, and continues to grow. With each new project, whether FTTH, long-haul, or rural, we look to add the follow-on service and maintenance to our business. Each new award expands our footprint and readiness for new build initiatives. The benefits of our strategy, the power of our positioning and execution, and the drivers of demand in our markets drove a track record of strong performance. Since FY2022, we have achieved a 50% total revenue increase, expanded our Adjusted EBITDA</w:t>
      </w:r>
      <w:r>
        <w:rPr>
          <w:rFonts w:ascii="Arial" w:cs="Arial" w:eastAsia="Arial" w:hAnsi="Arial"/>
          <w:sz w:val="9"/>
          <w:szCs w:val="9"/>
          <w:color w:val="191919"/>
        </w:rPr>
        <w:t>1</w:t>
      </w:r>
      <w:r>
        <w:rPr>
          <w:rFonts w:ascii="Arial" w:cs="Arial" w:eastAsia="Arial" w:hAnsi="Arial"/>
          <w:sz w:val="16"/>
          <w:szCs w:val="16"/>
          <w:color w:val="191919"/>
        </w:rPr>
        <w:t xml:space="preserve"> margin by 450 basis points, and diversified our top 5 customer concentration from 66% to 55%. We generated another year of excellent results in FY2025. We achieved record revenues of $4.7 billion, an increase of 12.6%, and Adjusted EBITDA</w:t>
      </w:r>
      <w:r>
        <w:rPr>
          <w:rFonts w:ascii="Arial" w:cs="Arial" w:eastAsia="Arial" w:hAnsi="Arial"/>
          <w:sz w:val="9"/>
          <w:szCs w:val="9"/>
          <w:color w:val="191919"/>
        </w:rPr>
        <w:t>1</w:t>
      </w:r>
      <w:r>
        <w:rPr>
          <w:rFonts w:ascii="Arial" w:cs="Arial" w:eastAsia="Arial" w:hAnsi="Arial"/>
          <w:sz w:val="16"/>
          <w:szCs w:val="16"/>
          <w:color w:val="191919"/>
        </w:rPr>
        <w:t xml:space="preserve"> grew 19.8% to $576.3 million. Our Adjusted EBITDA</w:t>
      </w:r>
      <w:r>
        <w:rPr>
          <w:rFonts w:ascii="Arial" w:cs="Arial" w:eastAsia="Arial" w:hAnsi="Arial"/>
          <w:sz w:val="9"/>
          <w:szCs w:val="9"/>
          <w:color w:val="191919"/>
        </w:rPr>
        <w:t>1</w:t>
      </w:r>
      <w:r>
        <w:rPr>
          <w:rFonts w:ascii="Arial" w:cs="Arial" w:eastAsia="Arial" w:hAnsi="Arial"/>
          <w:sz w:val="16"/>
          <w:szCs w:val="16"/>
          <w:color w:val="191919"/>
        </w:rPr>
        <w:t xml:space="preserve"> margin expanded 66 bps to 12.3%, and our Adjusted Diluted EPS</w:t>
      </w:r>
      <w:r>
        <w:rPr>
          <w:rFonts w:ascii="Arial" w:cs="Arial" w:eastAsia="Arial" w:hAnsi="Arial"/>
          <w:sz w:val="9"/>
          <w:szCs w:val="9"/>
          <w:color w:val="191919"/>
        </w:rPr>
        <w:t>1</w:t>
      </w:r>
      <w:r>
        <w:rPr>
          <w:rFonts w:ascii="Arial" w:cs="Arial" w:eastAsia="Arial" w:hAnsi="Arial"/>
          <w:sz w:val="16"/>
          <w:szCs w:val="16"/>
          <w:color w:val="191919"/>
        </w:rPr>
        <w:t xml:space="preserve"> grew 24.5% to a record of $8.44.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3592195</wp:posOffset>
            </wp:positionH>
            <wp:positionV relativeFrom="paragraph">
              <wp:posOffset>-7016115</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53" w:lineRule="exact"/>
        <w:rPr>
          <w:sz w:val="20"/>
          <w:szCs w:val="20"/>
          <w:color w:val="auto"/>
        </w:rPr>
      </w:pPr>
    </w:p>
    <w:p>
      <w:pPr>
        <w:jc w:val="both"/>
        <w:ind w:left="10" w:right="100"/>
        <w:spacing w:after="0" w:line="267" w:lineRule="auto"/>
        <w:rPr>
          <w:sz w:val="20"/>
          <w:szCs w:val="20"/>
          <w:color w:val="auto"/>
        </w:rPr>
      </w:pPr>
      <w:r>
        <w:rPr>
          <w:rFonts w:ascii="Arial" w:cs="Arial" w:eastAsia="Arial" w:hAnsi="Arial"/>
          <w:sz w:val="16"/>
          <w:szCs w:val="16"/>
          <w:color w:val="191919"/>
        </w:rPr>
        <w:t>We improved our cash flow in FY2025, reducing DSOs to 114 days and generating operating cash flow of $349.1 million and free cash flow</w:t>
      </w:r>
      <w:r>
        <w:rPr>
          <w:rFonts w:ascii="Arial" w:cs="Arial" w:eastAsia="Arial" w:hAnsi="Arial"/>
          <w:sz w:val="9"/>
          <w:szCs w:val="9"/>
          <w:color w:val="191919"/>
        </w:rPr>
        <w:t>1</w:t>
      </w:r>
      <w:r>
        <w:rPr>
          <w:rFonts w:ascii="Arial" w:cs="Arial" w:eastAsia="Arial" w:hAnsi="Arial"/>
          <w:sz w:val="16"/>
          <w:szCs w:val="16"/>
          <w:color w:val="191919"/>
        </w:rPr>
        <w:t xml:space="preserve"> of $137.8 million, an 82% increase over the prior year.</w:t>
      </w:r>
    </w:p>
    <w:p>
      <w:pPr>
        <w:spacing w:after="0" w:line="154" w:lineRule="exact"/>
        <w:rPr>
          <w:sz w:val="20"/>
          <w:szCs w:val="20"/>
          <w:color w:val="auto"/>
        </w:rPr>
      </w:pPr>
    </w:p>
    <w:p>
      <w:pPr>
        <w:ind w:left="10" w:right="200"/>
        <w:spacing w:after="0" w:line="256" w:lineRule="auto"/>
        <w:rPr>
          <w:sz w:val="20"/>
          <w:szCs w:val="20"/>
          <w:color w:val="auto"/>
        </w:rPr>
      </w:pPr>
      <w:r>
        <w:rPr>
          <w:rFonts w:ascii="Arial" w:cs="Arial" w:eastAsia="Arial" w:hAnsi="Arial"/>
          <w:sz w:val="16"/>
          <w:szCs w:val="16"/>
          <w:color w:val="191919"/>
        </w:rPr>
        <w:t>We utilized this strong cash flow to execute against our capital allocation strategy, funding continued growth and closing three acquisitions, including the $150 million purchase of the wireless business from Black &amp; Veatch, which is already exceeding our initial expectations. We also returned capital to our shareholders, repurchasing 410,000 shares of common stock over the course of the year.</w:t>
      </w:r>
    </w:p>
    <w:p>
      <w:pPr>
        <w:spacing w:after="0" w:line="200" w:lineRule="exact"/>
        <w:rPr>
          <w:sz w:val="20"/>
          <w:szCs w:val="20"/>
          <w:color w:val="auto"/>
        </w:rPr>
      </w:pPr>
    </w:p>
    <w:p>
      <w:pPr>
        <w:spacing w:after="0" w:line="261" w:lineRule="exact"/>
        <w:rPr>
          <w:sz w:val="20"/>
          <w:szCs w:val="20"/>
          <w:color w:val="auto"/>
        </w:rPr>
      </w:pPr>
    </w:p>
    <w:p>
      <w:pPr>
        <w:ind w:left="10" w:hanging="10"/>
        <w:spacing w:after="0" w:line="261" w:lineRule="auto"/>
        <w:tabs>
          <w:tab w:leader="none" w:pos="81" w:val="left"/>
        </w:tabs>
        <w:numPr>
          <w:ilvl w:val="0"/>
          <w:numId w:val="3"/>
        </w:numPr>
        <w:rPr>
          <w:rFonts w:ascii="Arial" w:cs="Arial" w:eastAsia="Arial" w:hAnsi="Arial"/>
          <w:sz w:val="7"/>
          <w:szCs w:val="7"/>
          <w:color w:val="191919"/>
        </w:rPr>
      </w:pPr>
      <w:r>
        <w:rPr>
          <w:rFonts w:ascii="Arial" w:cs="Arial" w:eastAsia="Arial" w:hAnsi="Arial"/>
          <w:sz w:val="12"/>
          <w:szCs w:val="12"/>
          <w:color w:val="191919"/>
        </w:rPr>
        <w:t>Adjusted EBITDA, Adjusted Diluted Earnings per Common Share, and free cash flow are non-GAAP financial measures. Please refer to Appendix A of this Annual Report for a reconciliation of these measures to the most directly comparable financial measures calculated and presented in accordance with U.S. generally accepted accounting principles.</w:t>
      </w:r>
    </w:p>
    <w:p>
      <w:pPr>
        <w:spacing w:after="0" w:line="200" w:lineRule="exact"/>
        <w:rPr>
          <w:sz w:val="20"/>
          <w:szCs w:val="20"/>
          <w:color w:val="auto"/>
        </w:rPr>
      </w:pPr>
    </w:p>
    <w:p>
      <w:pPr>
        <w:sectPr>
          <w:pgSz w:w="11880" w:h="15480" w:orient="portrait"/>
          <w:cols w:equalWidth="0" w:num="2">
            <w:col w:w="5090" w:space="570"/>
            <w:col w:w="5070"/>
          </w:cols>
          <w:pgMar w:left="550" w:top="921" w:right="600" w:bottom="0" w:gutter="0" w:footer="0" w:header="0"/>
        </w:sectPr>
      </w:pPr>
    </w:p>
    <w:p>
      <w:pPr>
        <w:spacing w:after="0" w:line="360" w:lineRule="exact"/>
        <w:rPr>
          <w:sz w:val="20"/>
          <w:szCs w:val="20"/>
          <w:color w:val="auto"/>
        </w:rPr>
      </w:pPr>
    </w:p>
    <w:p>
      <w:pPr>
        <w:ind w:left="8590"/>
        <w:spacing w:after="0"/>
        <w:tabs>
          <w:tab w:leader="none" w:pos="10449" w:val="left"/>
        </w:tabs>
        <w:rPr>
          <w:sz w:val="20"/>
          <w:szCs w:val="20"/>
          <w:color w:val="auto"/>
        </w:rPr>
      </w:pPr>
      <w:r>
        <w:rPr>
          <w:rFonts w:ascii="Arial" w:cs="Arial" w:eastAsia="Arial" w:hAnsi="Arial"/>
          <w:sz w:val="16"/>
          <w:szCs w:val="16"/>
          <w:color w:val="0055B5"/>
        </w:rPr>
        <w:t>2025 Annual Report</w:t>
      </w:r>
      <w:r>
        <w:rPr>
          <w:sz w:val="20"/>
          <w:szCs w:val="20"/>
          <w:color w:val="auto"/>
        </w:rPr>
        <w:tab/>
      </w:r>
      <w:r>
        <w:rPr>
          <w:rFonts w:ascii="Arial" w:cs="Arial" w:eastAsia="Arial" w:hAnsi="Arial"/>
          <w:sz w:val="16"/>
          <w:szCs w:val="16"/>
          <w:b w:val="1"/>
          <w:bCs w:val="1"/>
          <w:color w:val="74B5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188595</wp:posOffset>
            </wp:positionV>
            <wp:extent cx="76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7186295</wp:posOffset>
            </wp:positionH>
            <wp:positionV relativeFrom="paragraph">
              <wp:posOffset>188595</wp:posOffset>
            </wp:positionV>
            <wp:extent cx="7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10730"/>
          </w:cols>
          <w:pgMar w:left="550" w:top="921" w:right="600" w:bottom="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63"/>
        <w:spacing w:after="0"/>
        <w:rPr>
          <w:sz w:val="20"/>
          <w:szCs w:val="20"/>
          <w:color w:val="auto"/>
        </w:rPr>
      </w:pPr>
      <w:r>
        <w:rPr>
          <w:rFonts w:ascii="Arial" w:cs="Arial" w:eastAsia="Arial" w:hAnsi="Arial"/>
          <w:sz w:val="31"/>
          <w:szCs w:val="31"/>
          <w:b w:val="1"/>
          <w:bCs w:val="1"/>
          <w:color w:val="0055B5"/>
        </w:rPr>
        <w:t>Dan Peyovich</w:t>
      </w:r>
    </w:p>
    <w:p>
      <w:pPr>
        <w:spacing w:after="0" w:line="19" w:lineRule="exact"/>
        <w:rPr>
          <w:sz w:val="20"/>
          <w:szCs w:val="20"/>
          <w:color w:val="auto"/>
        </w:rPr>
      </w:pPr>
    </w:p>
    <w:p>
      <w:pPr>
        <w:ind w:left="263"/>
        <w:spacing w:after="0"/>
        <w:rPr>
          <w:sz w:val="20"/>
          <w:szCs w:val="20"/>
          <w:color w:val="auto"/>
        </w:rPr>
      </w:pPr>
      <w:r>
        <w:rPr>
          <w:rFonts w:ascii="Arial" w:cs="Arial" w:eastAsia="Arial" w:hAnsi="Arial"/>
          <w:sz w:val="20"/>
          <w:szCs w:val="20"/>
          <w:b w:val="1"/>
          <w:bCs w:val="1"/>
          <w:color w:val="74B500"/>
        </w:rPr>
        <w:t>President and CEO</w:t>
      </w:r>
    </w:p>
    <w:p>
      <w:pPr>
        <w:spacing w:after="0" w:line="20" w:lineRule="exact"/>
        <w:rPr>
          <w:sz w:val="20"/>
          <w:szCs w:val="20"/>
          <w:color w:val="auto"/>
        </w:rPr>
      </w:pPr>
      <w:r>
        <w:rPr>
          <w:sz w:val="20"/>
          <w:szCs w:val="20"/>
          <w:color w:val="auto"/>
        </w:rPr>
        <w:br w:type="column"/>
      </w:r>
    </w:p>
    <w:p>
      <w:pPr>
        <w:ind w:right="80"/>
        <w:spacing w:after="0" w:line="256" w:lineRule="auto"/>
        <w:rPr>
          <w:sz w:val="20"/>
          <w:szCs w:val="20"/>
          <w:color w:val="auto"/>
        </w:rPr>
      </w:pPr>
      <w:r>
        <w:rPr>
          <w:rFonts w:ascii="Arial" w:cs="Arial" w:eastAsia="Arial" w:hAnsi="Arial"/>
          <w:sz w:val="16"/>
          <w:szCs w:val="16"/>
          <w:color w:val="191919"/>
        </w:rPr>
        <w:t>Operationally, we further strengthened our customer relationships, securing additional markets and renewing existing markets for service, maintenance, and FTTH work. We also secured long-haul work, positioning us well for future growth as the AI market continues to develop. We believe our customers value the solutions Dycom provides, and our awards in FY2025 and fiscal year end backlog of $7.8 billon demonstrate our ability to deliver certainty every step of the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-3018790</wp:posOffset>
            </wp:positionH>
            <wp:positionV relativeFrom="paragraph">
              <wp:posOffset>-1493520</wp:posOffset>
            </wp:positionV>
            <wp:extent cx="7324725" cy="93916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extLst>
                    </a:blip>
                    <a:srcRect/>
                    <a:stretch>
                      <a:fillRect/>
                    </a:stretch>
                  </pic:blipFill>
                  <pic:spPr bwMode="auto">
                    <a:xfrm>
                      <a:off x="0" y="0"/>
                      <a:ext cx="7324725" cy="9391650"/>
                    </a:xfrm>
                    <a:prstGeom prst="rect">
                      <a:avLst/>
                    </a:prstGeom>
                    <a:noFill/>
                  </pic:spPr>
                </pic:pic>
              </a:graphicData>
            </a:graphic>
          </wp:anchor>
        </w:drawing>
      </w:r>
    </w:p>
    <w:p>
      <w:pPr>
        <w:spacing w:after="0" w:line="338"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191919"/>
        </w:rPr>
        <w:t>Looking to FY2026 and beyond, we will continue to execute our strategy to capitalize on demand drivers and pursue further growth opportunities. We expect another year of strong performance as we work with our customers to increase FTTH passings, connect AI infrastructure, and close the digital divide in rural America. Our capital allocation disciplines will prioritize investment in organic growth and our recently acquired businesses, followed by M&amp;A and share repurchases.</w:t>
      </w:r>
    </w:p>
    <w:p>
      <w:pPr>
        <w:spacing w:after="0" w:line="162"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191919"/>
        </w:rPr>
        <w:t>In closing I would like to express my sincere gratitude to Steve Nielsen for over three decades of dedication and leadership. His impact can be seen in our results and industry positioning.</w:t>
      </w:r>
    </w:p>
    <w:p>
      <w:pPr>
        <w:spacing w:after="0" w:line="154"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color w:val="191919"/>
        </w:rPr>
        <w:t>I’d also like to thank shareholders and our board for their continued support, in particular Stephen Robinson as he retires from the board of directors this year.</w:t>
      </w:r>
    </w:p>
    <w:p>
      <w:pPr>
        <w:spacing w:after="0" w:line="345"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191919"/>
        </w:rPr>
        <w:t>Most importantly, thank you to the men and women of Dycom for your unwavering commitment to safety and to delivering quality for our customers and communities. I am honored to work alongside you and am confident that together we will drive continued growth and success.</w:t>
      </w:r>
    </w:p>
    <w:p>
      <w:pPr>
        <w:spacing w:after="0" w:line="200" w:lineRule="exact"/>
        <w:rPr>
          <w:sz w:val="20"/>
          <w:szCs w:val="20"/>
          <w:color w:val="auto"/>
        </w:rPr>
      </w:pPr>
    </w:p>
    <w:p>
      <w:pPr>
        <w:sectPr>
          <w:pgSz w:w="11880" w:h="15480" w:orient="portrait"/>
          <w:cols w:equalWidth="0" w:num="2">
            <w:col w:w="3603" w:space="720"/>
            <w:col w:w="5920"/>
          </w:cols>
          <w:pgMar w:left="777" w:top="1175" w:right="860" w:bottom="0" w:gutter="0" w:footer="0" w:header="0"/>
        </w:sectPr>
      </w:pPr>
    </w:p>
    <w:p>
      <w:pPr>
        <w:spacing w:after="0" w:line="200" w:lineRule="exact"/>
        <w:rPr>
          <w:sz w:val="20"/>
          <w:szCs w:val="20"/>
          <w:color w:val="auto"/>
        </w:rPr>
      </w:pPr>
    </w:p>
    <w:p>
      <w:pPr>
        <w:spacing w:after="0" w:line="371" w:lineRule="exact"/>
        <w:rPr>
          <w:sz w:val="20"/>
          <w:szCs w:val="20"/>
          <w:color w:val="auto"/>
        </w:rPr>
      </w:pPr>
    </w:p>
    <w:p>
      <w:pPr>
        <w:ind w:left="163"/>
        <w:spacing w:after="0"/>
        <w:rPr>
          <w:sz w:val="20"/>
          <w:szCs w:val="20"/>
          <w:color w:val="auto"/>
        </w:rPr>
      </w:pPr>
      <w:r>
        <w:rPr>
          <w:rFonts w:ascii="Arial" w:cs="Arial" w:eastAsia="Arial" w:hAnsi="Arial"/>
          <w:sz w:val="54"/>
          <w:szCs w:val="54"/>
          <w:b w:val="1"/>
          <w:bCs w:val="1"/>
          <w:color w:val="0055B5"/>
        </w:rPr>
        <w:t xml:space="preserve">THE PEOPLE </w:t>
      </w:r>
      <w:r>
        <w:rPr>
          <w:rFonts w:ascii="Arial" w:cs="Arial" w:eastAsia="Arial" w:hAnsi="Arial"/>
          <w:sz w:val="54"/>
          <w:szCs w:val="54"/>
          <w:b w:val="1"/>
          <w:bCs w:val="1"/>
          <w:color w:val="74B500"/>
        </w:rPr>
        <w:t>CONNECTING</w:t>
      </w:r>
      <w:r>
        <w:rPr>
          <w:rFonts w:ascii="Arial" w:cs="Arial" w:eastAsia="Arial" w:hAnsi="Arial"/>
          <w:sz w:val="54"/>
          <w:szCs w:val="54"/>
          <w:b w:val="1"/>
          <w:bCs w:val="1"/>
          <w:color w:val="0055B5"/>
        </w:rPr>
        <w:t xml:space="preserve"> AMERICA</w:t>
      </w:r>
      <w:r>
        <w:rPr>
          <w:rFonts w:ascii="Arial" w:cs="Arial" w:eastAsia="Arial" w:hAnsi="Arial"/>
          <w:sz w:val="22"/>
          <w:szCs w:val="22"/>
          <w:color w:val="0055B5"/>
        </w:rPr>
        <w:t>®</w:t>
      </w:r>
    </w:p>
    <w:p>
      <w:pPr>
        <w:sectPr>
          <w:pgSz w:w="11880" w:h="15480" w:orient="portrait"/>
          <w:cols w:equalWidth="0" w:num="1">
            <w:col w:w="10243"/>
          </w:cols>
          <w:pgMar w:left="777" w:top="1175"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3" w:hanging="463"/>
        <w:spacing w:after="0"/>
        <w:tabs>
          <w:tab w:leader="none" w:pos="463" w:val="left"/>
        </w:tabs>
        <w:numPr>
          <w:ilvl w:val="0"/>
          <w:numId w:val="4"/>
        </w:numPr>
        <w:rPr>
          <w:rFonts w:ascii="Arial" w:cs="Arial" w:eastAsia="Arial" w:hAnsi="Arial"/>
          <w:sz w:val="16"/>
          <w:szCs w:val="16"/>
          <w:b w:val="1"/>
          <w:bCs w:val="1"/>
          <w:color w:val="74B500"/>
        </w:rPr>
      </w:pPr>
      <w:r>
        <w:rPr>
          <w:rFonts w:ascii="Arial" w:cs="Arial" w:eastAsia="Arial" w:hAnsi="Arial"/>
          <w:sz w:val="16"/>
          <w:szCs w:val="16"/>
          <w:color w:val="0055B5"/>
        </w:rPr>
        <w:t>Dycom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wp:posOffset>
            </wp:positionH>
            <wp:positionV relativeFrom="paragraph">
              <wp:posOffset>186690</wp:posOffset>
            </wp:positionV>
            <wp:extent cx="76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7042150</wp:posOffset>
            </wp:positionH>
            <wp:positionV relativeFrom="paragraph">
              <wp:posOffset>186690</wp:posOffset>
            </wp:positionV>
            <wp:extent cx="76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10243"/>
          </w:cols>
          <w:pgMar w:left="777" w:top="1175" w:right="860" w:bottom="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t>UNITED STATES SECURITIES AND EXCHANGE COMMISSION</w:t>
      </w:r>
    </w:p>
    <w:p>
      <w:pPr>
        <w:jc w:val="center"/>
        <w:spacing w:after="0" w:line="217" w:lineRule="auto"/>
        <w:rPr>
          <w:sz w:val="20"/>
          <w:szCs w:val="20"/>
          <w:color w:val="auto"/>
        </w:rPr>
      </w:pPr>
      <w:r>
        <w:rPr>
          <w:rFonts w:ascii="Times New Roman" w:cs="Times New Roman" w:eastAsia="Times New Roman" w:hAnsi="Times New Roman"/>
          <w:sz w:val="18"/>
          <w:szCs w:val="18"/>
          <w:b w:val="1"/>
          <w:bCs w:val="1"/>
          <w:color w:val="auto"/>
        </w:rPr>
        <w:t>Washington, D.C. 20549</w:t>
      </w:r>
    </w:p>
    <w:p>
      <w:pPr>
        <w:jc w:val="center"/>
        <w:spacing w:after="0" w:line="225" w:lineRule="auto"/>
        <w:rPr>
          <w:sz w:val="20"/>
          <w:szCs w:val="20"/>
          <w:color w:val="auto"/>
        </w:rPr>
      </w:pPr>
      <w:r>
        <w:rPr>
          <w:rFonts w:ascii="Times New Roman" w:cs="Times New Roman" w:eastAsia="Times New Roman" w:hAnsi="Times New Roman"/>
          <w:sz w:val="18"/>
          <w:szCs w:val="18"/>
          <w:b w:val="1"/>
          <w:bCs w:val="1"/>
          <w:color w:val="auto"/>
        </w:rPr>
        <w:t>FORM 10-K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98" w:lineRule="exact"/>
        <w:rPr>
          <w:sz w:val="20"/>
          <w:szCs w:val="20"/>
          <w:color w:val="auto"/>
        </w:rPr>
      </w:pPr>
    </w:p>
    <w:p>
      <w:pPr>
        <w:ind w:left="320" w:right="640" w:hanging="314"/>
        <w:spacing w:after="0" w:line="272" w:lineRule="auto"/>
        <w:tabs>
          <w:tab w:leader="none" w:pos="287"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January 25, 2025</w:t>
      </w:r>
    </w:p>
    <w:p>
      <w:pPr>
        <w:spacing w:after="0" w:line="281" w:lineRule="exact"/>
        <w:rPr>
          <w:sz w:val="20"/>
          <w:szCs w:val="20"/>
          <w:color w:val="auto"/>
        </w:rPr>
      </w:pPr>
    </w:p>
    <w:p>
      <w:pPr>
        <w:ind w:left="320" w:right="260" w:hanging="314"/>
        <w:spacing w:after="0" w:line="272" w:lineRule="auto"/>
        <w:tabs>
          <w:tab w:leader="none" w:pos="287"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 to ________</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001-10613</w:t>
      </w:r>
    </w:p>
    <w:p>
      <w:pPr>
        <w:jc w:val="center"/>
        <w:spacing w:after="0" w:line="221" w:lineRule="auto"/>
        <w:rPr>
          <w:sz w:val="20"/>
          <w:szCs w:val="20"/>
          <w:color w:val="auto"/>
        </w:rPr>
      </w:pPr>
      <w:r>
        <w:rPr>
          <w:rFonts w:ascii="Times New Roman" w:cs="Times New Roman" w:eastAsia="Times New Roman" w:hAnsi="Times New Roman"/>
          <w:sz w:val="18"/>
          <w:szCs w:val="18"/>
          <w:b w:val="1"/>
          <w:bCs w:val="1"/>
          <w:u w:val="single" w:color="auto"/>
          <w:color w:val="auto"/>
        </w:rPr>
        <w:t>DYCOM INDUSTRIES,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Exact name of registrant as specified in its charter</w:t>
      </w:r>
      <w:r>
        <w:rPr>
          <w:rFonts w:ascii="Times New Roman" w:cs="Times New Roman" w:eastAsia="Times New Roman" w:hAnsi="Times New Roman"/>
          <w:sz w:val="18"/>
          <w:szCs w:val="18"/>
          <w:color w:val="auto"/>
        </w:rPr>
        <w:t>)</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600" w:type="dxa"/>
            <w:vAlign w:val="bottom"/>
            <w:gridSpan w:val="2"/>
          </w:tcPr>
          <w:p>
            <w:pPr>
              <w:jc w:val="center"/>
              <w:ind w:right="2051"/>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402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59-1277135</w:t>
            </w:r>
          </w:p>
        </w:tc>
      </w:tr>
      <w:tr>
        <w:trPr>
          <w:trHeight w:val="170"/>
        </w:trPr>
        <w:tc>
          <w:tcPr>
            <w:tcW w:w="346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6"/>
                <w:szCs w:val="16"/>
                <w:color w:val="auto"/>
                <w:w w:val="99"/>
              </w:rPr>
              <w:t>(</w:t>
            </w:r>
            <w:r>
              <w:rPr>
                <w:rFonts w:ascii="Times New Roman" w:cs="Times New Roman" w:eastAsia="Times New Roman" w:hAnsi="Times New Roman"/>
                <w:sz w:val="16"/>
                <w:szCs w:val="16"/>
                <w:b w:val="1"/>
                <w:bCs w:val="1"/>
                <w:i w:val="1"/>
                <w:iCs w:val="1"/>
                <w:color w:val="auto"/>
                <w:w w:val="99"/>
              </w:rPr>
              <w:t>State or other jurisdiction of incorporation or</w:t>
            </w:r>
          </w:p>
        </w:tc>
        <w:tc>
          <w:tcPr>
            <w:tcW w:w="2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2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6"/>
                <w:szCs w:val="16"/>
                <w:color w:val="auto"/>
                <w:w w:val="96"/>
              </w:rPr>
              <w:t>(</w:t>
            </w:r>
            <w:r>
              <w:rPr>
                <w:rFonts w:ascii="Times New Roman" w:cs="Times New Roman" w:eastAsia="Times New Roman" w:hAnsi="Times New Roman"/>
                <w:sz w:val="16"/>
                <w:szCs w:val="16"/>
                <w:b w:val="1"/>
                <w:bCs w:val="1"/>
                <w:i w:val="1"/>
                <w:iCs w:val="1"/>
                <w:color w:val="auto"/>
                <w:w w:val="96"/>
              </w:rPr>
              <w:t>I.R.S. Employer Identification No.</w:t>
            </w:r>
            <w:r>
              <w:rPr>
                <w:rFonts w:ascii="Times New Roman" w:cs="Times New Roman" w:eastAsia="Times New Roman" w:hAnsi="Times New Roman"/>
                <w:sz w:val="16"/>
                <w:szCs w:val="16"/>
                <w:color w:val="auto"/>
                <w:w w:val="96"/>
              </w:rPr>
              <w:t>)</w:t>
            </w:r>
          </w:p>
        </w:tc>
      </w:tr>
      <w:tr>
        <w:trPr>
          <w:trHeight w:val="213"/>
        </w:trPr>
        <w:tc>
          <w:tcPr>
            <w:tcW w:w="5600" w:type="dxa"/>
            <w:vAlign w:val="bottom"/>
            <w:gridSpan w:val="2"/>
          </w:tcPr>
          <w:p>
            <w:pPr>
              <w:jc w:val="center"/>
              <w:ind w:right="2051"/>
              <w:spacing w:after="0"/>
              <w:rPr>
                <w:sz w:val="20"/>
                <w:szCs w:val="20"/>
                <w:color w:val="auto"/>
              </w:rPr>
            </w:pPr>
            <w:r>
              <w:rPr>
                <w:rFonts w:ascii="Times New Roman" w:cs="Times New Roman" w:eastAsia="Times New Roman" w:hAnsi="Times New Roman"/>
                <w:sz w:val="16"/>
                <w:szCs w:val="16"/>
                <w:b w:val="1"/>
                <w:bCs w:val="1"/>
                <w:i w:val="1"/>
                <w:iCs w:val="1"/>
                <w:color w:val="auto"/>
                <w:w w:val="96"/>
              </w:rPr>
              <w:t>organization</w:t>
            </w:r>
            <w:r>
              <w:rPr>
                <w:rFonts w:ascii="Times New Roman" w:cs="Times New Roman" w:eastAsia="Times New Roman" w:hAnsi="Times New Roman"/>
                <w:sz w:val="16"/>
                <w:szCs w:val="16"/>
                <w:color w:val="auto"/>
                <w:w w:val="96"/>
              </w:rPr>
              <w:t>)</w:t>
            </w:r>
          </w:p>
        </w:tc>
        <w:tc>
          <w:tcPr>
            <w:tcW w:w="70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301"/>
        </w:trPr>
        <w:tc>
          <w:tcPr>
            <w:tcW w:w="3460" w:type="dxa"/>
            <w:vAlign w:val="bottom"/>
          </w:tcPr>
          <w:p>
            <w:pPr>
              <w:spacing w:after="0"/>
              <w:rPr>
                <w:sz w:val="24"/>
                <w:szCs w:val="24"/>
                <w:color w:val="auto"/>
              </w:rPr>
            </w:pPr>
          </w:p>
        </w:tc>
        <w:tc>
          <w:tcPr>
            <w:tcW w:w="61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11780 U.S. Highway One, Suite 600</w:t>
            </w:r>
          </w:p>
        </w:tc>
      </w:tr>
      <w:tr>
        <w:trPr>
          <w:trHeight w:val="276"/>
        </w:trPr>
        <w:tc>
          <w:tcPr>
            <w:tcW w:w="3460" w:type="dxa"/>
            <w:vAlign w:val="bottom"/>
          </w:tcPr>
          <w:p>
            <w:pPr>
              <w:spacing w:after="0"/>
              <w:rPr>
                <w:sz w:val="23"/>
                <w:szCs w:val="23"/>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Palm Beach Gardens, FL</w:t>
            </w: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33408</w:t>
            </w:r>
          </w:p>
        </w:tc>
        <w:tc>
          <w:tcPr>
            <w:tcW w:w="33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-3810</wp:posOffset>
            </wp:positionV>
            <wp:extent cx="1805940" cy="22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extLst>
                    </a:blip>
                    <a:srcRect/>
                    <a:stretch>
                      <a:fillRect/>
                    </a:stretch>
                  </pic:blipFill>
                  <pic:spPr bwMode="auto">
                    <a:xfrm>
                      <a:off x="0" y="0"/>
                      <a:ext cx="1805940" cy="22860"/>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Address of principal executive offices,</w:t>
      </w:r>
    </w:p>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rPr>
        <w:t>including zip code</w:t>
      </w:r>
      <w:r>
        <w:rPr>
          <w:rFonts w:ascii="Times New Roman" w:cs="Times New Roman" w:eastAsia="Times New Roman" w:hAnsi="Times New Roman"/>
          <w:sz w:val="16"/>
          <w:szCs w:val="16"/>
          <w:color w:val="auto"/>
        </w:rPr>
        <w:t>)</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(561) 627-7171</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Title of Each Class</w:t>
            </w:r>
          </w:p>
        </w:tc>
        <w:tc>
          <w:tcPr>
            <w:tcW w:w="12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80" w:type="dxa"/>
            <w:vAlign w:val="bottom"/>
          </w:tcPr>
          <w:p>
            <w:pPr>
              <w:spacing w:after="0"/>
              <w:rPr>
                <w:sz w:val="21"/>
                <w:szCs w:val="21"/>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8"/>
        </w:trPr>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 par value $0.33</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1/3 per share</w:t>
            </w:r>
          </w:p>
        </w:tc>
        <w:tc>
          <w:tcPr>
            <w:tcW w:w="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DY</w:t>
            </w:r>
          </w:p>
        </w:tc>
        <w:tc>
          <w:tcPr>
            <w:tcW w:w="8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95" w:lineRule="exact"/>
        <w:rPr>
          <w:sz w:val="20"/>
          <w:szCs w:val="20"/>
          <w:color w:val="auto"/>
        </w:rPr>
      </w:pPr>
    </w:p>
    <w:p>
      <w:pPr>
        <w:ind w:right="140"/>
        <w:spacing w:after="0" w:line="278"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b w:val="1"/>
          <w:bCs w:val="1"/>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b w:val="1"/>
          <w:bCs w:val="1"/>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b w:val="1"/>
          <w:bCs w:val="1"/>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b w:val="1"/>
          <w:bCs w:val="1"/>
          <w:color w:val="auto"/>
        </w:rPr>
        <w:t>☒</w:t>
      </w:r>
    </w:p>
    <w:p>
      <w:pPr>
        <w:spacing w:after="0" w:line="3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w:t>
      </w:r>
    </w:p>
    <w:p>
      <w:pPr>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and (2) has been subject to such filing requirements for the past 90 days. Yes </w:t>
      </w:r>
      <w:r>
        <w:rPr>
          <w:rFonts w:ascii="MS PGothic" w:cs="MS PGothic" w:eastAsia="MS PGothic" w:hAnsi="MS PGothic"/>
          <w:sz w:val="18"/>
          <w:szCs w:val="18"/>
          <w:b w:val="1"/>
          <w:bCs w:val="1"/>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b w:val="1"/>
          <w:bCs w:val="1"/>
          <w:color w:val="auto"/>
        </w:rPr>
        <w:t>☐</w:t>
      </w:r>
    </w:p>
    <w:p>
      <w:pPr>
        <w:spacing w:after="0" w:line="87"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registrant was required to submit such files). Yes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b w:val="1"/>
          <w:bCs w:val="1"/>
          <w:color w:val="auto"/>
        </w:rPr>
        <w:t>☐</w:t>
      </w:r>
    </w:p>
    <w:p>
      <w:pPr>
        <w:spacing w:after="0" w:line="8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255"/>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 w:type="dxa"/>
            <w:vAlign w:val="bottom"/>
          </w:tcPr>
          <w:p>
            <w:pPr>
              <w:ind w:left="100"/>
              <w:spacing w:after="0" w:line="215" w:lineRule="exact"/>
              <w:rPr>
                <w:sz w:val="20"/>
                <w:szCs w:val="20"/>
                <w:color w:val="auto"/>
              </w:rPr>
            </w:pPr>
            <w:r>
              <w:rPr>
                <w:rFonts w:ascii="Arial Unicode MS" w:cs="Arial Unicode MS" w:eastAsia="Arial Unicode MS" w:hAnsi="Arial Unicode MS"/>
                <w:sz w:val="16"/>
                <w:szCs w:val="16"/>
                <w:b w:val="1"/>
                <w:bCs w:val="1"/>
                <w:color w:val="auto"/>
              </w:rPr>
              <w:t>☒</w:t>
            </w:r>
          </w:p>
        </w:tc>
        <w:tc>
          <w:tcPr>
            <w:tcW w:w="1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Accelerated filer</w:t>
            </w:r>
          </w:p>
        </w:tc>
        <w:tc>
          <w:tcPr>
            <w:tcW w:w="2560" w:type="dxa"/>
            <w:vAlign w:val="bottom"/>
          </w:tcPr>
          <w:p>
            <w:pPr>
              <w:ind w:left="540"/>
              <w:spacing w:after="0" w:line="215" w:lineRule="exact"/>
              <w:rPr>
                <w:sz w:val="20"/>
                <w:szCs w:val="20"/>
                <w:color w:val="auto"/>
              </w:rPr>
            </w:pPr>
            <w:r>
              <w:rPr>
                <w:rFonts w:ascii="Arial Unicode MS" w:cs="Arial Unicode MS" w:eastAsia="Arial Unicode MS" w:hAnsi="Arial Unicode MS"/>
                <w:sz w:val="16"/>
                <w:szCs w:val="16"/>
                <w:b w:val="1"/>
                <w:bCs w:val="1"/>
                <w:color w:val="auto"/>
              </w:rPr>
              <w:t>☐</w:t>
            </w:r>
            <w:r>
              <w:rPr>
                <w:rFonts w:ascii="Times New Roman" w:cs="Times New Roman" w:eastAsia="Times New Roman" w:hAnsi="Times New Roman"/>
                <w:sz w:val="16"/>
                <w:szCs w:val="16"/>
                <w:color w:val="auto"/>
              </w:rPr>
              <w:t xml:space="preserve"> Non-accelerated filer</w:t>
            </w:r>
          </w:p>
        </w:tc>
        <w:tc>
          <w:tcPr>
            <w:tcW w:w="2620" w:type="dxa"/>
            <w:vAlign w:val="bottom"/>
          </w:tcPr>
          <w:p>
            <w:pPr>
              <w:ind w:left="400"/>
              <w:spacing w:after="0" w:line="215" w:lineRule="exact"/>
              <w:rPr>
                <w:sz w:val="20"/>
                <w:szCs w:val="20"/>
                <w:color w:val="auto"/>
              </w:rPr>
            </w:pPr>
            <w:r>
              <w:rPr>
                <w:rFonts w:ascii="Arial Unicode MS" w:cs="Arial Unicode MS" w:eastAsia="Arial Unicode MS" w:hAnsi="Arial Unicode MS"/>
                <w:sz w:val="16"/>
                <w:szCs w:val="16"/>
                <w:b w:val="1"/>
                <w:bCs w:val="1"/>
                <w:color w:val="auto"/>
              </w:rPr>
              <w:t>☐</w:t>
            </w:r>
            <w:r>
              <w:rPr>
                <w:rFonts w:ascii="Times New Roman" w:cs="Times New Roman" w:eastAsia="Times New Roman" w:hAnsi="Times New Roman"/>
                <w:sz w:val="16"/>
                <w:szCs w:val="16"/>
                <w:color w:val="auto"/>
              </w:rPr>
              <w:t xml:space="preserve"> Smaller reporting company</w:t>
            </w:r>
          </w:p>
        </w:tc>
        <w:tc>
          <w:tcPr>
            <w:tcW w:w="320" w:type="dxa"/>
            <w:vAlign w:val="bottom"/>
          </w:tcPr>
          <w:p>
            <w:pPr>
              <w:ind w:left="200"/>
              <w:spacing w:after="0" w:line="242" w:lineRule="exact"/>
              <w:rPr>
                <w:sz w:val="20"/>
                <w:szCs w:val="20"/>
                <w:color w:val="auto"/>
              </w:rPr>
            </w:pPr>
            <w:r>
              <w:rPr>
                <w:rFonts w:ascii="Arial Unicode MS" w:cs="Arial Unicode MS" w:eastAsia="Arial Unicode MS" w:hAnsi="Arial Unicode MS"/>
                <w:sz w:val="18"/>
                <w:szCs w:val="18"/>
                <w:b w:val="1"/>
                <w:bCs w:val="1"/>
                <w:color w:val="auto"/>
                <w:w w:val="75"/>
              </w:rPr>
              <w:t>☐</w:t>
            </w:r>
          </w:p>
        </w:tc>
      </w:tr>
      <w:tr>
        <w:trPr>
          <w:trHeight w:val="25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0" w:type="dxa"/>
            <w:vAlign w:val="bottom"/>
          </w:tcPr>
          <w:p>
            <w:pPr>
              <w:ind w:left="100"/>
              <w:spacing w:after="0" w:line="215" w:lineRule="exact"/>
              <w:rPr>
                <w:sz w:val="20"/>
                <w:szCs w:val="20"/>
                <w:color w:val="auto"/>
              </w:rPr>
            </w:pPr>
            <w:r>
              <w:rPr>
                <w:rFonts w:ascii="Arial Unicode MS" w:cs="Arial Unicode MS" w:eastAsia="Arial Unicode MS" w:hAnsi="Arial Unicode MS"/>
                <w:sz w:val="16"/>
                <w:szCs w:val="16"/>
                <w:b w:val="1"/>
                <w:bCs w:val="1"/>
                <w:color w:val="auto"/>
              </w:rPr>
              <w:t>☐</w:t>
            </w:r>
          </w:p>
        </w:tc>
        <w:tc>
          <w:tcPr>
            <w:tcW w:w="168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320" w:type="dxa"/>
            <w:vAlign w:val="bottom"/>
          </w:tcPr>
          <w:p>
            <w:pPr>
              <w:spacing w:after="0"/>
              <w:rPr>
                <w:sz w:val="22"/>
                <w:szCs w:val="22"/>
                <w:color w:val="auto"/>
              </w:rPr>
            </w:pPr>
          </w:p>
        </w:tc>
      </w:tr>
    </w:tbl>
    <w:p>
      <w:pPr>
        <w:spacing w:after="0" w:line="34" w:lineRule="exact"/>
        <w:rPr>
          <w:sz w:val="20"/>
          <w:szCs w:val="20"/>
          <w:color w:val="auto"/>
        </w:rPr>
      </w:pPr>
    </w:p>
    <w:p>
      <w:pPr>
        <w:ind w:right="460"/>
        <w:spacing w:after="0" w:line="21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b w:val="1"/>
          <w:bCs w:val="1"/>
          <w:color w:val="auto"/>
        </w:rPr>
        <w:t>☐</w:t>
      </w:r>
    </w:p>
    <w:p>
      <w:pPr>
        <w:spacing w:after="0" w:line="1"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7262(b)0 by the registered</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public accounting firm that prepared or issued its audit report. </w:t>
      </w:r>
      <w:r>
        <w:rPr>
          <w:rFonts w:ascii="MS PGothic" w:cs="MS PGothic" w:eastAsia="MS PGothic" w:hAnsi="MS PGothic"/>
          <w:sz w:val="18"/>
          <w:szCs w:val="18"/>
          <w:b w:val="1"/>
          <w:bCs w:val="1"/>
          <w:color w:val="auto"/>
        </w:rPr>
        <w:t>☒</w:t>
      </w:r>
    </w:p>
    <w:p>
      <w:pPr>
        <w:spacing w:after="0" w:line="87" w:lineRule="exact"/>
        <w:rPr>
          <w:sz w:val="20"/>
          <w:szCs w:val="20"/>
          <w:color w:val="auto"/>
        </w:rPr>
      </w:pPr>
    </w:p>
    <w:p>
      <w:pPr>
        <w:spacing w:after="0" w:line="22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b w:val="1"/>
          <w:bCs w:val="1"/>
          <w:color w:val="auto"/>
        </w:rPr>
        <w:t>☐</w:t>
      </w:r>
    </w:p>
    <w:p>
      <w:pPr>
        <w:spacing w:after="0" w:line="34"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 to Section</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240.10D-1(b). </w:t>
      </w:r>
      <w:r>
        <w:rPr>
          <w:rFonts w:ascii="MS PGothic" w:cs="MS PGothic" w:eastAsia="MS PGothic" w:hAnsi="MS PGothic"/>
          <w:sz w:val="18"/>
          <w:szCs w:val="18"/>
          <w:b w:val="1"/>
          <w:bCs w:val="1"/>
          <w:color w:val="auto"/>
        </w:rPr>
        <w:t>☐</w:t>
      </w:r>
    </w:p>
    <w:p>
      <w:pPr>
        <w:spacing w:after="0" w:line="88" w:lineRule="exact"/>
        <w:rPr>
          <w:sz w:val="20"/>
          <w:szCs w:val="20"/>
          <w:color w:val="auto"/>
        </w:rPr>
      </w:pPr>
    </w:p>
    <w:p>
      <w:pPr>
        <w:spacing w:after="0" w:line="242" w:lineRule="exact"/>
        <w:tabs>
          <w:tab w:leader="none" w:pos="878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b w:val="1"/>
          <w:bCs w:val="1"/>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b w:val="1"/>
          <w:bCs w:val="1"/>
          <w:color w:val="auto"/>
        </w:rPr>
        <w:t>☒</w:t>
      </w:r>
    </w:p>
    <w:p>
      <w:pPr>
        <w:spacing w:after="0" w:line="5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aggregate market value of the common stock, par value $0.33 1/3 per share, held by non-affiliates of the registrant, computed by reference to the closing price of such stock on the New York Stock Exchange on July 27, 2024, was $4,995,661,562.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28,979,138 shares of common stock with a par value of $0.33 1/3 outstanding at February 25, 2025.</w:t>
      </w:r>
    </w:p>
    <w:p>
      <w:pPr>
        <w:spacing w:after="0" w:line="8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5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6"/>
              </w:rPr>
              <w:t>Document</w:t>
            </w:r>
          </w:p>
        </w:tc>
        <w:tc>
          <w:tcPr>
            <w:tcW w:w="5420" w:type="dxa"/>
            <w:vAlign w:val="bottom"/>
            <w:vMerge w:val="restart"/>
          </w:tcPr>
          <w:p>
            <w:pPr>
              <w:spacing w:after="0"/>
              <w:rPr>
                <w:sz w:val="17"/>
                <w:szCs w:val="17"/>
                <w:color w:val="auto"/>
              </w:rPr>
            </w:pPr>
          </w:p>
        </w:tc>
        <w:tc>
          <w:tcPr>
            <w:tcW w:w="324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Part of Annual Report on Form 10-K into</w:t>
            </w:r>
          </w:p>
        </w:tc>
        <w:tc>
          <w:tcPr>
            <w:tcW w:w="0" w:type="dxa"/>
            <w:vAlign w:val="bottom"/>
          </w:tcPr>
          <w:p>
            <w:pPr>
              <w:spacing w:after="0"/>
              <w:rPr>
                <w:sz w:val="1"/>
                <w:szCs w:val="1"/>
                <w:color w:val="auto"/>
              </w:rPr>
            </w:pPr>
          </w:p>
        </w:tc>
      </w:tr>
      <w:tr>
        <w:trPr>
          <w:trHeight w:val="159"/>
        </w:trPr>
        <w:tc>
          <w:tcPr>
            <w:tcW w:w="780" w:type="dxa"/>
            <w:vAlign w:val="bottom"/>
            <w:vMerge w:val="continue"/>
          </w:tcPr>
          <w:p>
            <w:pPr>
              <w:spacing w:after="0"/>
              <w:rPr>
                <w:sz w:val="13"/>
                <w:szCs w:val="13"/>
                <w:color w:val="auto"/>
              </w:rPr>
            </w:pPr>
          </w:p>
        </w:tc>
        <w:tc>
          <w:tcPr>
            <w:tcW w:w="5420" w:type="dxa"/>
            <w:vAlign w:val="bottom"/>
            <w:vMerge w:val="continue"/>
          </w:tcPr>
          <w:p>
            <w:pPr>
              <w:spacing w:after="0"/>
              <w:rPr>
                <w:sz w:val="13"/>
                <w:szCs w:val="13"/>
                <w:color w:val="auto"/>
              </w:rPr>
            </w:pPr>
          </w:p>
        </w:tc>
        <w:tc>
          <w:tcPr>
            <w:tcW w:w="3240" w:type="dxa"/>
            <w:vAlign w:val="bottom"/>
            <w:gridSpan w:val="3"/>
          </w:tcPr>
          <w:p>
            <w:pPr>
              <w:jc w:val="center"/>
              <w:ind w:right="40"/>
              <w:spacing w:after="0" w:line="159" w:lineRule="exact"/>
              <w:rPr>
                <w:sz w:val="20"/>
                <w:szCs w:val="20"/>
                <w:color w:val="auto"/>
              </w:rPr>
            </w:pPr>
            <w:r>
              <w:rPr>
                <w:rFonts w:ascii="Times New Roman" w:cs="Times New Roman" w:eastAsia="Times New Roman" w:hAnsi="Times New Roman"/>
                <w:sz w:val="18"/>
                <w:szCs w:val="18"/>
                <w:b w:val="1"/>
                <w:bCs w:val="1"/>
                <w:color w:val="auto"/>
                <w:w w:val="98"/>
              </w:rPr>
              <w:t>which incorporated</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Portions of the registrant’s Proxy Statement for its 2025 Annual Meeting of</w:t>
            </w:r>
          </w:p>
        </w:tc>
        <w:tc>
          <w:tcPr>
            <w:tcW w:w="860" w:type="dxa"/>
            <w:vAlign w:val="bottom"/>
          </w:tcPr>
          <w:p>
            <w:pPr>
              <w:spacing w:after="0"/>
              <w:rPr>
                <w:sz w:val="19"/>
                <w:szCs w:val="19"/>
                <w:color w:val="auto"/>
              </w:rPr>
            </w:pPr>
          </w:p>
        </w:tc>
        <w:tc>
          <w:tcPr>
            <w:tcW w:w="238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8"/>
              </w:rPr>
              <w:t>Parts II and III</w:t>
            </w:r>
          </w:p>
        </w:tc>
        <w:tc>
          <w:tcPr>
            <w:tcW w:w="0" w:type="dxa"/>
            <w:vAlign w:val="bottom"/>
          </w:tcPr>
          <w:p>
            <w:pPr>
              <w:spacing w:after="0"/>
              <w:rPr>
                <w:sz w:val="1"/>
                <w:szCs w:val="1"/>
                <w:color w:val="auto"/>
              </w:rPr>
            </w:pPr>
          </w:p>
        </w:tc>
      </w:t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60" w:right="260"/>
        <w:spacing w:after="0" w:line="239" w:lineRule="auto"/>
        <w:rPr>
          <w:sz w:val="20"/>
          <w:szCs w:val="20"/>
          <w:color w:val="auto"/>
        </w:rPr>
      </w:pPr>
      <w:r>
        <w:rPr>
          <w:rFonts w:ascii="Times New Roman" w:cs="Times New Roman" w:eastAsia="Times New Roman" w:hAnsi="Times New Roman"/>
          <w:sz w:val="18"/>
          <w:szCs w:val="18"/>
          <w:color w:val="auto"/>
        </w:rPr>
        <w:t>Such Proxy Statement, except for the portions thereof which have been specifically incorporated by reference, shall not be deemed “filed” as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292735</wp:posOffset>
            </wp:positionV>
            <wp:extent cx="76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6824980</wp:posOffset>
            </wp:positionH>
            <wp:positionV relativeFrom="paragraph">
              <wp:posOffset>292735</wp:posOffset>
            </wp:positionV>
            <wp:extent cx="76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660"/>
          </w:cols>
          <w:pgMar w:left="1120" w:top="419" w:right="1100" w:bottom="0" w:gutter="0" w:footer="0" w:header="0"/>
        </w:sectPr>
      </w:pPr>
    </w:p>
    <w:bookmarkStart w:id="7" w:name="page8"/>
    <w:bookmarkEnd w:id="7"/>
    <w:p>
      <w:pPr>
        <w:jc w:val="center"/>
        <w:ind w:left="1680"/>
        <w:spacing w:after="0"/>
        <w:rPr>
          <w:sz w:val="20"/>
          <w:szCs w:val="20"/>
          <w:color w:val="auto"/>
        </w:rPr>
      </w:pPr>
      <w:r>
        <w:rPr>
          <w:rFonts w:ascii="Times New Roman" w:cs="Times New Roman" w:eastAsia="Times New Roman" w:hAnsi="Times New Roman"/>
          <w:sz w:val="19"/>
          <w:szCs w:val="19"/>
          <w:b w:val="1"/>
          <w:bCs w:val="1"/>
          <w:color w:val="auto"/>
        </w:rPr>
        <w:t>Dycom Industries, Inc.</w:t>
      </w:r>
    </w:p>
    <w:p>
      <w:pPr>
        <w:spacing w:after="0" w:line="12" w:lineRule="exact"/>
        <w:rPr>
          <w:sz w:val="20"/>
          <w:szCs w:val="20"/>
          <w:color w:val="auto"/>
        </w:rPr>
      </w:pPr>
    </w:p>
    <w:p>
      <w:pPr>
        <w:jc w:val="center"/>
        <w:ind w:left="1680"/>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79" w:lineRule="exact"/>
        <w:rPr>
          <w:sz w:val="20"/>
          <w:szCs w:val="20"/>
          <w:color w:val="auto"/>
        </w:rPr>
      </w:pPr>
    </w:p>
    <w:p>
      <w:pPr>
        <w:ind w:left="1860" w:right="1560"/>
        <w:spacing w:after="0" w:line="352" w:lineRule="auto"/>
        <w:rPr>
          <w:sz w:val="20"/>
          <w:szCs w:val="20"/>
          <w:color w:val="auto"/>
        </w:rPr>
      </w:pPr>
      <w:r>
        <w:rPr>
          <w:rFonts w:ascii="Times New Roman" w:cs="Times New Roman" w:eastAsia="Times New Roman" w:hAnsi="Times New Roman"/>
          <w:sz w:val="19"/>
          <w:szCs w:val="19"/>
          <w:color w:val="auto"/>
        </w:rPr>
        <w:t>Cautionary Note Concerning Forward-Looking Statements Available Information</w:t>
      </w:r>
    </w:p>
    <w:p>
      <w:pPr>
        <w:spacing w:after="0" w:line="21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364"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9"/>
          <w:szCs w:val="19"/>
          <w:color w:val="auto"/>
        </w:rPr>
        <w:t>Item 1.</w:t>
      </w:r>
      <w:r>
        <w:rPr>
          <w:sz w:val="20"/>
          <w:szCs w:val="20"/>
          <w:color w:val="auto"/>
        </w:rPr>
        <w:tab/>
      </w:r>
      <w:r>
        <w:rPr>
          <w:rFonts w:ascii="Times New Roman" w:cs="Times New Roman" w:eastAsia="Times New Roman" w:hAnsi="Times New Roman"/>
          <w:sz w:val="19"/>
          <w:szCs w:val="19"/>
          <w:color w:val="auto"/>
        </w:rPr>
        <w:t>Business</w:t>
      </w:r>
    </w:p>
    <w:p>
      <w:pPr>
        <w:spacing w:after="0" w:line="70"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9"/>
          <w:szCs w:val="19"/>
          <w:color w:val="auto"/>
        </w:rPr>
        <w:t>Item 1A.</w:t>
      </w:r>
      <w:r>
        <w:rPr>
          <w:sz w:val="20"/>
          <w:szCs w:val="20"/>
          <w:color w:val="auto"/>
        </w:rPr>
        <w:tab/>
      </w:r>
      <w:r>
        <w:rPr>
          <w:rFonts w:ascii="Times New Roman" w:cs="Times New Roman" w:eastAsia="Times New Roman" w:hAnsi="Times New Roman"/>
          <w:sz w:val="19"/>
          <w:szCs w:val="19"/>
          <w:color w:val="auto"/>
        </w:rPr>
        <w:t>Risk Factors</w:t>
      </w:r>
    </w:p>
    <w:p>
      <w:pPr>
        <w:spacing w:after="0" w:line="70"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9"/>
          <w:szCs w:val="19"/>
          <w:color w:val="auto"/>
        </w:rPr>
        <w:t>Item 1B.</w:t>
      </w:r>
      <w:r>
        <w:rPr>
          <w:sz w:val="20"/>
          <w:szCs w:val="20"/>
          <w:color w:val="auto"/>
        </w:rPr>
        <w:tab/>
      </w:r>
      <w:r>
        <w:rPr>
          <w:rFonts w:ascii="Times New Roman" w:cs="Times New Roman" w:eastAsia="Times New Roman" w:hAnsi="Times New Roman"/>
          <w:sz w:val="19"/>
          <w:szCs w:val="19"/>
          <w:color w:val="auto"/>
        </w:rPr>
        <w:t>Unresolved Staff Comments</w:t>
      </w:r>
    </w:p>
    <w:p>
      <w:pPr>
        <w:spacing w:after="0" w:line="70"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9"/>
          <w:szCs w:val="19"/>
          <w:color w:val="auto"/>
        </w:rPr>
        <w:t>Item 1C.</w:t>
      </w:r>
      <w:r>
        <w:rPr>
          <w:sz w:val="20"/>
          <w:szCs w:val="20"/>
          <w:color w:val="auto"/>
        </w:rPr>
        <w:tab/>
      </w:r>
      <w:r>
        <w:rPr>
          <w:rFonts w:ascii="Times New Roman" w:cs="Times New Roman" w:eastAsia="Times New Roman" w:hAnsi="Times New Roman"/>
          <w:sz w:val="19"/>
          <w:szCs w:val="19"/>
          <w:color w:val="auto"/>
        </w:rPr>
        <w:t>Cybersecurity</w:t>
      </w:r>
    </w:p>
    <w:p>
      <w:pPr>
        <w:spacing w:after="0" w:line="70"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9"/>
          <w:szCs w:val="19"/>
          <w:color w:val="auto"/>
        </w:rPr>
        <w:t>Item 2.</w:t>
      </w:r>
      <w:r>
        <w:rPr>
          <w:sz w:val="20"/>
          <w:szCs w:val="20"/>
          <w:color w:val="auto"/>
        </w:rPr>
        <w:tab/>
      </w:r>
      <w:r>
        <w:rPr>
          <w:rFonts w:ascii="Times New Roman" w:cs="Times New Roman" w:eastAsia="Times New Roman" w:hAnsi="Times New Roman"/>
          <w:sz w:val="19"/>
          <w:szCs w:val="19"/>
          <w:color w:val="auto"/>
        </w:rPr>
        <w:t>Properties</w:t>
      </w:r>
    </w:p>
    <w:p>
      <w:pPr>
        <w:spacing w:after="0" w:line="70"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9"/>
          <w:szCs w:val="19"/>
          <w:color w:val="auto"/>
        </w:rPr>
        <w:t>Item 3.</w:t>
      </w:r>
      <w:r>
        <w:rPr>
          <w:sz w:val="20"/>
          <w:szCs w:val="20"/>
          <w:color w:val="auto"/>
        </w:rPr>
        <w:tab/>
      </w:r>
      <w:r>
        <w:rPr>
          <w:rFonts w:ascii="Times New Roman" w:cs="Times New Roman" w:eastAsia="Times New Roman" w:hAnsi="Times New Roman"/>
          <w:sz w:val="19"/>
          <w:szCs w:val="19"/>
          <w:color w:val="auto"/>
        </w:rPr>
        <w:t>Legal Proceedings</w:t>
      </w:r>
    </w:p>
    <w:p>
      <w:pPr>
        <w:spacing w:after="0" w:line="70"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9"/>
          <w:szCs w:val="19"/>
          <w:color w:val="auto"/>
        </w:rPr>
        <w:t>Item 4.</w:t>
      </w:r>
      <w:r>
        <w:rPr>
          <w:sz w:val="20"/>
          <w:szCs w:val="20"/>
          <w:color w:val="auto"/>
        </w:rPr>
        <w:tab/>
      </w:r>
      <w:r>
        <w:rPr>
          <w:rFonts w:ascii="Times New Roman" w:cs="Times New Roman" w:eastAsia="Times New Roman" w:hAnsi="Times New Roman"/>
          <w:sz w:val="19"/>
          <w:szCs w:val="19"/>
          <w:color w:val="auto"/>
        </w:rPr>
        <w:t>Mine Safety Disclosures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338"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9"/>
          <w:szCs w:val="19"/>
          <w:color w:val="auto"/>
        </w:rPr>
        <w:t>Item 5.</w:t>
      </w:r>
      <w:r>
        <w:rPr>
          <w:sz w:val="20"/>
          <w:szCs w:val="20"/>
          <w:color w:val="auto"/>
        </w:rPr>
        <w:tab/>
      </w:r>
      <w:r>
        <w:rPr>
          <w:rFonts w:ascii="Times New Roman" w:cs="Times New Roman" w:eastAsia="Times New Roman" w:hAnsi="Times New Roman"/>
          <w:sz w:val="19"/>
          <w:szCs w:val="19"/>
          <w:color w:val="auto"/>
        </w:rPr>
        <w:t>Market for Registrant’s Common Equity, Related Stockholder Matters and</w:t>
      </w:r>
    </w:p>
    <w:p>
      <w:pPr>
        <w:ind w:left="1860"/>
        <w:spacing w:after="0"/>
        <w:rPr>
          <w:sz w:val="20"/>
          <w:szCs w:val="20"/>
          <w:color w:val="auto"/>
        </w:rPr>
      </w:pPr>
      <w:r>
        <w:rPr>
          <w:rFonts w:ascii="Times New Roman" w:cs="Times New Roman" w:eastAsia="Times New Roman" w:hAnsi="Times New Roman"/>
          <w:sz w:val="19"/>
          <w:szCs w:val="19"/>
          <w:color w:val="auto"/>
        </w:rPr>
        <w:t>Issuer Purchases of Equity Securities</w:t>
      </w:r>
    </w:p>
    <w:p>
      <w:pPr>
        <w:spacing w:after="0" w:line="65"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9"/>
          <w:szCs w:val="19"/>
          <w:color w:val="auto"/>
        </w:rPr>
        <w:t>Item 6.</w:t>
      </w:r>
      <w:r>
        <w:rPr>
          <w:sz w:val="20"/>
          <w:szCs w:val="20"/>
          <w:color w:val="auto"/>
        </w:rPr>
        <w:tab/>
      </w:r>
      <w:r>
        <w:rPr>
          <w:rFonts w:ascii="Times New Roman" w:cs="Times New Roman" w:eastAsia="Times New Roman" w:hAnsi="Times New Roman"/>
          <w:sz w:val="19"/>
          <w:szCs w:val="19"/>
          <w:color w:val="auto"/>
        </w:rPr>
        <w:t>Selected Financial Data</w:t>
      </w:r>
    </w:p>
    <w:p>
      <w:pPr>
        <w:spacing w:after="0" w:line="43"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9"/>
          <w:szCs w:val="19"/>
          <w:color w:val="auto"/>
        </w:rPr>
        <w:t>Item 7.</w:t>
      </w:r>
      <w:r>
        <w:rPr>
          <w:sz w:val="20"/>
          <w:szCs w:val="20"/>
          <w:color w:val="auto"/>
        </w:rPr>
        <w:tab/>
      </w:r>
      <w:r>
        <w:rPr>
          <w:rFonts w:ascii="Times New Roman" w:cs="Times New Roman" w:eastAsia="Times New Roman" w:hAnsi="Times New Roman"/>
          <w:sz w:val="19"/>
          <w:szCs w:val="19"/>
          <w:color w:val="auto"/>
        </w:rPr>
        <w:t>Management’s Discussion and Analysis of Financial Condition and Results</w:t>
      </w:r>
    </w:p>
    <w:p>
      <w:pPr>
        <w:ind w:left="1860"/>
        <w:spacing w:after="0"/>
        <w:rPr>
          <w:sz w:val="20"/>
          <w:szCs w:val="20"/>
          <w:color w:val="auto"/>
        </w:rPr>
      </w:pPr>
      <w:r>
        <w:rPr>
          <w:rFonts w:ascii="Times New Roman" w:cs="Times New Roman" w:eastAsia="Times New Roman" w:hAnsi="Times New Roman"/>
          <w:sz w:val="19"/>
          <w:szCs w:val="19"/>
          <w:color w:val="auto"/>
        </w:rPr>
        <w:t>of Operations</w:t>
      </w:r>
    </w:p>
    <w:p>
      <w:pPr>
        <w:spacing w:after="0" w:line="65"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9"/>
          <w:szCs w:val="19"/>
          <w:color w:val="auto"/>
        </w:rPr>
        <w:t>Item 7A.</w:t>
      </w:r>
      <w:r>
        <w:rPr>
          <w:sz w:val="20"/>
          <w:szCs w:val="20"/>
          <w:color w:val="auto"/>
        </w:rPr>
        <w:tab/>
      </w:r>
      <w:r>
        <w:rPr>
          <w:rFonts w:ascii="Times New Roman" w:cs="Times New Roman" w:eastAsia="Times New Roman" w:hAnsi="Times New Roman"/>
          <w:sz w:val="19"/>
          <w:szCs w:val="19"/>
          <w:color w:val="auto"/>
        </w:rPr>
        <w:t>Quantitative and Qualitative Disclosures About Market Risk</w:t>
      </w:r>
    </w:p>
    <w:p>
      <w:pPr>
        <w:spacing w:after="0" w:line="70"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9"/>
          <w:szCs w:val="19"/>
          <w:color w:val="auto"/>
        </w:rPr>
        <w:t>Item 8.</w:t>
      </w:r>
      <w:r>
        <w:rPr>
          <w:sz w:val="20"/>
          <w:szCs w:val="20"/>
          <w:color w:val="auto"/>
        </w:rPr>
        <w:tab/>
      </w:r>
      <w:r>
        <w:rPr>
          <w:rFonts w:ascii="Times New Roman" w:cs="Times New Roman" w:eastAsia="Times New Roman" w:hAnsi="Times New Roman"/>
          <w:sz w:val="19"/>
          <w:szCs w:val="19"/>
          <w:color w:val="auto"/>
        </w:rPr>
        <w:t>Financial Statements and Supplementary Data</w:t>
      </w:r>
    </w:p>
    <w:p>
      <w:pPr>
        <w:spacing w:after="0" w:line="43"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9"/>
          <w:szCs w:val="19"/>
          <w:color w:val="auto"/>
        </w:rPr>
        <w:t>Item 9.</w:t>
      </w:r>
      <w:r>
        <w:rPr>
          <w:sz w:val="20"/>
          <w:szCs w:val="20"/>
          <w:color w:val="auto"/>
        </w:rPr>
        <w:tab/>
      </w:r>
      <w:r>
        <w:rPr>
          <w:rFonts w:ascii="Times New Roman" w:cs="Times New Roman" w:eastAsia="Times New Roman" w:hAnsi="Times New Roman"/>
          <w:sz w:val="19"/>
          <w:szCs w:val="19"/>
          <w:color w:val="auto"/>
        </w:rPr>
        <w:t>Changes in and Disagreements with Accountants on Accounting and</w:t>
      </w:r>
    </w:p>
    <w:p>
      <w:pPr>
        <w:ind w:left="1860"/>
        <w:spacing w:after="0"/>
        <w:rPr>
          <w:sz w:val="20"/>
          <w:szCs w:val="20"/>
          <w:color w:val="auto"/>
        </w:rPr>
      </w:pPr>
      <w:r>
        <w:rPr>
          <w:rFonts w:ascii="Times New Roman" w:cs="Times New Roman" w:eastAsia="Times New Roman" w:hAnsi="Times New Roman"/>
          <w:sz w:val="19"/>
          <w:szCs w:val="19"/>
          <w:color w:val="auto"/>
        </w:rPr>
        <w:t>Financial Disclosure</w:t>
      </w:r>
    </w:p>
    <w:p>
      <w:pPr>
        <w:spacing w:after="0" w:line="65"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9"/>
          <w:szCs w:val="19"/>
          <w:color w:val="auto"/>
        </w:rPr>
        <w:t>Item 9A.</w:t>
      </w:r>
      <w:r>
        <w:rPr>
          <w:sz w:val="20"/>
          <w:szCs w:val="20"/>
          <w:color w:val="auto"/>
        </w:rPr>
        <w:tab/>
      </w:r>
      <w:r>
        <w:rPr>
          <w:rFonts w:ascii="Times New Roman" w:cs="Times New Roman" w:eastAsia="Times New Roman" w:hAnsi="Times New Roman"/>
          <w:sz w:val="19"/>
          <w:szCs w:val="19"/>
          <w:color w:val="auto"/>
        </w:rPr>
        <w:t>Controls and Procedures</w:t>
      </w:r>
    </w:p>
    <w:p>
      <w:pPr>
        <w:spacing w:after="0" w:line="70"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9"/>
          <w:szCs w:val="19"/>
          <w:color w:val="auto"/>
        </w:rPr>
        <w:t>Item 9B.</w:t>
      </w:r>
      <w:r>
        <w:rPr>
          <w:sz w:val="20"/>
          <w:szCs w:val="20"/>
          <w:color w:val="auto"/>
        </w:rPr>
        <w:tab/>
      </w:r>
      <w:r>
        <w:rPr>
          <w:rFonts w:ascii="Times New Roman" w:cs="Times New Roman" w:eastAsia="Times New Roman" w:hAnsi="Times New Roman"/>
          <w:sz w:val="19"/>
          <w:szCs w:val="19"/>
          <w:color w:val="auto"/>
        </w:rPr>
        <w:t>Other Information</w:t>
      </w:r>
    </w:p>
    <w:p>
      <w:pPr>
        <w:spacing w:after="0" w:line="70"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9"/>
          <w:szCs w:val="19"/>
          <w:color w:val="auto"/>
        </w:rPr>
        <w:t>Item 9C.</w:t>
      </w:r>
      <w:r>
        <w:rPr>
          <w:sz w:val="20"/>
          <w:szCs w:val="20"/>
          <w:color w:val="auto"/>
        </w:rPr>
        <w:tab/>
      </w:r>
      <w:r>
        <w:rPr>
          <w:rFonts w:ascii="Times New Roman" w:cs="Times New Roman" w:eastAsia="Times New Roman" w:hAnsi="Times New Roman"/>
          <w:sz w:val="19"/>
          <w:szCs w:val="19"/>
          <w:color w:val="auto"/>
        </w:rPr>
        <w:t>Disclosure Regarding Foreign Jurisdictions that Prevent Inspections</w:t>
      </w:r>
    </w:p>
    <w:p>
      <w:pPr>
        <w:spacing w:after="0" w:line="6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364"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9"/>
          <w:szCs w:val="19"/>
          <w:color w:val="auto"/>
        </w:rPr>
        <w:t>Item 10.</w:t>
      </w:r>
      <w:r>
        <w:rPr>
          <w:sz w:val="20"/>
          <w:szCs w:val="20"/>
          <w:color w:val="auto"/>
        </w:rPr>
        <w:tab/>
      </w:r>
      <w:r>
        <w:rPr>
          <w:rFonts w:ascii="Times New Roman" w:cs="Times New Roman" w:eastAsia="Times New Roman" w:hAnsi="Times New Roman"/>
          <w:sz w:val="19"/>
          <w:szCs w:val="19"/>
          <w:color w:val="auto"/>
        </w:rPr>
        <w:t>Directors, Executive Officers and Corporate Governance</w:t>
      </w:r>
    </w:p>
    <w:p>
      <w:pPr>
        <w:spacing w:after="0" w:line="70"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9"/>
          <w:szCs w:val="19"/>
          <w:color w:val="auto"/>
        </w:rPr>
        <w:t>Item 11.</w:t>
      </w:r>
      <w:r>
        <w:rPr>
          <w:sz w:val="20"/>
          <w:szCs w:val="20"/>
          <w:color w:val="auto"/>
        </w:rPr>
        <w:tab/>
      </w:r>
      <w:r>
        <w:rPr>
          <w:rFonts w:ascii="Times New Roman" w:cs="Times New Roman" w:eastAsia="Times New Roman" w:hAnsi="Times New Roman"/>
          <w:sz w:val="19"/>
          <w:szCs w:val="19"/>
          <w:color w:val="auto"/>
        </w:rPr>
        <w:t>Executive Compensation</w:t>
      </w:r>
    </w:p>
    <w:p>
      <w:pPr>
        <w:spacing w:after="0" w:line="43"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9"/>
          <w:szCs w:val="19"/>
          <w:color w:val="auto"/>
        </w:rPr>
        <w:t>Item 12.</w:t>
      </w:r>
      <w:r>
        <w:rPr>
          <w:sz w:val="20"/>
          <w:szCs w:val="20"/>
          <w:color w:val="auto"/>
        </w:rPr>
        <w:tab/>
      </w:r>
      <w:r>
        <w:rPr>
          <w:rFonts w:ascii="Times New Roman" w:cs="Times New Roman" w:eastAsia="Times New Roman" w:hAnsi="Times New Roman"/>
          <w:sz w:val="19"/>
          <w:szCs w:val="19"/>
          <w:color w:val="auto"/>
        </w:rPr>
        <w:t>Security Ownership of Certain Beneficial Owners and Management and</w:t>
      </w:r>
    </w:p>
    <w:p>
      <w:pPr>
        <w:ind w:left="1860"/>
        <w:spacing w:after="0"/>
        <w:rPr>
          <w:sz w:val="20"/>
          <w:szCs w:val="20"/>
          <w:color w:val="auto"/>
        </w:rPr>
      </w:pPr>
      <w:r>
        <w:rPr>
          <w:rFonts w:ascii="Times New Roman" w:cs="Times New Roman" w:eastAsia="Times New Roman" w:hAnsi="Times New Roman"/>
          <w:sz w:val="19"/>
          <w:szCs w:val="19"/>
          <w:color w:val="auto"/>
        </w:rPr>
        <w:t>Related Stockholder Matters</w:t>
      </w:r>
    </w:p>
    <w:p>
      <w:pPr>
        <w:spacing w:after="0" w:line="65"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9"/>
          <w:szCs w:val="19"/>
          <w:color w:val="auto"/>
        </w:rPr>
        <w:t>Item 13.</w:t>
      </w:r>
      <w:r>
        <w:rPr>
          <w:sz w:val="20"/>
          <w:szCs w:val="20"/>
          <w:color w:val="auto"/>
        </w:rPr>
        <w:tab/>
      </w:r>
      <w:r>
        <w:rPr>
          <w:rFonts w:ascii="Times New Roman" w:cs="Times New Roman" w:eastAsia="Times New Roman" w:hAnsi="Times New Roman"/>
          <w:sz w:val="19"/>
          <w:szCs w:val="19"/>
          <w:color w:val="auto"/>
        </w:rPr>
        <w:t>Certain Relationships, Related Transactions and Director Independence</w:t>
      </w:r>
    </w:p>
    <w:p>
      <w:pPr>
        <w:spacing w:after="0" w:line="70"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9"/>
          <w:szCs w:val="19"/>
          <w:color w:val="auto"/>
        </w:rPr>
        <w:t>Item 14.</w:t>
      </w:r>
      <w:r>
        <w:rPr>
          <w:sz w:val="20"/>
          <w:szCs w:val="20"/>
          <w:color w:val="auto"/>
        </w:rPr>
        <w:tab/>
      </w:r>
      <w:r>
        <w:rPr>
          <w:rFonts w:ascii="Times New Roman" w:cs="Times New Roman" w:eastAsia="Times New Roman" w:hAnsi="Times New Roman"/>
          <w:sz w:val="19"/>
          <w:szCs w:val="19"/>
          <w:color w:val="auto"/>
        </w:rPr>
        <w:t>Principal Accounting Fees and Services</w:t>
      </w:r>
    </w:p>
    <w:p>
      <w:pPr>
        <w:spacing w:after="0" w:line="35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b w:val="1"/>
          <w:bCs w:val="1"/>
          <w:color w:val="auto"/>
        </w:rPr>
        <w:t>PART IV</w:t>
      </w:r>
    </w:p>
    <w:p>
      <w:pPr>
        <w:spacing w:after="0" w:line="76"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9"/>
          <w:szCs w:val="19"/>
          <w:color w:val="auto"/>
        </w:rPr>
        <w:t>Item 15.</w:t>
      </w:r>
      <w:r>
        <w:rPr>
          <w:sz w:val="20"/>
          <w:szCs w:val="20"/>
          <w:color w:val="auto"/>
        </w:rPr>
        <w:tab/>
      </w:r>
      <w:r>
        <w:rPr>
          <w:rFonts w:ascii="Times New Roman" w:cs="Times New Roman" w:eastAsia="Times New Roman" w:hAnsi="Times New Roman"/>
          <w:sz w:val="19"/>
          <w:szCs w:val="19"/>
          <w:color w:val="auto"/>
        </w:rPr>
        <w:t>Exhibits and Financial Statement Schedules</w:t>
      </w:r>
    </w:p>
    <w:p>
      <w:pPr>
        <w:spacing w:after="0" w:line="70"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9"/>
          <w:szCs w:val="19"/>
          <w:color w:val="auto"/>
        </w:rPr>
        <w:t>Item 16.</w:t>
      </w:r>
      <w:r>
        <w:rPr>
          <w:sz w:val="20"/>
          <w:szCs w:val="20"/>
          <w:color w:val="auto"/>
        </w:rPr>
        <w:tab/>
      </w:r>
      <w:r>
        <w:rPr>
          <w:rFonts w:ascii="Times New Roman" w:cs="Times New Roman" w:eastAsia="Times New Roman" w:hAnsi="Times New Roman"/>
          <w:sz w:val="19"/>
          <w:szCs w:val="19"/>
          <w:color w:val="auto"/>
        </w:rPr>
        <w:t>Form 10-K Summary</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23</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42</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77</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77</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77</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77</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78</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78</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78</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78</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78</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79</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81</w:t>
      </w:r>
    </w:p>
    <w:p>
      <w:pPr>
        <w:spacing w:after="0" w:line="763" w:lineRule="exact"/>
        <w:rPr>
          <w:sz w:val="20"/>
          <w:szCs w:val="20"/>
          <w:color w:val="auto"/>
        </w:rPr>
      </w:pPr>
    </w:p>
    <w:p>
      <w:pPr>
        <w:sectPr>
          <w:pgSz w:w="11880" w:h="15480" w:orient="portrait"/>
          <w:cols w:equalWidth="0" w:num="2">
            <w:col w:w="7940" w:space="720"/>
            <w:col w:w="640"/>
          </w:cols>
          <w:pgMar w:left="1140" w:top="89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p>
    <w:p>
      <w:pPr>
        <w:sectPr>
          <w:pgSz w:w="11880" w:h="15480" w:orient="portrait"/>
          <w:cols w:equalWidth="0" w:num="1">
            <w:col w:w="9300"/>
          </w:cols>
          <w:pgMar w:left="1140" w:top="891" w:right="1440" w:bottom="0" w:gutter="0" w:footer="0" w:header="0"/>
          <w:type w:val="continuous"/>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Cautionary Note Concerning Forward-Looking Statements</w:t>
      </w:r>
    </w:p>
    <w:p>
      <w:pPr>
        <w:spacing w:after="0" w:line="249" w:lineRule="exact"/>
        <w:rPr>
          <w:sz w:val="20"/>
          <w:szCs w:val="20"/>
          <w:color w:val="auto"/>
        </w:rPr>
      </w:pPr>
    </w:p>
    <w:p>
      <w:pPr>
        <w:ind w:firstLine="345"/>
        <w:spacing w:after="0" w:line="256" w:lineRule="auto"/>
        <w:rPr>
          <w:sz w:val="20"/>
          <w:szCs w:val="20"/>
          <w:color w:val="auto"/>
        </w:rPr>
      </w:pPr>
      <w:r>
        <w:rPr>
          <w:rFonts w:ascii="Times New Roman" w:cs="Times New Roman" w:eastAsia="Times New Roman" w:hAnsi="Times New Roman"/>
          <w:sz w:val="19"/>
          <w:szCs w:val="19"/>
          <w:color w:val="auto"/>
        </w:rPr>
        <w:t>This Annual Report on Form 10-K, including any documents that may be incorporated by reference, may contain forward-looking statements. Forward looking statements can be identified with words such as “believe,” “expect,” “anticipate,” “estimate,” “intend,” “project,” “forecast,” “target,” “outlook,” “may,” “should,” “could,” and similar expressions, as well as statements written in the future tense. These statements, as well as any other written or oral forward-looking statements we may make from time to time in other SEC filings or other public communications are intended to qualify for the “safe harbor” from liability established by the Private Securities Litigation Reform Act of 1995. You should not consider forward-looking statements as guarantees of future performance or results. When made, forward-looking statements are based on information known to management at such time and/or management’s good faith belief with respect to future events. Such statements are subject to risks and uncertainties that could cause actual performance or results to differ materially from those expressed in our forward-looking statements. Important factors, assumptions, uncertainties, and risks that could cause such differences include, but are not limited to:</w:t>
      </w:r>
    </w:p>
    <w:p>
      <w:pPr>
        <w:spacing w:after="0" w:line="201" w:lineRule="exact"/>
        <w:rPr>
          <w:sz w:val="20"/>
          <w:szCs w:val="20"/>
          <w:color w:val="auto"/>
        </w:rPr>
      </w:pPr>
    </w:p>
    <w:p>
      <w:pPr>
        <w:ind w:left="680" w:hanging="340"/>
        <w:spacing w:after="0"/>
        <w:tabs>
          <w:tab w:leader="none" w:pos="6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projections of revenues, income or loss, or capital expenditures;</w:t>
      </w:r>
    </w:p>
    <w:p>
      <w:pPr>
        <w:spacing w:after="0" w:line="242" w:lineRule="exact"/>
        <w:rPr>
          <w:rFonts w:ascii="Times New Roman" w:cs="Times New Roman" w:eastAsia="Times New Roman" w:hAnsi="Times New Roman"/>
          <w:sz w:val="19"/>
          <w:szCs w:val="19"/>
          <w:color w:val="auto"/>
        </w:rPr>
      </w:pPr>
    </w:p>
    <w:p>
      <w:pPr>
        <w:ind w:left="680" w:hanging="340"/>
        <w:spacing w:after="0"/>
        <w:tabs>
          <w:tab w:leader="none" w:pos="6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future economic conditions and trends in the industries we serve;</w:t>
      </w:r>
    </w:p>
    <w:p>
      <w:pPr>
        <w:spacing w:after="0" w:line="242" w:lineRule="exact"/>
        <w:rPr>
          <w:rFonts w:ascii="Times New Roman" w:cs="Times New Roman" w:eastAsia="Times New Roman" w:hAnsi="Times New Roman"/>
          <w:sz w:val="19"/>
          <w:szCs w:val="19"/>
          <w:color w:val="auto"/>
        </w:rPr>
      </w:pPr>
    </w:p>
    <w:p>
      <w:pPr>
        <w:ind w:left="680" w:hanging="340"/>
        <w:spacing w:after="0" w:line="289" w:lineRule="auto"/>
        <w:tabs>
          <w:tab w:leader="none" w:pos="6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government policies and laws affecting our business, including related to funding for infrastructure projects and tariff policies;</w:t>
      </w:r>
    </w:p>
    <w:p>
      <w:pPr>
        <w:spacing w:after="0" w:line="164" w:lineRule="exact"/>
        <w:rPr>
          <w:rFonts w:ascii="Times New Roman" w:cs="Times New Roman" w:eastAsia="Times New Roman" w:hAnsi="Times New Roman"/>
          <w:sz w:val="19"/>
          <w:szCs w:val="19"/>
          <w:color w:val="auto"/>
        </w:rPr>
      </w:pPr>
    </w:p>
    <w:p>
      <w:pPr>
        <w:ind w:left="680" w:hanging="340"/>
        <w:spacing w:after="0"/>
        <w:tabs>
          <w:tab w:leader="none" w:pos="6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customer capital budgets and spending priorities;</w:t>
      </w:r>
    </w:p>
    <w:p>
      <w:pPr>
        <w:spacing w:after="0" w:line="242" w:lineRule="exact"/>
        <w:rPr>
          <w:rFonts w:ascii="Times New Roman" w:cs="Times New Roman" w:eastAsia="Times New Roman" w:hAnsi="Times New Roman"/>
          <w:sz w:val="19"/>
          <w:szCs w:val="19"/>
          <w:color w:val="auto"/>
        </w:rPr>
      </w:pPr>
    </w:p>
    <w:p>
      <w:pPr>
        <w:ind w:left="680" w:hanging="340"/>
        <w:spacing w:after="0"/>
        <w:tabs>
          <w:tab w:leader="none" w:pos="6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plans for future operations, growth and services, including contract backlog;</w:t>
      </w:r>
    </w:p>
    <w:p>
      <w:pPr>
        <w:spacing w:after="0" w:line="242" w:lineRule="exact"/>
        <w:rPr>
          <w:rFonts w:ascii="Times New Roman" w:cs="Times New Roman" w:eastAsia="Times New Roman" w:hAnsi="Times New Roman"/>
          <w:sz w:val="19"/>
          <w:szCs w:val="19"/>
          <w:color w:val="auto"/>
        </w:rPr>
      </w:pPr>
    </w:p>
    <w:p>
      <w:pPr>
        <w:ind w:left="680" w:hanging="340"/>
        <w:spacing w:after="0"/>
        <w:tabs>
          <w:tab w:leader="none" w:pos="6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plans for future acquisitions, dispositions, or financial needs;</w:t>
      </w:r>
    </w:p>
    <w:p>
      <w:pPr>
        <w:spacing w:after="0" w:line="242" w:lineRule="exact"/>
        <w:rPr>
          <w:rFonts w:ascii="Times New Roman" w:cs="Times New Roman" w:eastAsia="Times New Roman" w:hAnsi="Times New Roman"/>
          <w:sz w:val="19"/>
          <w:szCs w:val="19"/>
          <w:color w:val="auto"/>
        </w:rPr>
      </w:pPr>
    </w:p>
    <w:p>
      <w:pPr>
        <w:ind w:left="680" w:hanging="340"/>
        <w:spacing w:after="0"/>
        <w:tabs>
          <w:tab w:leader="none" w:pos="6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expected benefits and synergies of businesses acquired and future opportunities for the combined businesses;</w:t>
      </w:r>
    </w:p>
    <w:p>
      <w:pPr>
        <w:spacing w:after="0" w:line="242" w:lineRule="exact"/>
        <w:rPr>
          <w:rFonts w:ascii="Times New Roman" w:cs="Times New Roman" w:eastAsia="Times New Roman" w:hAnsi="Times New Roman"/>
          <w:sz w:val="19"/>
          <w:szCs w:val="19"/>
          <w:color w:val="auto"/>
        </w:rPr>
      </w:pPr>
    </w:p>
    <w:p>
      <w:pPr>
        <w:ind w:left="680" w:hanging="340"/>
        <w:spacing w:after="0"/>
        <w:tabs>
          <w:tab w:leader="none" w:pos="6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anticipated outcomes of contingent events, including litigation;</w:t>
      </w:r>
    </w:p>
    <w:p>
      <w:pPr>
        <w:spacing w:after="0" w:line="242" w:lineRule="exact"/>
        <w:rPr>
          <w:rFonts w:ascii="Times New Roman" w:cs="Times New Roman" w:eastAsia="Times New Roman" w:hAnsi="Times New Roman"/>
          <w:sz w:val="19"/>
          <w:szCs w:val="19"/>
          <w:color w:val="auto"/>
        </w:rPr>
      </w:pPr>
    </w:p>
    <w:p>
      <w:pPr>
        <w:ind w:left="680" w:hanging="340"/>
        <w:spacing w:after="0"/>
        <w:tabs>
          <w:tab w:leader="none" w:pos="6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availability of capital;</w:t>
      </w:r>
    </w:p>
    <w:p>
      <w:pPr>
        <w:spacing w:after="0" w:line="242" w:lineRule="exact"/>
        <w:rPr>
          <w:rFonts w:ascii="Times New Roman" w:cs="Times New Roman" w:eastAsia="Times New Roman" w:hAnsi="Times New Roman"/>
          <w:sz w:val="19"/>
          <w:szCs w:val="19"/>
          <w:color w:val="auto"/>
        </w:rPr>
      </w:pPr>
    </w:p>
    <w:p>
      <w:pPr>
        <w:ind w:left="680" w:hanging="340"/>
        <w:spacing w:after="0"/>
        <w:tabs>
          <w:tab w:leader="none" w:pos="6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restrictions imposed by our senior notes and credit agreement;</w:t>
      </w:r>
    </w:p>
    <w:p>
      <w:pPr>
        <w:spacing w:after="0" w:line="242" w:lineRule="exact"/>
        <w:rPr>
          <w:rFonts w:ascii="Times New Roman" w:cs="Times New Roman" w:eastAsia="Times New Roman" w:hAnsi="Times New Roman"/>
          <w:sz w:val="19"/>
          <w:szCs w:val="19"/>
          <w:color w:val="auto"/>
        </w:rPr>
      </w:pPr>
    </w:p>
    <w:p>
      <w:pPr>
        <w:ind w:left="680" w:hanging="340"/>
        <w:spacing w:after="0"/>
        <w:tabs>
          <w:tab w:leader="none" w:pos="6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use of our cash flow to service our debt;</w:t>
      </w:r>
    </w:p>
    <w:p>
      <w:pPr>
        <w:spacing w:after="0" w:line="242" w:lineRule="exact"/>
        <w:rPr>
          <w:rFonts w:ascii="Times New Roman" w:cs="Times New Roman" w:eastAsia="Times New Roman" w:hAnsi="Times New Roman"/>
          <w:sz w:val="19"/>
          <w:szCs w:val="19"/>
          <w:color w:val="auto"/>
        </w:rPr>
      </w:pPr>
    </w:p>
    <w:p>
      <w:pPr>
        <w:ind w:left="680" w:hanging="340"/>
        <w:spacing w:after="0"/>
        <w:tabs>
          <w:tab w:leader="none" w:pos="6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 of changes in tax law;</w:t>
      </w:r>
    </w:p>
    <w:p>
      <w:pPr>
        <w:spacing w:after="0" w:line="242" w:lineRule="exact"/>
        <w:rPr>
          <w:rFonts w:ascii="Times New Roman" w:cs="Times New Roman" w:eastAsia="Times New Roman" w:hAnsi="Times New Roman"/>
          <w:sz w:val="19"/>
          <w:szCs w:val="19"/>
          <w:color w:val="auto"/>
        </w:rPr>
      </w:pPr>
    </w:p>
    <w:p>
      <w:pPr>
        <w:ind w:left="680" w:hanging="340"/>
        <w:spacing w:after="0"/>
        <w:tabs>
          <w:tab w:leader="none" w:pos="6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potential liabilities and other adverse effects arising from occupational health, safety, and other regulatory matters;</w:t>
      </w:r>
    </w:p>
    <w:p>
      <w:pPr>
        <w:spacing w:after="0" w:line="242" w:lineRule="exact"/>
        <w:rPr>
          <w:rFonts w:ascii="Times New Roman" w:cs="Times New Roman" w:eastAsia="Times New Roman" w:hAnsi="Times New Roman"/>
          <w:sz w:val="19"/>
          <w:szCs w:val="19"/>
          <w:color w:val="auto"/>
        </w:rPr>
      </w:pPr>
    </w:p>
    <w:p>
      <w:pPr>
        <w:ind w:left="680" w:hanging="340"/>
        <w:spacing w:after="0"/>
        <w:tabs>
          <w:tab w:leader="none" w:pos="6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potential exposure to environmental liabilities;</w:t>
      </w:r>
    </w:p>
    <w:p>
      <w:pPr>
        <w:spacing w:after="0" w:line="242" w:lineRule="exact"/>
        <w:rPr>
          <w:rFonts w:ascii="Times New Roman" w:cs="Times New Roman" w:eastAsia="Times New Roman" w:hAnsi="Times New Roman"/>
          <w:sz w:val="19"/>
          <w:szCs w:val="19"/>
          <w:color w:val="auto"/>
        </w:rPr>
      </w:pPr>
    </w:p>
    <w:p>
      <w:pPr>
        <w:ind w:left="680" w:hanging="340"/>
        <w:spacing w:after="0"/>
        <w:tabs>
          <w:tab w:leader="none" w:pos="6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determinations as to whether the carrying value of our assets is impaired;</w:t>
      </w:r>
    </w:p>
    <w:p>
      <w:pPr>
        <w:spacing w:after="0" w:line="242" w:lineRule="exact"/>
        <w:rPr>
          <w:rFonts w:ascii="Times New Roman" w:cs="Times New Roman" w:eastAsia="Times New Roman" w:hAnsi="Times New Roman"/>
          <w:sz w:val="19"/>
          <w:szCs w:val="19"/>
          <w:color w:val="auto"/>
        </w:rPr>
      </w:pPr>
    </w:p>
    <w:p>
      <w:pPr>
        <w:ind w:left="680" w:hanging="340"/>
        <w:spacing w:after="0"/>
        <w:tabs>
          <w:tab w:leader="none" w:pos="6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assumptions relating to any of the foregoing;</w:t>
      </w:r>
    </w:p>
    <w:p>
      <w:pPr>
        <w:spacing w:after="0" w:line="242" w:lineRule="exact"/>
        <w:rPr>
          <w:rFonts w:ascii="Times New Roman" w:cs="Times New Roman" w:eastAsia="Times New Roman" w:hAnsi="Times New Roman"/>
          <w:sz w:val="19"/>
          <w:szCs w:val="19"/>
          <w:color w:val="auto"/>
        </w:rPr>
      </w:pPr>
    </w:p>
    <w:p>
      <w:pPr>
        <w:ind w:left="680" w:right="320" w:hanging="340"/>
        <w:spacing w:after="0" w:line="289" w:lineRule="auto"/>
        <w:tabs>
          <w:tab w:leader="none" w:pos="6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duration and severity of widespread pandemics and public health emergencies and their ultimate impact across our business;</w:t>
      </w:r>
    </w:p>
    <w:p>
      <w:pPr>
        <w:spacing w:after="0" w:line="164" w:lineRule="exact"/>
        <w:rPr>
          <w:rFonts w:ascii="Times New Roman" w:cs="Times New Roman" w:eastAsia="Times New Roman" w:hAnsi="Times New Roman"/>
          <w:sz w:val="19"/>
          <w:szCs w:val="19"/>
          <w:color w:val="auto"/>
        </w:rPr>
      </w:pPr>
    </w:p>
    <w:p>
      <w:pPr>
        <w:ind w:left="680" w:hanging="340"/>
        <w:spacing w:after="0"/>
        <w:tabs>
          <w:tab w:leader="none" w:pos="6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risks outlined in our periodic filings with the SEC; and</w:t>
      </w:r>
    </w:p>
    <w:p>
      <w:pPr>
        <w:spacing w:after="0" w:line="239" w:lineRule="exact"/>
        <w:rPr>
          <w:rFonts w:ascii="Times New Roman" w:cs="Times New Roman" w:eastAsia="Times New Roman" w:hAnsi="Times New Roman"/>
          <w:sz w:val="19"/>
          <w:szCs w:val="19"/>
          <w:color w:val="auto"/>
        </w:rPr>
      </w:pPr>
    </w:p>
    <w:p>
      <w:pPr>
        <w:ind w:left="680" w:right="100" w:hanging="340"/>
        <w:spacing w:after="0" w:line="292" w:lineRule="auto"/>
        <w:tabs>
          <w:tab w:leader="none" w:pos="6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 factors that are discussed within Item 1. </w:t>
      </w:r>
      <w:r>
        <w:rPr>
          <w:rFonts w:ascii="Times New Roman" w:cs="Times New Roman" w:eastAsia="Times New Roman" w:hAnsi="Times New Roman"/>
          <w:sz w:val="19"/>
          <w:szCs w:val="19"/>
          <w:b w:val="1"/>
          <w:bCs w:val="1"/>
          <w:i w:val="1"/>
          <w:iCs w:val="1"/>
          <w:color w:val="auto"/>
        </w:rPr>
        <w:t>Business</w:t>
      </w:r>
      <w:r>
        <w:rPr>
          <w:rFonts w:ascii="Times New Roman" w:cs="Times New Roman" w:eastAsia="Times New Roman" w:hAnsi="Times New Roman"/>
          <w:sz w:val="19"/>
          <w:szCs w:val="19"/>
          <w:color w:val="auto"/>
        </w:rPr>
        <w:t xml:space="preserve">, Item 1A. </w:t>
      </w:r>
      <w:r>
        <w:rPr>
          <w:rFonts w:ascii="Times New Roman" w:cs="Times New Roman" w:eastAsia="Times New Roman" w:hAnsi="Times New Roman"/>
          <w:sz w:val="19"/>
          <w:szCs w:val="19"/>
          <w:b w:val="1"/>
          <w:bCs w:val="1"/>
          <w:i w:val="1"/>
          <w:iCs w:val="1"/>
          <w:color w:val="auto"/>
        </w:rPr>
        <w:t>Risk Factors</w:t>
      </w:r>
      <w:r>
        <w:rPr>
          <w:rFonts w:ascii="Times New Roman" w:cs="Times New Roman" w:eastAsia="Times New Roman" w:hAnsi="Times New Roman"/>
          <w:sz w:val="19"/>
          <w:szCs w:val="19"/>
          <w:color w:val="auto"/>
        </w:rPr>
        <w:t xml:space="preserve"> and Item 7. </w:t>
      </w:r>
      <w:r>
        <w:rPr>
          <w:rFonts w:ascii="Times New Roman" w:cs="Times New Roman" w:eastAsia="Times New Roman" w:hAnsi="Times New Roman"/>
          <w:sz w:val="19"/>
          <w:szCs w:val="19"/>
          <w:b w:val="1"/>
          <w:bCs w:val="1"/>
          <w:i w:val="1"/>
          <w:iCs w:val="1"/>
          <w:color w:val="auto"/>
        </w:rPr>
        <w:t>Management’s Discussion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and Analysis of Financial Condition and Results of Operations </w:t>
      </w:r>
      <w:r>
        <w:rPr>
          <w:rFonts w:ascii="Times New Roman" w:cs="Times New Roman" w:eastAsia="Times New Roman" w:hAnsi="Times New Roman"/>
          <w:sz w:val="19"/>
          <w:szCs w:val="19"/>
          <w:color w:val="auto"/>
        </w:rPr>
        <w:t>of this Annual Report on Form 10-K.</w:t>
      </w:r>
    </w:p>
    <w:p>
      <w:pPr>
        <w:spacing w:after="0" w:line="162" w:lineRule="exact"/>
        <w:rPr>
          <w:sz w:val="20"/>
          <w:szCs w:val="20"/>
          <w:color w:val="auto"/>
        </w:rPr>
      </w:pPr>
    </w:p>
    <w:p>
      <w:pPr>
        <w:jc w:val="both"/>
        <w:ind w:right="60" w:firstLine="345"/>
        <w:spacing w:after="0" w:line="271" w:lineRule="auto"/>
        <w:rPr>
          <w:sz w:val="20"/>
          <w:szCs w:val="20"/>
          <w:color w:val="auto"/>
        </w:rPr>
      </w:pPr>
      <w:r>
        <w:rPr>
          <w:rFonts w:ascii="Times New Roman" w:cs="Times New Roman" w:eastAsia="Times New Roman" w:hAnsi="Times New Roman"/>
          <w:sz w:val="19"/>
          <w:szCs w:val="19"/>
          <w:color w:val="auto"/>
        </w:rPr>
        <w:t>Our forward-looking statements are expressly qualified in their entirety by this cautionary statement. We do not undertake to update or revise forward-looking statements to reflect events or circumstances arising after the date of those statements or to reflect the occurrence of anticipated or unanticipated events.</w:t>
      </w:r>
    </w:p>
    <w:p>
      <w:pPr>
        <w:sectPr>
          <w:pgSz w:w="11880" w:h="15480" w:orient="portrait"/>
          <w:cols w:equalWidth="0" w:num="1">
            <w:col w:w="9800"/>
          </w:cols>
          <w:pgMar w:left="1000" w:top="891" w:right="1080"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p>
    <w:p>
      <w:pPr>
        <w:sectPr>
          <w:pgSz w:w="11880" w:h="15480" w:orient="portrait"/>
          <w:cols w:equalWidth="0" w:num="1">
            <w:col w:w="9800"/>
          </w:cols>
          <w:pgMar w:left="1000" w:top="891" w:right="1080" w:bottom="0" w:gutter="0" w:footer="0" w:header="0"/>
          <w:type w:val="continuous"/>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Available Information</w:t>
      </w:r>
    </w:p>
    <w:p>
      <w:pPr>
        <w:spacing w:after="0" w:line="249" w:lineRule="exact"/>
        <w:rPr>
          <w:sz w:val="20"/>
          <w:szCs w:val="20"/>
          <w:color w:val="auto"/>
        </w:rPr>
      </w:pPr>
    </w:p>
    <w:p>
      <w:pPr>
        <w:ind w:right="20" w:firstLine="345"/>
        <w:spacing w:after="0" w:line="259" w:lineRule="auto"/>
        <w:rPr>
          <w:sz w:val="20"/>
          <w:szCs w:val="20"/>
          <w:color w:val="auto"/>
        </w:rPr>
      </w:pPr>
      <w:r>
        <w:rPr>
          <w:rFonts w:ascii="Times New Roman" w:cs="Times New Roman" w:eastAsia="Times New Roman" w:hAnsi="Times New Roman"/>
          <w:sz w:val="19"/>
          <w:szCs w:val="19"/>
          <w:color w:val="auto"/>
        </w:rPr>
        <w:t>Copies of our Annual Report on Form 10-K, Quarterly Reports on Form 10-Q, Current Reports on Form 8-K, and any amendments to those reports are available, free of charge, on our website, www.dycomind.com, as soon as reasonably practicable after we file these reports with, or furnish these reports to, the SEC. All references to www.dycomind.com in this report are inactive textual references only and information contained at that website is not incorporated herein and does not constitute a part of this Annual Report on Form 10-K. In addition, the SEC maintains a website that contains reports, proxy and information statements, and other information regarding issuers, where you may obtain a copy of all of the materials we file publicly with the SEC. The SEC website address is www.sec.gov.</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19"/>
          <w:szCs w:val="19"/>
          <w:b w:val="1"/>
          <w:bCs w:val="1"/>
          <w:i w:val="1"/>
          <w:iCs w:val="1"/>
          <w:color w:val="auto"/>
        </w:rPr>
        <w:t>Business.</w:t>
      </w:r>
    </w:p>
    <w:p>
      <w:pPr>
        <w:spacing w:after="0" w:line="250" w:lineRule="exact"/>
        <w:rPr>
          <w:sz w:val="20"/>
          <w:szCs w:val="20"/>
          <w:color w:val="auto"/>
        </w:rPr>
      </w:pPr>
    </w:p>
    <w:p>
      <w:pPr>
        <w:ind w:firstLine="345"/>
        <w:spacing w:after="0" w:line="260" w:lineRule="auto"/>
        <w:rPr>
          <w:sz w:val="20"/>
          <w:szCs w:val="20"/>
          <w:color w:val="auto"/>
        </w:rPr>
      </w:pPr>
      <w:r>
        <w:rPr>
          <w:rFonts w:ascii="Times New Roman" w:cs="Times New Roman" w:eastAsia="Times New Roman" w:hAnsi="Times New Roman"/>
          <w:sz w:val="19"/>
          <w:szCs w:val="19"/>
          <w:color w:val="auto"/>
        </w:rPr>
        <w:t>Dycom Industries, Inc. (“Dycom,” the “Company,” “we,” or “us”) is a leading provider of specialty contracting services to the telecommunications infrastructure and utility industries throughout the United States. Since our incorporation in the State of Florida in 1969, we have expanded our scope and service offerings organically and through acquisitions. Today, Dycom is made up of 40 operating companies that serve a diverse customer base across all 50 states from hundreds of field offices. Our deep industry knowledge, strong customer relationships, broad geographic presence and skilled workforce provide the scale needed to quickly execute on opportunities to service existing and new customers throughout urban and rural America.</w:t>
      </w:r>
    </w:p>
    <w:p>
      <w:pPr>
        <w:spacing w:after="0" w:line="193" w:lineRule="exact"/>
        <w:rPr>
          <w:sz w:val="20"/>
          <w:szCs w:val="20"/>
          <w:color w:val="auto"/>
        </w:rPr>
      </w:pPr>
    </w:p>
    <w:p>
      <w:pPr>
        <w:ind w:right="80" w:firstLine="345"/>
        <w:spacing w:after="0" w:line="262" w:lineRule="auto"/>
        <w:rPr>
          <w:sz w:val="20"/>
          <w:szCs w:val="20"/>
          <w:color w:val="auto"/>
        </w:rPr>
      </w:pPr>
      <w:r>
        <w:rPr>
          <w:rFonts w:ascii="Times New Roman" w:cs="Times New Roman" w:eastAsia="Times New Roman" w:hAnsi="Times New Roman"/>
          <w:sz w:val="19"/>
          <w:szCs w:val="19"/>
          <w:color w:val="auto"/>
        </w:rPr>
        <w:t>Dycom’s operating companies supply telecommunications providers with a comprehensive portfolio of specialty services, including program management, planning, engineering and design; aerial, underground, and wireless construction; maintenance; and fulfillment services. Additionally, we provide underground facility locating services for various utilities, including telecommunications providers, as well as other construction and maintenance services for electric and gas utilities. Dycom supplies the expertise, labor, equipment, and tools necessary to provide services to our customers.</w:t>
      </w:r>
    </w:p>
    <w:p>
      <w:pPr>
        <w:spacing w:after="0" w:line="187" w:lineRule="exact"/>
        <w:rPr>
          <w:sz w:val="20"/>
          <w:szCs w:val="20"/>
          <w:color w:val="auto"/>
        </w:rPr>
      </w:pPr>
    </w:p>
    <w:p>
      <w:pPr>
        <w:ind w:right="80" w:firstLine="345"/>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Engineering Services. </w:t>
      </w:r>
      <w:r>
        <w:rPr>
          <w:rFonts w:ascii="Times New Roman" w:cs="Times New Roman" w:eastAsia="Times New Roman" w:hAnsi="Times New Roman"/>
          <w:sz w:val="19"/>
          <w:szCs w:val="19"/>
          <w:color w:val="auto"/>
        </w:rPr>
        <w:t>We provide engineering services to telecommunications providers, including the planning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design of aerial, underground, and buried fiber optic, copper, and coaxial cable systems that extend from the telephone company hub location, or cable operator headend, to a consumer’s home or business. We also plan and design wireless networks in connection with the deployment of new and enhanced macro cell and new small cell sites. Additionally, we obtain rights of way and permits in support of our engineering activities and those of our customers and provide program and project management and inspection personnel in conjunction with engineering services or on a stand-alone basis.</w:t>
      </w:r>
    </w:p>
    <w:p>
      <w:pPr>
        <w:spacing w:after="0" w:line="193" w:lineRule="exact"/>
        <w:rPr>
          <w:sz w:val="20"/>
          <w:szCs w:val="20"/>
          <w:color w:val="auto"/>
        </w:rPr>
      </w:pPr>
    </w:p>
    <w:p>
      <w:pPr>
        <w:ind w:right="100" w:firstLine="345"/>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Construction, Maintenance, and Installation Services. </w:t>
      </w:r>
      <w:r>
        <w:rPr>
          <w:rFonts w:ascii="Times New Roman" w:cs="Times New Roman" w:eastAsia="Times New Roman" w:hAnsi="Times New Roman"/>
          <w:sz w:val="19"/>
          <w:szCs w:val="19"/>
          <w:color w:val="auto"/>
        </w:rPr>
        <w:t>We provide a range of construction, maintenance, and installation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services, including the placement and splicing of fiber, copper, and coaxial cables. We excavate trenches to place these cables; place related structures, such as poles, anchors, conduits, manholes, cabinets, and closures; place drop lines from main distribution lines to a consumer’s home or business; and maintain and remove these facilities. We provide these services for both telephone companies and cable multiple system operators in connection with the deployment, expansion, or maintenance of new and existing networks. We also provide tower construction, lines and antenna installation, foundation and equipment pad construction, small cell site placement for wireless carriers, and equipment installation and material fabrication and site testing services. In addition, we provide underground facility locating services for various utility companies, including telecommunications providers. Our underground facility locating services include locating telephone, cable television, power, water, sewer, and gas lines. In addition, we install and maintain customer premise equipment, such as digital video recorders, set top boxes and modems, for cable multiple system operators and others. We also perform construction and maintenance services for electric and gas utilities and other customers.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Business Strategy</w:t>
      </w:r>
    </w:p>
    <w:p>
      <w:pPr>
        <w:spacing w:after="0" w:line="246" w:lineRule="exact"/>
        <w:rPr>
          <w:sz w:val="20"/>
          <w:szCs w:val="20"/>
          <w:color w:val="auto"/>
        </w:rPr>
      </w:pPr>
    </w:p>
    <w:p>
      <w:pPr>
        <w:ind w:firstLine="345"/>
        <w:spacing w:after="0" w:line="258" w:lineRule="auto"/>
        <w:rPr>
          <w:sz w:val="20"/>
          <w:szCs w:val="20"/>
          <w:color w:val="auto"/>
        </w:rPr>
      </w:pPr>
      <w:r>
        <w:rPr>
          <w:rFonts w:ascii="Times New Roman" w:cs="Times New Roman" w:eastAsia="Times New Roman" w:hAnsi="Times New Roman"/>
          <w:sz w:val="19"/>
          <w:szCs w:val="19"/>
          <w:b w:val="1"/>
          <w:bCs w:val="1"/>
          <w:i w:val="1"/>
          <w:iCs w:val="1"/>
          <w:color w:val="auto"/>
        </w:rPr>
        <w:t xml:space="preserve">Capitalize on Long-Term Growth Drivers. </w:t>
      </w:r>
      <w:r>
        <w:rPr>
          <w:rFonts w:ascii="Times New Roman" w:cs="Times New Roman" w:eastAsia="Times New Roman" w:hAnsi="Times New Roman"/>
          <w:sz w:val="19"/>
          <w:szCs w:val="19"/>
          <w:color w:val="auto"/>
        </w:rPr>
        <w:t>We are well-positioned to benefit from the increased demand for network</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telecommunications bandwidth that is necessary to ensure reliable video, voice, and data services. In addition, the advent of AI data centers has created expanding opportunities as hyperscalers look to connect data centers with long-haul, private, redundant fiber networks. Developments in consumer and business applications within the telecommunications industry, including advanced digital and video service offerings, continue to increase demand for greater wireline and wireless network capacity and reliability. Telecommunications network operators are increasingly deploying fiber optic cable technology deeper into their networks and closer to consumers and businesses in order to respond to consumer demand, competitive realities, and public policy support. Additionally, wireless carriers are upgrading their networks and contemplating next generation mobile solutions</w:t>
      </w:r>
    </w:p>
    <w:p>
      <w:pPr>
        <w:sectPr>
          <w:pgSz w:w="11880" w:h="15480" w:orient="portrait"/>
          <w:cols w:equalWidth="0" w:num="1">
            <w:col w:w="9800"/>
          </w:cols>
          <w:pgMar w:left="1000" w:top="1121" w:right="1080" w:bottom="0" w:gutter="0" w:footer="0" w:header="0"/>
        </w:sect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p>
    <w:p>
      <w:pPr>
        <w:sectPr>
          <w:pgSz w:w="11880" w:h="15480" w:orient="portrait"/>
          <w:cols w:equalWidth="0" w:num="1">
            <w:col w:w="9800"/>
          </w:cols>
          <w:pgMar w:left="1000" w:top="1121" w:right="1080" w:bottom="0" w:gutter="0" w:footer="0" w:header="0"/>
          <w:type w:val="continuous"/>
        </w:sectPr>
      </w:pPr>
    </w:p>
    <w:bookmarkStart w:id="10" w:name="page11"/>
    <w:bookmarkEnd w:id="10"/>
    <w:p>
      <w:pPr>
        <w:ind w:right="160"/>
        <w:spacing w:after="0" w:line="265" w:lineRule="auto"/>
        <w:rPr>
          <w:sz w:val="20"/>
          <w:szCs w:val="20"/>
          <w:color w:val="auto"/>
        </w:rPr>
      </w:pPr>
      <w:r>
        <w:rPr>
          <w:rFonts w:ascii="Times New Roman" w:cs="Times New Roman" w:eastAsia="Times New Roman" w:hAnsi="Times New Roman"/>
          <w:sz w:val="19"/>
          <w:szCs w:val="19"/>
          <w:color w:val="auto"/>
        </w:rPr>
        <w:t>in response to the significant demand for wireless broadband, driven by the proliferation of smart phones, mobile data devices and other advances in technology. Increasing wireless data traffic and emerging wireless technologies are driving wireline deployments in many regions of the United States. Furthermore, significant consolidation and merger activity among telecommunications providers could also provide increased demand for our services as networks are integrated.</w:t>
      </w:r>
    </w:p>
    <w:p>
      <w:pPr>
        <w:spacing w:after="0" w:line="184" w:lineRule="exact"/>
        <w:rPr>
          <w:sz w:val="20"/>
          <w:szCs w:val="20"/>
          <w:color w:val="auto"/>
        </w:rPr>
      </w:pPr>
    </w:p>
    <w:p>
      <w:pPr>
        <w:ind w:right="40" w:firstLine="346"/>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Selectively Increase Market Share. </w:t>
      </w:r>
      <w:r>
        <w:rPr>
          <w:rFonts w:ascii="Times New Roman" w:cs="Times New Roman" w:eastAsia="Times New Roman" w:hAnsi="Times New Roman"/>
          <w:sz w:val="19"/>
          <w:szCs w:val="19"/>
          <w:color w:val="auto"/>
        </w:rPr>
        <w:t>We believe our expertise, breadth of service offerings and reputation for providing high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quality services and the ability to provide those services nationally creates opportunities to expand market share. Our operating structure and multiple points of contact within customer organizations positions us favorably to win new opportunities and maintain strong relationships with our customers. We are able to address larger customer opportunities due to our significant financial resources that some of our comparatively more capital-constrained competitors may be unable to take on.</w:t>
      </w:r>
    </w:p>
    <w:p>
      <w:pPr>
        <w:spacing w:after="0" w:line="190" w:lineRule="exact"/>
        <w:rPr>
          <w:sz w:val="20"/>
          <w:szCs w:val="20"/>
          <w:color w:val="auto"/>
        </w:rPr>
      </w:pPr>
    </w:p>
    <w:p>
      <w:pPr>
        <w:ind w:right="40" w:firstLine="346"/>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 xml:space="preserve">Pursue Disciplined Financial and Operating Strategies. </w:t>
      </w:r>
      <w:r>
        <w:rPr>
          <w:rFonts w:ascii="Times New Roman" w:cs="Times New Roman" w:eastAsia="Times New Roman" w:hAnsi="Times New Roman"/>
          <w:sz w:val="19"/>
          <w:szCs w:val="19"/>
          <w:color w:val="auto"/>
        </w:rPr>
        <w:t>We manage the financial aspects of our business by centralizing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certain activities that allow us to leverage our scope and scale and reduce costs. We have centralized functions, such as information technology, legal, risk management, treasury, tax, the approval of capital equipment procurements, and the design and administration of employee benefit plans. In contrast, we decentralize the recording of transactions and the financial reporting necessary for timely operational decisions. This operating structure promotes greater accountability for business outcomes by our local managers. Our local managers are responsible for marketing, field operations, and ongoing customer service, and are empowered to capture new business and execute contracts on a timely and cost-effective basis. Executive management supports the local marketing efforts while also marketing at a national level. This operating structure enables us to benefit from our scale while retaining the organizational agility necessary to compete with smaller, regional and privately owned competitors.</w:t>
      </w:r>
    </w:p>
    <w:p>
      <w:pPr>
        <w:spacing w:after="0" w:line="195" w:lineRule="exact"/>
        <w:rPr>
          <w:sz w:val="20"/>
          <w:szCs w:val="20"/>
          <w:color w:val="auto"/>
        </w:rPr>
      </w:pPr>
    </w:p>
    <w:p>
      <w:pPr>
        <w:ind w:right="100" w:firstLine="346"/>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Pursue Selective Acquisitions. </w:t>
      </w:r>
      <w:r>
        <w:rPr>
          <w:rFonts w:ascii="Times New Roman" w:cs="Times New Roman" w:eastAsia="Times New Roman" w:hAnsi="Times New Roman"/>
          <w:sz w:val="19"/>
          <w:szCs w:val="19"/>
          <w:color w:val="auto"/>
        </w:rPr>
        <w:t>We pursue acquisitions that are operationally and financially beneficial for the Company as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they provide incremental revenue, geographic diversification, and complement existing operations. We generally target companies for acquisition that have defensible leadership positions in their market niches, the opportunity to generate profitability that meets or exceeds industry averages, proven operating histories, sound management and certain clearly identifiable cost synergies.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Fiscal Year</w:t>
      </w:r>
    </w:p>
    <w:p>
      <w:pPr>
        <w:spacing w:after="0" w:line="249" w:lineRule="exact"/>
        <w:rPr>
          <w:sz w:val="20"/>
          <w:szCs w:val="20"/>
          <w:color w:val="auto"/>
        </w:rPr>
      </w:pPr>
    </w:p>
    <w:p>
      <w:pPr>
        <w:ind w:right="40" w:firstLine="346"/>
        <w:spacing w:after="0" w:line="265" w:lineRule="auto"/>
        <w:rPr>
          <w:sz w:val="20"/>
          <w:szCs w:val="20"/>
          <w:color w:val="auto"/>
        </w:rPr>
      </w:pPr>
      <w:r>
        <w:rPr>
          <w:rFonts w:ascii="Times New Roman" w:cs="Times New Roman" w:eastAsia="Times New Roman" w:hAnsi="Times New Roman"/>
          <w:sz w:val="19"/>
          <w:szCs w:val="19"/>
          <w:color w:val="auto"/>
        </w:rPr>
        <w:t>Our fiscal year ends on the last Saturday in January. As a result, each fiscal year consists of either 52 weeks or 53 weeks of operations (with the additional week of operations occurring in the fourth quarter). Fiscal 2025, fiscal 2024, and fiscal 2023 each consisted of 52 weeks of operations. The next 53 week fiscal period will occur next fiscal year, which is the fiscal year ending January 31,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Customer Relationships</w:t>
      </w:r>
    </w:p>
    <w:p>
      <w:pPr>
        <w:spacing w:after="0" w:line="249" w:lineRule="exact"/>
        <w:rPr>
          <w:sz w:val="20"/>
          <w:szCs w:val="20"/>
          <w:color w:val="auto"/>
        </w:rPr>
      </w:pPr>
    </w:p>
    <w:p>
      <w:pPr>
        <w:ind w:right="60" w:firstLine="346"/>
        <w:spacing w:after="0" w:line="257" w:lineRule="auto"/>
        <w:rPr>
          <w:sz w:val="20"/>
          <w:szCs w:val="20"/>
          <w:color w:val="auto"/>
        </w:rPr>
      </w:pPr>
      <w:r>
        <w:rPr>
          <w:rFonts w:ascii="Times New Roman" w:cs="Times New Roman" w:eastAsia="Times New Roman" w:hAnsi="Times New Roman"/>
          <w:sz w:val="19"/>
          <w:szCs w:val="19"/>
          <w:color w:val="auto"/>
        </w:rPr>
        <w:t>We have established relationships with many leading telecommunications providers, including telephone companies, cable multiple system operators, wireless carriers, telecommunication equipment and infrastructure providers, as well as electric and gas utilities. Our customer base is highly concentrated, with our top five customers during fiscal 2025, fiscal 2024, and fiscal 2023, accounting for approximately 55.4%, 57.7%, and 66.7%, of our total contract revenues, respectively. During fiscal 2025, we derived approximately 20.1% of our total contract revenues from AT&amp;T Inc., 12.1% from Lumen Technologies Inc., 8.5% from Comcast Corporation, 7.3% from Charter Communications, Inc., and 7.4% from another customer. We believe that a substantial portion of our total contract revenues and operating income will continue to be generated from a concentrated group of customers and that the identity and proportion of our contract revenues arising from our work for our top five customers will fluctuate.</w:t>
      </w:r>
    </w:p>
    <w:p>
      <w:pPr>
        <w:spacing w:after="0" w:line="198" w:lineRule="exact"/>
        <w:rPr>
          <w:sz w:val="20"/>
          <w:szCs w:val="20"/>
          <w:color w:val="auto"/>
        </w:rPr>
      </w:pPr>
    </w:p>
    <w:p>
      <w:pPr>
        <w:ind w:firstLine="346"/>
        <w:spacing w:after="0" w:line="265" w:lineRule="auto"/>
        <w:rPr>
          <w:sz w:val="20"/>
          <w:szCs w:val="20"/>
          <w:color w:val="auto"/>
        </w:rPr>
      </w:pPr>
      <w:r>
        <w:rPr>
          <w:rFonts w:ascii="Times New Roman" w:cs="Times New Roman" w:eastAsia="Times New Roman" w:hAnsi="Times New Roman"/>
          <w:sz w:val="19"/>
          <w:szCs w:val="19"/>
          <w:color w:val="auto"/>
        </w:rPr>
        <w:t>We serve our markets locally through dedicated and experienced personnel. Our sales and marketing efforts are the responsibility of the management teams of our operating companies. These teams possess intimate knowledge of their particular markets, allowing us to be responsive to customer needs. Executive management supports these efforts, both at the local and national levels, focusing on contacts with the appropriate personnel within our customers’ organizations.</w:t>
      </w:r>
    </w:p>
    <w:p>
      <w:pPr>
        <w:spacing w:after="0" w:line="187" w:lineRule="exact"/>
        <w:rPr>
          <w:sz w:val="20"/>
          <w:szCs w:val="20"/>
          <w:color w:val="auto"/>
        </w:rPr>
      </w:pPr>
    </w:p>
    <w:p>
      <w:pPr>
        <w:ind w:right="140" w:firstLine="346"/>
        <w:spacing w:after="0" w:line="259" w:lineRule="auto"/>
        <w:rPr>
          <w:sz w:val="20"/>
          <w:szCs w:val="20"/>
          <w:color w:val="auto"/>
        </w:rPr>
      </w:pPr>
      <w:r>
        <w:rPr>
          <w:rFonts w:ascii="Times New Roman" w:cs="Times New Roman" w:eastAsia="Times New Roman" w:hAnsi="Times New Roman"/>
          <w:sz w:val="19"/>
          <w:szCs w:val="19"/>
          <w:color w:val="auto"/>
        </w:rPr>
        <w:t>We perform a significant amount of our services under master service agreements and other contracts that contain customer-specified service requirements. These agreements include discrete pricing for individual tasks. We generally possess multiple agreements with each of our significant customers. To the extent that such agreements specify exclusivity, there are often exceptions, including the ability of the customer to issue work orders valued above a specified dollar amount to other service providers, the performance of work with the customer’s own employees, and the use of other service providers when jointly placing facilities with another utility. In most cases, a customer may terminate an agreement for convenience. Historically, multi-year master service agreements have been awarded primarily through a competitive bidding process;</w:t>
      </w:r>
    </w:p>
    <w:p>
      <w:pPr>
        <w:sectPr>
          <w:pgSz w:w="11880" w:h="15480" w:orient="portrait"/>
          <w:cols w:equalWidth="0" w:num="1">
            <w:col w:w="9840"/>
          </w:cols>
          <w:pgMar w:left="1000" w:top="897" w:right="1040" w:bottom="0" w:gutter="0" w:footer="0" w:header="0"/>
        </w:sect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p>
    <w:p>
      <w:pPr>
        <w:sectPr>
          <w:pgSz w:w="11880" w:h="15480" w:orient="portrait"/>
          <w:cols w:equalWidth="0" w:num="1">
            <w:col w:w="9840"/>
          </w:cols>
          <w:pgMar w:left="1000" w:top="897" w:right="1040" w:bottom="0" w:gutter="0" w:footer="0" w:header="0"/>
          <w:type w:val="continuous"/>
        </w:sectPr>
      </w:pPr>
    </w:p>
    <w:bookmarkStart w:id="11" w:name="page12"/>
    <w:bookmarkEnd w:id="11"/>
    <w:p>
      <w:pPr>
        <w:spacing w:after="0" w:line="265" w:lineRule="auto"/>
        <w:rPr>
          <w:sz w:val="20"/>
          <w:szCs w:val="20"/>
          <w:color w:val="auto"/>
        </w:rPr>
      </w:pPr>
      <w:r>
        <w:rPr>
          <w:rFonts w:ascii="Times New Roman" w:cs="Times New Roman" w:eastAsia="Times New Roman" w:hAnsi="Times New Roman"/>
          <w:sz w:val="19"/>
          <w:szCs w:val="19"/>
          <w:color w:val="auto"/>
        </w:rPr>
        <w:t>however, occasionally we are able to negotiate extensions to these agreements. We provide the remainder of our services pursuant to contracts for specific projects. These contracts may be long-term (with terms greater than one year) or short-term (with terms less than one year) and often include customary retainage provisions under which the customer may withhold 5% to 10% of the invoiced amounts pending project completion and closeout.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Cyclicality and Seasonality</w:t>
      </w:r>
    </w:p>
    <w:p>
      <w:pPr>
        <w:spacing w:after="0" w:line="249" w:lineRule="exact"/>
        <w:rPr>
          <w:sz w:val="20"/>
          <w:szCs w:val="20"/>
          <w:color w:val="auto"/>
        </w:rPr>
      </w:pPr>
    </w:p>
    <w:p>
      <w:pPr>
        <w:ind w:right="80" w:firstLine="259"/>
        <w:spacing w:after="0" w:line="258" w:lineRule="auto"/>
        <w:rPr>
          <w:sz w:val="20"/>
          <w:szCs w:val="20"/>
          <w:color w:val="auto"/>
        </w:rPr>
      </w:pPr>
      <w:r>
        <w:rPr>
          <w:rFonts w:ascii="Times New Roman" w:cs="Times New Roman" w:eastAsia="Times New Roman" w:hAnsi="Times New Roman"/>
          <w:sz w:val="19"/>
          <w:szCs w:val="19"/>
          <w:color w:val="auto"/>
        </w:rPr>
        <w:t>The cyclical nature of the industry we serve affects demand for our services. The capital expenditure and maintenance budgets of our customers, and the related timing of approvals and seasonal spending patterns, influence our contract revenues and results of operations. Factors affecting our customers and their capital expenditure budgets include, but are not limited to, overall economic conditions, including the cost of capital, the introduction of new technologies, our customers’ debt levels and capital structures, our customers’ financial performance, and our customers’ positioning and strategic plans. Other factors that may affect our customers and their capital expenditure budgets include new regulations or regulatory actions impacting our customers’ businesses, merger or acquisition activity involving our customers, and the physical maintenance needs of our customers’ infrastructure.</w:t>
      </w:r>
    </w:p>
    <w:p>
      <w:pPr>
        <w:spacing w:after="0" w:line="195" w:lineRule="exact"/>
        <w:rPr>
          <w:sz w:val="20"/>
          <w:szCs w:val="20"/>
          <w:color w:val="auto"/>
        </w:rPr>
      </w:pPr>
    </w:p>
    <w:p>
      <w:pPr>
        <w:ind w:right="20" w:firstLine="345"/>
        <w:spacing w:after="0" w:line="257" w:lineRule="auto"/>
        <w:rPr>
          <w:sz w:val="20"/>
          <w:szCs w:val="20"/>
          <w:color w:val="auto"/>
        </w:rPr>
      </w:pPr>
      <w:r>
        <w:rPr>
          <w:rFonts w:ascii="Times New Roman" w:cs="Times New Roman" w:eastAsia="Times New Roman" w:hAnsi="Times New Roman"/>
          <w:sz w:val="19"/>
          <w:szCs w:val="19"/>
          <w:color w:val="auto"/>
        </w:rPr>
        <w:t>Our contract revenues and results of operations exhibit seasonality and are impacted by adverse weather changes as we perform a significant portion of our work outdoors. Consequently, adverse weather, which is more likely to occur with greater frequency, severity, and duration during the winter, as well as reduced daylight hours, impact our operations during the fiscal quarters ending in January and April. Additionally, extreme weather conditions such as major or extended winter storms, droughts and tornados, wildfires, and natural disasters, such as floods, hurricanes, tropical storms, whether as a result of climate change or otherwise, could also impact the demand for our services, or impact our ability to perform our services. Also, several holidays fall within the fiscal quarter ending in January, which decreases the number of available workdays in this fiscal quarter. Because of these factors, we are most likely to experience reduced revenue and profitability or losses during the fiscal quarters ending in January and April compared to the fiscal quarters ending in July and October.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Backlog</w:t>
      </w:r>
    </w:p>
    <w:p>
      <w:pPr>
        <w:spacing w:after="0" w:line="249" w:lineRule="exact"/>
        <w:rPr>
          <w:sz w:val="20"/>
          <w:szCs w:val="20"/>
          <w:color w:val="auto"/>
        </w:rPr>
      </w:pPr>
    </w:p>
    <w:p>
      <w:pPr>
        <w:ind w:right="60" w:firstLine="345"/>
        <w:spacing w:after="0" w:line="257" w:lineRule="auto"/>
        <w:rPr>
          <w:sz w:val="20"/>
          <w:szCs w:val="20"/>
          <w:color w:val="auto"/>
        </w:rPr>
      </w:pPr>
      <w:r>
        <w:rPr>
          <w:rFonts w:ascii="Times New Roman" w:cs="Times New Roman" w:eastAsia="Times New Roman" w:hAnsi="Times New Roman"/>
          <w:sz w:val="19"/>
          <w:szCs w:val="19"/>
          <w:color w:val="auto"/>
        </w:rPr>
        <w:t>Our backlog is an estimate of the uncompleted portion of services to be performed under contractual agreements with our customers and totaled $7.760 billion and $6.917 billion at January 25, 2025 and January 27, 2024, respectively. We expect to complete 59.8% of the January 25, 2025 total backlog during the next 12 months. Our backlog represents an estimate of services to be performed pursuant to master service agreements and other contractual agreements over their terms. These estimates are based on contract terms and evaluations regarding the timing of the services to be provided. In the case of master service agreements, backlog is estimated based on the work performed in the preceding 12 month period, when applicable. When estimating backlog for newly initiated master service agreements and other long and short-term contracts, we also consider the anticipated scope of the contract and information received from the customer during the procurement process and, where applicable, other ancillary information. The majority of our backlog comprises services under master service agreements and other long-term contracts.</w:t>
      </w:r>
    </w:p>
    <w:p>
      <w:pPr>
        <w:spacing w:after="0" w:line="195" w:lineRule="exact"/>
        <w:rPr>
          <w:sz w:val="20"/>
          <w:szCs w:val="20"/>
          <w:color w:val="auto"/>
        </w:rPr>
      </w:pPr>
    </w:p>
    <w:p>
      <w:pPr>
        <w:ind w:right="80" w:firstLine="393"/>
        <w:spacing w:after="0" w:line="257" w:lineRule="auto"/>
        <w:rPr>
          <w:sz w:val="20"/>
          <w:szCs w:val="20"/>
          <w:color w:val="auto"/>
        </w:rPr>
      </w:pPr>
      <w:r>
        <w:rPr>
          <w:rFonts w:ascii="Times New Roman" w:cs="Times New Roman" w:eastAsia="Times New Roman" w:hAnsi="Times New Roman"/>
          <w:sz w:val="19"/>
          <w:szCs w:val="19"/>
          <w:color w:val="auto"/>
        </w:rPr>
        <w:t>Generally, our customers are not contractually committed to procure specific volumes of services. Contract revenue estimates reflected in our backlog can be subject to change due to a number of factors, including contract cancellations or changes in the amount of work we expect to be performed under a contract. In addition, contract revenues reflected in our backlog may be realized in different periods from those previously anticipated due to these factors as well as project accelerations or delays due to various reasons, including, but not limited to, changes in customer spending priorities, project cancellations, regulatory interruptions, scheduling changes, commercial issues, such as permitting, engineering revisions, job site conditions and adverse weather. The amount or timing of our backlog can also be impacted by the merger or acquisition activity of our customers. All of our contracts may be cancelled by our customers, and work previously awarded to us pursuant to these contracts may be cancelled, regardless of whether or not we are in default. Historically, the amount of backlog related to uncompleted projects in which a provision for estimated losses was recorded has not been material.</w:t>
      </w:r>
    </w:p>
    <w:p>
      <w:pPr>
        <w:spacing w:after="0" w:line="195" w:lineRule="exact"/>
        <w:rPr>
          <w:sz w:val="20"/>
          <w:szCs w:val="20"/>
          <w:color w:val="auto"/>
        </w:rPr>
      </w:pPr>
    </w:p>
    <w:p>
      <w:pPr>
        <w:ind w:right="80" w:firstLine="345"/>
        <w:spacing w:after="0" w:line="259" w:lineRule="auto"/>
        <w:rPr>
          <w:sz w:val="20"/>
          <w:szCs w:val="20"/>
          <w:color w:val="auto"/>
        </w:rPr>
      </w:pPr>
      <w:r>
        <w:rPr>
          <w:rFonts w:ascii="Times New Roman" w:cs="Times New Roman" w:eastAsia="Times New Roman" w:hAnsi="Times New Roman"/>
          <w:sz w:val="19"/>
          <w:szCs w:val="19"/>
          <w:color w:val="auto"/>
        </w:rPr>
        <w:t>Backlog is not a measure defined by United States generally accepted accounting principles (“GAAP”) and should be considered in addition to, but not as a substitute for information provided in accordance with GAAP. Participants in our industry also disclose a calculation of their backlog; however, our methodology for determining backlog may not be comparable to the methodologies used by others. We utilize our calculation of backlog to assist in measuring aggregate awards under existing contractual relationships with our customers. We believe our backlog disclosures will assist investors in better understanding this estimate of the services to be performed pursuant to awards by our customers under existing contractual relationships.</w:t>
      </w:r>
    </w:p>
    <w:p>
      <w:pPr>
        <w:sectPr>
          <w:pgSz w:w="11880" w:h="15480" w:orient="portrait"/>
          <w:cols w:equalWidth="0" w:num="1">
            <w:col w:w="9820"/>
          </w:cols>
          <w:pgMar w:left="1000" w:top="897"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p>
    <w:p>
      <w:pPr>
        <w:sectPr>
          <w:pgSz w:w="11880" w:h="15480" w:orient="portrait"/>
          <w:cols w:equalWidth="0" w:num="1">
            <w:col w:w="9820"/>
          </w:cols>
          <w:pgMar w:left="1000" w:top="897" w:right="106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9"/>
          <w:szCs w:val="19"/>
          <w:b w:val="1"/>
          <w:bCs w:val="1"/>
          <w:color w:val="auto"/>
        </w:rPr>
        <w:t>Competition</w:t>
      </w:r>
    </w:p>
    <w:p>
      <w:pPr>
        <w:spacing w:after="0" w:line="249" w:lineRule="exact"/>
        <w:rPr>
          <w:sz w:val="20"/>
          <w:szCs w:val="20"/>
          <w:color w:val="auto"/>
        </w:rPr>
      </w:pPr>
    </w:p>
    <w:p>
      <w:pPr>
        <w:ind w:right="40" w:firstLine="345"/>
        <w:spacing w:after="0" w:line="258" w:lineRule="auto"/>
        <w:rPr>
          <w:sz w:val="20"/>
          <w:szCs w:val="20"/>
          <w:color w:val="auto"/>
        </w:rPr>
      </w:pPr>
      <w:r>
        <w:rPr>
          <w:rFonts w:ascii="Times New Roman" w:cs="Times New Roman" w:eastAsia="Times New Roman" w:hAnsi="Times New Roman"/>
          <w:sz w:val="19"/>
          <w:szCs w:val="19"/>
          <w:color w:val="auto"/>
        </w:rPr>
        <w:t>The specialty contracting services industry in which we operate is highly fragmented and includes a large number of participants. We compete with several large multinational corporations and numerous regional and privately owned companies. In addition, a portion of our customers directly perform many of the same services that we provide. Relatively few barriers to entry exist in the markets in which we operate. As a result, any organization that has adequate financial resources, access to technical expertise, and the necessary equipment may become a competitor and the degree to which an existing competitor participates in the markets that we operate may increase rapidly. The principal competitive factors for our services include geographic presence, quality of service, worker and general public safety, price, breadth of service offerings, and industry reputation. We believe that we compare favorably to our competitors when evaluated against these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Human Capital Resources</w:t>
      </w:r>
    </w:p>
    <w:p>
      <w:pPr>
        <w:spacing w:after="0" w:line="249" w:lineRule="exact"/>
        <w:rPr>
          <w:sz w:val="20"/>
          <w:szCs w:val="20"/>
          <w:color w:val="auto"/>
        </w:rPr>
      </w:pPr>
    </w:p>
    <w:p>
      <w:pPr>
        <w:ind w:right="60" w:firstLine="345"/>
        <w:spacing w:after="0" w:line="262" w:lineRule="auto"/>
        <w:rPr>
          <w:sz w:val="20"/>
          <w:szCs w:val="20"/>
          <w:color w:val="auto"/>
        </w:rPr>
      </w:pPr>
      <w:r>
        <w:rPr>
          <w:rFonts w:ascii="Times New Roman" w:cs="Times New Roman" w:eastAsia="Times New Roman" w:hAnsi="Times New Roman"/>
          <w:sz w:val="19"/>
          <w:szCs w:val="19"/>
          <w:color w:val="auto"/>
        </w:rPr>
        <w:t>We believe that our employees are our most important resources and are critical to our continued success. We employed approximately 15,623 persons as of January 25, 2025. We focus significant attention on attracting and retaining talented and experienced individuals to manage and support our operations. We offer our employees a broad range of company-paid benefits, and we believe our compensation package and benefits are competitive with others in our industry. We are committed to hiring, developing and supporting a workforce that consists of well-trained and highly motivated employees.</w:t>
      </w:r>
    </w:p>
    <w:p>
      <w:pPr>
        <w:spacing w:after="0" w:line="190" w:lineRule="exact"/>
        <w:rPr>
          <w:sz w:val="20"/>
          <w:szCs w:val="20"/>
          <w:color w:val="auto"/>
        </w:rPr>
      </w:pPr>
    </w:p>
    <w:p>
      <w:pPr>
        <w:ind w:firstLine="345"/>
        <w:spacing w:after="0" w:line="245" w:lineRule="auto"/>
        <w:rPr>
          <w:sz w:val="20"/>
          <w:szCs w:val="20"/>
          <w:color w:val="auto"/>
        </w:rPr>
      </w:pPr>
      <w:r>
        <w:rPr>
          <w:rFonts w:ascii="Times New Roman" w:cs="Times New Roman" w:eastAsia="Times New Roman" w:hAnsi="Times New Roman"/>
          <w:sz w:val="19"/>
          <w:szCs w:val="19"/>
          <w:color w:val="auto"/>
        </w:rPr>
        <w:t>Each employee, officer and director of the Company must adhere to the highest standards of business ethics when dealing with each other and with customers, suppliers and all other persons as outlined in our Code of Business Conduct and Ethics and our Code of Ethics for Senior Financial Officers (collectively, the “Code of Conduct”). The Code of Conduct requires all employees to conduct all business dealings with honesty and candor and with respect for the law and the highest standard of ethical behavior. Personal integrity, good faith and fair dealing, the respectful treatment of others, and all other attributes of good behavior are essential for our employees, but special responsibility to uphold these values rests on our officers, managers and supervisors as they establish the climate for all other employees. Officers, managers and supervisors are required to create a work environment that encourages employees to discuss concerns without fear of retaliation. Should potential violations of the Code of Conduct or the law occur, employees are encouraged to voice concerns promptly and are reminded that retaliation against anyone who reports a potential violation in good faith will not be tolerated. All employees are required to complete the training on the Code of Conduct and Ethics, and we report material matters related to the Code of Conduct to the Audit Committee of our Board.</w:t>
      </w:r>
    </w:p>
    <w:p>
      <w:pPr>
        <w:spacing w:after="0" w:line="203" w:lineRule="exact"/>
        <w:rPr>
          <w:sz w:val="20"/>
          <w:szCs w:val="20"/>
          <w:color w:val="auto"/>
        </w:rPr>
      </w:pPr>
    </w:p>
    <w:p>
      <w:pPr>
        <w:jc w:val="both"/>
        <w:ind w:right="180" w:firstLine="345"/>
        <w:spacing w:after="0" w:line="262" w:lineRule="auto"/>
        <w:rPr>
          <w:sz w:val="20"/>
          <w:szCs w:val="20"/>
          <w:color w:val="auto"/>
        </w:rPr>
      </w:pPr>
      <w:r>
        <w:rPr>
          <w:rFonts w:ascii="Times New Roman" w:cs="Times New Roman" w:eastAsia="Times New Roman" w:hAnsi="Times New Roman"/>
          <w:sz w:val="19"/>
          <w:szCs w:val="19"/>
          <w:color w:val="auto"/>
        </w:rPr>
        <w:t>The success of our business is fundamentally connected to the safety and well-being of our people. We are committed to instilling safe work habits through proper training and supervision of our employees and expect adherence to safety practices that ensure a safe work environment. Our safety programs require employees to participate both in safety training required by law and training that is specifically relevant to the work they perform. Safety directors review incidents, examine trends, and implement changes in procedures to address safety issues.</w:t>
      </w:r>
    </w:p>
    <w:p>
      <w:pPr>
        <w:spacing w:after="0" w:line="190" w:lineRule="exact"/>
        <w:rPr>
          <w:sz w:val="20"/>
          <w:szCs w:val="20"/>
          <w:color w:val="auto"/>
        </w:rPr>
      </w:pPr>
    </w:p>
    <w:p>
      <w:pPr>
        <w:ind w:firstLine="345"/>
        <w:spacing w:after="0" w:line="265" w:lineRule="auto"/>
        <w:rPr>
          <w:sz w:val="20"/>
          <w:szCs w:val="20"/>
          <w:color w:val="auto"/>
        </w:rPr>
      </w:pPr>
      <w:r>
        <w:rPr>
          <w:rFonts w:ascii="Times New Roman" w:cs="Times New Roman" w:eastAsia="Times New Roman" w:hAnsi="Times New Roman"/>
          <w:sz w:val="19"/>
          <w:szCs w:val="19"/>
          <w:color w:val="auto"/>
        </w:rPr>
        <w:t>Our Board of Directors, through our Compensation Committee and our Corporate Governance Committee, provides oversight on employee matters. The Compensation Committee receives updates on activities, strategies and initiatives related to the compensation and retention of our employees, and our Corporate Governance Committee oversees environmental, social and human capital matters, as well as the development and succession planning of senior management.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Subcontractors and Materials</w:t>
      </w:r>
    </w:p>
    <w:p>
      <w:pPr>
        <w:spacing w:after="0" w:line="249" w:lineRule="exact"/>
        <w:rPr>
          <w:sz w:val="20"/>
          <w:szCs w:val="20"/>
          <w:color w:val="auto"/>
        </w:rPr>
      </w:pPr>
    </w:p>
    <w:p>
      <w:pPr>
        <w:ind w:right="100" w:firstLine="345"/>
        <w:spacing w:after="0" w:line="265" w:lineRule="auto"/>
        <w:rPr>
          <w:sz w:val="20"/>
          <w:szCs w:val="20"/>
          <w:color w:val="auto"/>
        </w:rPr>
      </w:pPr>
      <w:r>
        <w:rPr>
          <w:rFonts w:ascii="Times New Roman" w:cs="Times New Roman" w:eastAsia="Times New Roman" w:hAnsi="Times New Roman"/>
          <w:sz w:val="19"/>
          <w:szCs w:val="19"/>
          <w:color w:val="auto"/>
        </w:rPr>
        <w:t>We contract with subcontractors to perform a significant amount of our work and to manage fluctuations in work volumes and to reduce the amount we expend on fixed assets and working capital. These subcontractors are typically small, privately owned companies that provide their own employees, vehicles, tools and insurance coverage. No individual subcontractor is financially significant to the Company.</w:t>
      </w:r>
    </w:p>
    <w:p>
      <w:pPr>
        <w:spacing w:after="0" w:line="187" w:lineRule="exact"/>
        <w:rPr>
          <w:sz w:val="20"/>
          <w:szCs w:val="20"/>
          <w:color w:val="auto"/>
        </w:rPr>
      </w:pPr>
    </w:p>
    <w:p>
      <w:pPr>
        <w:ind w:right="160" w:firstLine="345"/>
        <w:spacing w:after="0" w:line="265" w:lineRule="auto"/>
        <w:rPr>
          <w:sz w:val="20"/>
          <w:szCs w:val="20"/>
          <w:color w:val="auto"/>
        </w:rPr>
      </w:pPr>
      <w:r>
        <w:rPr>
          <w:rFonts w:ascii="Times New Roman" w:cs="Times New Roman" w:eastAsia="Times New Roman" w:hAnsi="Times New Roman"/>
          <w:sz w:val="19"/>
          <w:szCs w:val="19"/>
          <w:color w:val="auto"/>
        </w:rPr>
        <w:t>For a majority of the contract services we perform, we are provided most of the required materials by our customers. Because our customers retain the financial and performance risk associated with materials they provide, we do not include the costs associated with those materials in our contract revenues or costs of earned revenues. Under contracts that require us to supply part or all of the required materials, we typically do not depend upon any one source for those materials.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 Management and Insurance</w:t>
      </w:r>
    </w:p>
    <w:p>
      <w:pPr>
        <w:spacing w:after="0" w:line="249" w:lineRule="exact"/>
        <w:rPr>
          <w:sz w:val="20"/>
          <w:szCs w:val="20"/>
          <w:color w:val="auto"/>
        </w:rPr>
      </w:pPr>
    </w:p>
    <w:p>
      <w:pPr>
        <w:ind w:right="300" w:firstLine="345"/>
        <w:spacing w:after="0" w:line="289" w:lineRule="auto"/>
        <w:rPr>
          <w:sz w:val="20"/>
          <w:szCs w:val="20"/>
          <w:color w:val="auto"/>
        </w:rPr>
      </w:pPr>
      <w:r>
        <w:rPr>
          <w:rFonts w:ascii="Times New Roman" w:cs="Times New Roman" w:eastAsia="Times New Roman" w:hAnsi="Times New Roman"/>
          <w:sz w:val="19"/>
          <w:szCs w:val="19"/>
          <w:color w:val="auto"/>
        </w:rPr>
        <w:t>Claims arising in our business generally include workers’ compensation claims, various general liability and damage claims, and claims related to motor vehicle collisions, including personal injury and property damage. For claims within our</w:t>
      </w:r>
    </w:p>
    <w:p>
      <w:pPr>
        <w:sectPr>
          <w:pgSz w:w="11880" w:h="15480" w:orient="portrait"/>
          <w:cols w:equalWidth="0" w:num="1">
            <w:col w:w="9820"/>
          </w:cols>
          <w:pgMar w:left="1000" w:top="891" w:right="1060" w:bottom="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p>
    <w:p>
      <w:pPr>
        <w:sectPr>
          <w:pgSz w:w="11880" w:h="15480" w:orient="portrait"/>
          <w:cols w:equalWidth="0" w:num="1">
            <w:col w:w="9820"/>
          </w:cols>
          <w:pgMar w:left="1000" w:top="891" w:right="1060" w:bottom="0" w:gutter="0" w:footer="0" w:header="0"/>
          <w:type w:val="continuous"/>
        </w:sectPr>
      </w:pPr>
    </w:p>
    <w:bookmarkStart w:id="13" w:name="page14"/>
    <w:bookmarkEnd w:id="13"/>
    <w:p>
      <w:pPr>
        <w:ind w:right="60"/>
        <w:spacing w:after="0" w:line="258"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t xml:space="preserve">insurance program, we retain the risk of loss, up to certain limits, for matters related to automobile liability, general liability (including damages associated with underground facility locating services), workers’ compensation, and employee group health. Additionally, within our aggregate coverage limits and above our base layer of third-party insurance coverage, we have retained the risk of loss at certain levels of exposure. We carefully monitor claims and actively participate with our insurers and our third-party claims administrator in determining claims estimates and adjustments. We accrue the estimated costs of claims as liabilities, and include estimates for claims incurred but not reported. Due to fluctuations in our loss experience from year to year, insurance accruals have varied and can affect our operating margins. Our business could be materially and adversely affected if we experience an increase of insurance claims at certain amounts, or in excess of our coverage limits. See Item 7. </w:t>
      </w:r>
      <w:r>
        <w:rPr>
          <w:rFonts w:ascii="Times New Roman" w:cs="Times New Roman" w:eastAsia="Times New Roman" w:hAnsi="Times New Roman"/>
          <w:sz w:val="19"/>
          <w:szCs w:val="19"/>
          <w:b w:val="1"/>
          <w:bCs w:val="1"/>
          <w:i w:val="1"/>
          <w:iCs w:val="1"/>
          <w:color w:val="auto"/>
        </w:rPr>
        <w:t>Management’s Discussion and Analysis of Financial Condition and Results of Operations</w:t>
      </w:r>
      <w:r>
        <w:rPr>
          <w:rFonts w:ascii="Times New Roman" w:cs="Times New Roman" w:eastAsia="Times New Roman" w:hAnsi="Times New Roman"/>
          <w:sz w:val="19"/>
          <w:szCs w:val="19"/>
          <w:color w:val="auto"/>
        </w:rPr>
        <w:t>, and Note 11,</w:t>
      </w:r>
      <w:r>
        <w:rPr>
          <w:rFonts w:ascii="Times New Roman" w:cs="Times New Roman" w:eastAsia="Times New Roman" w:hAnsi="Times New Roman"/>
          <w:sz w:val="19"/>
          <w:szCs w:val="19"/>
          <w:b w:val="1"/>
          <w:bCs w:val="1"/>
          <w:i w:val="1"/>
          <w:iCs w:val="1"/>
          <w:color w:val="auto"/>
        </w:rPr>
        <w:t xml:space="preserve"> Accrued Insurance Claims</w:t>
      </w:r>
      <w:r>
        <w:rPr>
          <w:rFonts w:ascii="Times New Roman" w:cs="Times New Roman" w:eastAsia="Times New Roman" w:hAnsi="Times New Roman"/>
          <w:sz w:val="19"/>
          <w:szCs w:val="19"/>
          <w:color w:val="auto"/>
        </w:rPr>
        <w:t>, in the Notes to the Consolidated Financial Statements in this Annual Report on Form 10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Regulation</w:t>
      </w:r>
    </w:p>
    <w:p>
      <w:pPr>
        <w:spacing w:after="0" w:line="249" w:lineRule="exact"/>
        <w:rPr>
          <w:sz w:val="20"/>
          <w:szCs w:val="20"/>
          <w:color w:val="auto"/>
        </w:rPr>
      </w:pPr>
    </w:p>
    <w:p>
      <w:pPr>
        <w:ind w:right="600" w:firstLine="346"/>
        <w:spacing w:after="0" w:line="289" w:lineRule="auto"/>
        <w:rPr>
          <w:sz w:val="20"/>
          <w:szCs w:val="20"/>
          <w:color w:val="auto"/>
        </w:rPr>
      </w:pPr>
      <w:r>
        <w:rPr>
          <w:rFonts w:ascii="Times New Roman" w:cs="Times New Roman" w:eastAsia="Times New Roman" w:hAnsi="Times New Roman"/>
          <w:sz w:val="19"/>
          <w:szCs w:val="19"/>
          <w:color w:val="auto"/>
        </w:rPr>
        <w:t>We are subject to various federal, state, and local government regulations, including laws and regulations relating to environmental protection, work-place safety, and other business requirements.</w:t>
      </w:r>
    </w:p>
    <w:p>
      <w:pPr>
        <w:spacing w:after="0" w:line="162" w:lineRule="exact"/>
        <w:rPr>
          <w:sz w:val="20"/>
          <w:szCs w:val="20"/>
          <w:color w:val="auto"/>
        </w:rPr>
      </w:pPr>
    </w:p>
    <w:p>
      <w:pPr>
        <w:ind w:right="180" w:firstLine="346"/>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Environmental. </w:t>
      </w:r>
      <w:r>
        <w:rPr>
          <w:rFonts w:ascii="Times New Roman" w:cs="Times New Roman" w:eastAsia="Times New Roman" w:hAnsi="Times New Roman"/>
          <w:sz w:val="19"/>
          <w:szCs w:val="19"/>
          <w:color w:val="auto"/>
        </w:rPr>
        <w:t>A significant portion of the work we perform is associated with the underground networks of our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customers and we often operate in close proximity to pipelines or underground storage tanks that may contain hazardous substances. We could be subject to potential material liabilities in the event we fail to comply with environmental laws or regulations or if we cause or are responsible for the release of hazardous substances or cause other environmental damages. In addition, failure to comply with environmental laws and regulations could result in significant costs including remediation costs, fines, third-party claims for property damage, loss of use, or personal injury, and, in extreme cases, criminal sanctions.</w:t>
      </w:r>
    </w:p>
    <w:p>
      <w:pPr>
        <w:spacing w:after="0" w:line="154" w:lineRule="exact"/>
        <w:rPr>
          <w:sz w:val="20"/>
          <w:szCs w:val="20"/>
          <w:color w:val="auto"/>
        </w:rPr>
      </w:pPr>
    </w:p>
    <w:p>
      <w:pPr>
        <w:ind w:right="180" w:firstLine="346"/>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 xml:space="preserve">Workplace Safety. </w:t>
      </w:r>
      <w:r>
        <w:rPr>
          <w:rFonts w:ascii="Times New Roman" w:cs="Times New Roman" w:eastAsia="Times New Roman" w:hAnsi="Times New Roman"/>
          <w:sz w:val="19"/>
          <w:szCs w:val="19"/>
          <w:color w:val="auto"/>
        </w:rPr>
        <w:t>We are subject to the requirements of the federal Occupational Safety and Health Act (“OSHA”)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comparable state statutes that regulate the protection of the health and safety of workers. Our failure to comply with OSHA or other workplace safety requirements could result in significant liabilities, fines, penalties, or other enforcement actions and affect our ability to perform the services that we have been contracted to provide to our customers.</w:t>
      </w:r>
    </w:p>
    <w:p>
      <w:pPr>
        <w:spacing w:after="0" w:line="145" w:lineRule="exact"/>
        <w:rPr>
          <w:sz w:val="20"/>
          <w:szCs w:val="20"/>
          <w:color w:val="auto"/>
        </w:rPr>
      </w:pPr>
    </w:p>
    <w:p>
      <w:pPr>
        <w:ind w:firstLine="346"/>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 xml:space="preserve">Business. </w:t>
      </w:r>
      <w:r>
        <w:rPr>
          <w:rFonts w:ascii="Times New Roman" w:cs="Times New Roman" w:eastAsia="Times New Roman" w:hAnsi="Times New Roman"/>
          <w:sz w:val="19"/>
          <w:szCs w:val="19"/>
          <w:color w:val="auto"/>
        </w:rPr>
        <w:t>We are subject to a number of state and federal laws and regulations, including those related to utility oversight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contractor licensing and the operation of our fleet. If we are not in compliance with these laws and regulations, we may be unable to perform services for our customers and may also be subject to fines, penalties, and the suspension or revocation of our licenses.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Information About Our Executive Officers</w:t>
      </w:r>
    </w:p>
    <w:p>
      <w:pPr>
        <w:spacing w:after="0" w:line="249" w:lineRule="exact"/>
        <w:rPr>
          <w:sz w:val="20"/>
          <w:szCs w:val="20"/>
          <w:color w:val="auto"/>
        </w:rPr>
      </w:pPr>
    </w:p>
    <w:p>
      <w:pPr>
        <w:ind w:right="120" w:firstLine="346"/>
        <w:spacing w:after="0" w:line="289" w:lineRule="auto"/>
        <w:rPr>
          <w:sz w:val="20"/>
          <w:szCs w:val="20"/>
          <w:color w:val="auto"/>
        </w:rPr>
      </w:pPr>
      <w:r>
        <w:rPr>
          <w:rFonts w:ascii="Times New Roman" w:cs="Times New Roman" w:eastAsia="Times New Roman" w:hAnsi="Times New Roman"/>
          <w:sz w:val="19"/>
          <w:szCs w:val="19"/>
          <w:color w:val="auto"/>
        </w:rPr>
        <w:t>The following table sets forth certain information concerning the Company’s executive officers as of January 25, 2025, all of whom serve at the pleasure of the Board of Directors.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66"/>
        </w:trPr>
        <w:tc>
          <w:tcPr>
            <w:tcW w:w="19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9"/>
                <w:szCs w:val="19"/>
                <w:b w:val="1"/>
                <w:bCs w:val="1"/>
                <w:color w:val="auto"/>
              </w:rPr>
              <w:t>Name</w:t>
            </w:r>
          </w:p>
        </w:tc>
        <w:tc>
          <w:tcPr>
            <w:tcW w:w="80" w:type="dxa"/>
            <w:vAlign w:val="bottom"/>
          </w:tcPr>
          <w:p>
            <w:pPr>
              <w:spacing w:after="0"/>
              <w:rPr>
                <w:sz w:val="23"/>
                <w:szCs w:val="23"/>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Age</w:t>
            </w:r>
          </w:p>
        </w:tc>
        <w:tc>
          <w:tcPr>
            <w:tcW w:w="80" w:type="dxa"/>
            <w:vAlign w:val="bottom"/>
          </w:tcPr>
          <w:p>
            <w:pPr>
              <w:spacing w:after="0"/>
              <w:rPr>
                <w:sz w:val="23"/>
                <w:szCs w:val="23"/>
                <w:color w:val="auto"/>
              </w:rPr>
            </w:pPr>
          </w:p>
        </w:tc>
        <w:tc>
          <w:tcPr>
            <w:tcW w:w="508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9"/>
                <w:szCs w:val="19"/>
                <w:b w:val="1"/>
                <w:bCs w:val="1"/>
                <w:color w:val="auto"/>
              </w:rPr>
              <w:t>Office</w:t>
            </w:r>
          </w:p>
        </w:tc>
        <w:tc>
          <w:tcPr>
            <w:tcW w:w="60" w:type="dxa"/>
            <w:vAlign w:val="bottom"/>
          </w:tcPr>
          <w:p>
            <w:pPr>
              <w:spacing w:after="0"/>
              <w:rPr>
                <w:sz w:val="23"/>
                <w:szCs w:val="23"/>
                <w:color w:val="auto"/>
              </w:rPr>
            </w:pPr>
          </w:p>
        </w:tc>
        <w:tc>
          <w:tcPr>
            <w:tcW w:w="2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Executive Officer Since</w:t>
            </w:r>
          </w:p>
        </w:tc>
      </w:tr>
      <w:tr>
        <w:trPr>
          <w:trHeight w:val="251"/>
        </w:trPr>
        <w:tc>
          <w:tcPr>
            <w:tcW w:w="19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Daniel S. Peyovich</w:t>
            </w:r>
          </w:p>
        </w:tc>
        <w:tc>
          <w:tcPr>
            <w:tcW w:w="8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49</w:t>
            </w:r>
          </w:p>
        </w:tc>
        <w:tc>
          <w:tcPr>
            <w:tcW w:w="80" w:type="dxa"/>
            <w:vAlign w:val="bottom"/>
          </w:tcPr>
          <w:p>
            <w:pPr>
              <w:spacing w:after="0"/>
              <w:rPr>
                <w:sz w:val="21"/>
                <w:szCs w:val="21"/>
                <w:color w:val="auto"/>
              </w:rPr>
            </w:pPr>
          </w:p>
        </w:tc>
        <w:tc>
          <w:tcPr>
            <w:tcW w:w="50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President and Chief Executive Officer</w:t>
            </w:r>
          </w:p>
        </w:tc>
        <w:tc>
          <w:tcPr>
            <w:tcW w:w="60" w:type="dxa"/>
            <w:vAlign w:val="bottom"/>
          </w:tcPr>
          <w:p>
            <w:pPr>
              <w:spacing w:after="0"/>
              <w:rPr>
                <w:sz w:val="21"/>
                <w:szCs w:val="21"/>
                <w:color w:val="auto"/>
              </w:rPr>
            </w:pPr>
          </w:p>
        </w:tc>
        <w:tc>
          <w:tcPr>
            <w:tcW w:w="20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January 6, 2021</w:t>
            </w:r>
          </w:p>
        </w:tc>
      </w:tr>
      <w:tr>
        <w:trPr>
          <w:trHeight w:val="280"/>
        </w:trPr>
        <w:tc>
          <w:tcPr>
            <w:tcW w:w="19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Kevin M. Wetherington</w:t>
            </w:r>
          </w:p>
        </w:tc>
        <w:tc>
          <w:tcPr>
            <w:tcW w:w="580" w:type="dxa"/>
            <w:vAlign w:val="bottom"/>
            <w:gridSpan w:val="2"/>
          </w:tcPr>
          <w:p>
            <w:pPr>
              <w:jc w:val="center"/>
              <w:ind w:left="24"/>
              <w:spacing w:after="0"/>
              <w:rPr>
                <w:sz w:val="20"/>
                <w:szCs w:val="20"/>
                <w:color w:val="auto"/>
              </w:rPr>
            </w:pPr>
            <w:r>
              <w:rPr>
                <w:rFonts w:ascii="Times New Roman" w:cs="Times New Roman" w:eastAsia="Times New Roman" w:hAnsi="Times New Roman"/>
                <w:sz w:val="19"/>
                <w:szCs w:val="19"/>
                <w:color w:val="auto"/>
                <w:w w:val="94"/>
              </w:rPr>
              <w:t>56</w:t>
            </w:r>
          </w:p>
        </w:tc>
        <w:tc>
          <w:tcPr>
            <w:tcW w:w="80" w:type="dxa"/>
            <w:vAlign w:val="bottom"/>
          </w:tcPr>
          <w:p>
            <w:pPr>
              <w:spacing w:after="0"/>
              <w:rPr>
                <w:sz w:val="24"/>
                <w:szCs w:val="24"/>
                <w:color w:val="auto"/>
              </w:rPr>
            </w:pPr>
          </w:p>
        </w:tc>
        <w:tc>
          <w:tcPr>
            <w:tcW w:w="50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Executive Vice President and Chief Operating Officer</w:t>
            </w:r>
          </w:p>
        </w:tc>
        <w:tc>
          <w:tcPr>
            <w:tcW w:w="6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October 7, 2024</w:t>
            </w:r>
          </w:p>
        </w:tc>
      </w:tr>
      <w:tr>
        <w:trPr>
          <w:trHeight w:val="288"/>
        </w:trPr>
        <w:tc>
          <w:tcPr>
            <w:tcW w:w="19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H. Andrew DeFerrari</w:t>
            </w:r>
          </w:p>
        </w:tc>
        <w:tc>
          <w:tcPr>
            <w:tcW w:w="580" w:type="dxa"/>
            <w:vAlign w:val="bottom"/>
            <w:gridSpan w:val="2"/>
          </w:tcPr>
          <w:p>
            <w:pPr>
              <w:jc w:val="center"/>
              <w:ind w:left="24"/>
              <w:spacing w:after="0"/>
              <w:rPr>
                <w:sz w:val="20"/>
                <w:szCs w:val="20"/>
                <w:color w:val="auto"/>
              </w:rPr>
            </w:pPr>
            <w:r>
              <w:rPr>
                <w:rFonts w:ascii="Times New Roman" w:cs="Times New Roman" w:eastAsia="Times New Roman" w:hAnsi="Times New Roman"/>
                <w:sz w:val="19"/>
                <w:szCs w:val="19"/>
                <w:color w:val="auto"/>
                <w:w w:val="94"/>
              </w:rPr>
              <w:t>56</w:t>
            </w:r>
          </w:p>
        </w:tc>
        <w:tc>
          <w:tcPr>
            <w:tcW w:w="80" w:type="dxa"/>
            <w:vAlign w:val="bottom"/>
          </w:tcPr>
          <w:p>
            <w:pPr>
              <w:spacing w:after="0"/>
              <w:rPr>
                <w:sz w:val="24"/>
                <w:szCs w:val="24"/>
                <w:color w:val="auto"/>
              </w:rPr>
            </w:pPr>
          </w:p>
        </w:tc>
        <w:tc>
          <w:tcPr>
            <w:tcW w:w="50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Senior Vice President and Chief Financial Officer</w:t>
            </w:r>
          </w:p>
        </w:tc>
        <w:tc>
          <w:tcPr>
            <w:tcW w:w="6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November 22, 2005</w:t>
            </w:r>
          </w:p>
        </w:tc>
      </w:tr>
      <w:tr>
        <w:trPr>
          <w:trHeight w:val="288"/>
        </w:trPr>
        <w:tc>
          <w:tcPr>
            <w:tcW w:w="19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Ryan F. Urness</w:t>
            </w:r>
          </w:p>
        </w:tc>
        <w:tc>
          <w:tcPr>
            <w:tcW w:w="580" w:type="dxa"/>
            <w:vAlign w:val="bottom"/>
            <w:gridSpan w:val="2"/>
          </w:tcPr>
          <w:p>
            <w:pPr>
              <w:jc w:val="center"/>
              <w:ind w:left="24"/>
              <w:spacing w:after="0"/>
              <w:rPr>
                <w:sz w:val="20"/>
                <w:szCs w:val="20"/>
                <w:color w:val="auto"/>
              </w:rPr>
            </w:pPr>
            <w:r>
              <w:rPr>
                <w:rFonts w:ascii="Times New Roman" w:cs="Times New Roman" w:eastAsia="Times New Roman" w:hAnsi="Times New Roman"/>
                <w:sz w:val="19"/>
                <w:szCs w:val="19"/>
                <w:color w:val="auto"/>
                <w:w w:val="94"/>
              </w:rPr>
              <w:t>52</w:t>
            </w:r>
          </w:p>
        </w:tc>
        <w:tc>
          <w:tcPr>
            <w:tcW w:w="80" w:type="dxa"/>
            <w:vAlign w:val="bottom"/>
          </w:tcPr>
          <w:p>
            <w:pPr>
              <w:spacing w:after="0"/>
              <w:rPr>
                <w:sz w:val="24"/>
                <w:szCs w:val="24"/>
                <w:color w:val="auto"/>
              </w:rPr>
            </w:pPr>
          </w:p>
        </w:tc>
        <w:tc>
          <w:tcPr>
            <w:tcW w:w="50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Vice President, General Counsel and Corporate Secretary</w:t>
            </w:r>
          </w:p>
        </w:tc>
        <w:tc>
          <w:tcPr>
            <w:tcW w:w="6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May 21, 2019</w:t>
            </w:r>
          </w:p>
        </w:tc>
      </w:tr>
    </w:tbl>
    <w:p>
      <w:pPr>
        <w:spacing w:after="0" w:line="310" w:lineRule="exact"/>
        <w:rPr>
          <w:sz w:val="20"/>
          <w:szCs w:val="20"/>
          <w:color w:val="auto"/>
        </w:rPr>
      </w:pPr>
    </w:p>
    <w:p>
      <w:pPr>
        <w:ind w:right="40" w:firstLine="346"/>
        <w:spacing w:after="0" w:line="271" w:lineRule="auto"/>
        <w:rPr>
          <w:sz w:val="20"/>
          <w:szCs w:val="20"/>
          <w:color w:val="auto"/>
        </w:rPr>
      </w:pPr>
      <w:r>
        <w:rPr>
          <w:rFonts w:ascii="Times New Roman" w:cs="Times New Roman" w:eastAsia="Times New Roman" w:hAnsi="Times New Roman"/>
          <w:sz w:val="19"/>
          <w:szCs w:val="19"/>
          <w:color w:val="auto"/>
        </w:rPr>
        <w:t>There are no arrangements or understandings between any executive officer of the Company and any other person pursuant to which any executive officer was selected as an officer of the Company. There are no family relationships among the Company’s executive officers.</w:t>
      </w:r>
    </w:p>
    <w:p>
      <w:pPr>
        <w:spacing w:after="0" w:line="179" w:lineRule="exact"/>
        <w:rPr>
          <w:sz w:val="20"/>
          <w:szCs w:val="20"/>
          <w:color w:val="auto"/>
        </w:rPr>
      </w:pPr>
    </w:p>
    <w:p>
      <w:pPr>
        <w:ind w:right="20" w:firstLine="346"/>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Daniel S. Peyovich </w:t>
      </w:r>
      <w:r>
        <w:rPr>
          <w:rFonts w:ascii="Times New Roman" w:cs="Times New Roman" w:eastAsia="Times New Roman" w:hAnsi="Times New Roman"/>
          <w:sz w:val="19"/>
          <w:szCs w:val="19"/>
          <w:color w:val="auto"/>
        </w:rPr>
        <w:t>has been the Company’s President and Chief Executive Officer since November 2024. Prior to that, Mr.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Peyovich was the Company’s President since October 2024, its President and Chief Operating Officer from June 2024 to October 2024, and the Company’s Executive Vice President and Chief Operating Officer from May 2021 to June 2024. Upon joining the Company in January 2021 until May 2021, he was the Company’s Executive Vice President of Operations. Before joining the Company in January 2021, Mr. Peyovich spent 21 years in various leadership and management roles at Balfour Beatty Construction, including serving as President of its Northwest Division from 2014 to 2021.</w:t>
      </w:r>
    </w:p>
    <w:p>
      <w:pPr>
        <w:spacing w:after="0" w:line="193" w:lineRule="exact"/>
        <w:rPr>
          <w:sz w:val="20"/>
          <w:szCs w:val="20"/>
          <w:color w:val="auto"/>
        </w:rPr>
      </w:pPr>
    </w:p>
    <w:p>
      <w:pPr>
        <w:ind w:right="80" w:firstLine="346"/>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 xml:space="preserve">Kevin M. Wetherington </w:t>
      </w:r>
      <w:r>
        <w:rPr>
          <w:rFonts w:ascii="Times New Roman" w:cs="Times New Roman" w:eastAsia="Times New Roman" w:hAnsi="Times New Roman"/>
          <w:sz w:val="19"/>
          <w:szCs w:val="19"/>
          <w:color w:val="auto"/>
        </w:rPr>
        <w:t>has been the Company’s Executive Vice President and Chief Operating Officer since October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2024. Before joining the Company, Mr. Wetherington was Chief Health, Safety, Environment and Security and Quality Officer for Baker Hughes Company, a global energy technology company. Mr. Wetherington held various other senior positions with</w:t>
      </w:r>
    </w:p>
    <w:p>
      <w:pPr>
        <w:sectPr>
          <w:pgSz w:w="11880" w:h="15480" w:orient="portrait"/>
          <w:cols w:equalWidth="0" w:num="1">
            <w:col w:w="9840"/>
          </w:cols>
          <w:pgMar w:left="1040" w:top="897" w:right="1000" w:bottom="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254000</wp:posOffset>
            </wp:positionV>
            <wp:extent cx="76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6875780</wp:posOffset>
            </wp:positionH>
            <wp:positionV relativeFrom="paragraph">
              <wp:posOffset>254000</wp:posOffset>
            </wp:positionV>
            <wp:extent cx="76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40"/>
          </w:cols>
          <w:pgMar w:left="1040" w:top="897" w:right="1000" w:bottom="0" w:gutter="0" w:footer="0" w:header="0"/>
          <w:type w:val="continuous"/>
        </w:sectPr>
      </w:pPr>
    </w:p>
    <w:bookmarkStart w:id="14" w:name="page15"/>
    <w:bookmarkEnd w:id="14"/>
    <w:p>
      <w:pPr>
        <w:ind w:right="800"/>
        <w:spacing w:after="0" w:line="289" w:lineRule="auto"/>
        <w:rPr>
          <w:sz w:val="20"/>
          <w:szCs w:val="20"/>
          <w:color w:val="auto"/>
        </w:rPr>
      </w:pPr>
      <w:r>
        <w:rPr>
          <w:rFonts w:ascii="Times New Roman" w:cs="Times New Roman" w:eastAsia="Times New Roman" w:hAnsi="Times New Roman"/>
          <w:sz w:val="19"/>
          <w:szCs w:val="19"/>
          <w:color w:val="auto"/>
        </w:rPr>
        <w:t>Baker Hughes Company starting in 2010. Prior to that, Mr. Wetherington served in senior positions with Weatherford International plc, a multinational oil services company from 2005 to 2010.</w:t>
      </w:r>
    </w:p>
    <w:p>
      <w:pPr>
        <w:spacing w:after="0" w:line="162" w:lineRule="exact"/>
        <w:rPr>
          <w:sz w:val="20"/>
          <w:szCs w:val="20"/>
          <w:color w:val="auto"/>
        </w:rPr>
      </w:pPr>
    </w:p>
    <w:p>
      <w:pPr>
        <w:ind w:firstLine="346"/>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 xml:space="preserve">H. Andrew DeFerrari </w:t>
      </w:r>
      <w:r>
        <w:rPr>
          <w:rFonts w:ascii="Times New Roman" w:cs="Times New Roman" w:eastAsia="Times New Roman" w:hAnsi="Times New Roman"/>
          <w:sz w:val="19"/>
          <w:szCs w:val="19"/>
          <w:color w:val="auto"/>
        </w:rPr>
        <w:t>has been the Company’s Senior Vice President and Chief Financial Officer since April 2008. Prior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that, Mr. DeFerrari was the Company’s Vice President and Chief Accounting Officer since November 2005 and was the Company’s Financial Controller from July 2004 through November 2005. Mr. DeFerrari was previously a senior audit manager with Ernst &amp; Young Americas, LLC.</w:t>
      </w:r>
    </w:p>
    <w:p>
      <w:pPr>
        <w:spacing w:after="0" w:line="183" w:lineRule="exact"/>
        <w:rPr>
          <w:sz w:val="20"/>
          <w:szCs w:val="20"/>
          <w:color w:val="auto"/>
        </w:rPr>
      </w:pPr>
    </w:p>
    <w:p>
      <w:pPr>
        <w:ind w:right="120" w:firstLine="346"/>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Ryan F. Urness </w:t>
      </w:r>
      <w:r>
        <w:rPr>
          <w:rFonts w:ascii="Times New Roman" w:cs="Times New Roman" w:eastAsia="Times New Roman" w:hAnsi="Times New Roman"/>
          <w:sz w:val="19"/>
          <w:szCs w:val="19"/>
          <w:color w:val="auto"/>
        </w:rPr>
        <w:t>has been our Vice President and General Counsel since October 2018, and our Corporate Secretary since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May 2019. Prior to that, from May 2016 through October 2018, Mr. Urness was General Counsel and Corporate Secretary of USI Building Solutions, a provider of installation and distribution services to commercial and residential construction markets. From 2003 until May 2016, Mr. Urness was General Counsel and Corporate Secretary of Speed Commerce, Inc., a provider of e-commerce technology and fulfillment services.</w:t>
      </w:r>
    </w:p>
    <w:p>
      <w:pPr>
        <w:sectPr>
          <w:pgSz w:w="11880" w:h="15480" w:orient="portrait"/>
          <w:cols w:equalWidth="0" w:num="1">
            <w:col w:w="9840"/>
          </w:cols>
          <w:pgMar w:left="1000" w:top="89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p>
    <w:p>
      <w:pPr>
        <w:sectPr>
          <w:pgSz w:w="11880" w:h="15480" w:orient="portrait"/>
          <w:cols w:equalWidth="0" w:num="1">
            <w:col w:w="9840"/>
          </w:cols>
          <w:pgMar w:left="1000" w:top="897" w:right="104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9"/>
          <w:szCs w:val="19"/>
          <w:b w:val="1"/>
          <w:bCs w:val="1"/>
          <w:color w:val="auto"/>
        </w:rPr>
        <w:t>Item 1A</w:t>
      </w:r>
      <w:r>
        <w:rPr>
          <w:rFonts w:ascii="Times New Roman" w:cs="Times New Roman" w:eastAsia="Times New Roman" w:hAnsi="Times New Roman"/>
          <w:sz w:val="19"/>
          <w:szCs w:val="19"/>
          <w:b w:val="1"/>
          <w:bCs w:val="1"/>
          <w:i w:val="1"/>
          <w:iCs w:val="1"/>
          <w:color w:val="auto"/>
        </w:rPr>
        <w:t>. Risk Factors.</w:t>
      </w:r>
    </w:p>
    <w:p>
      <w:pPr>
        <w:spacing w:after="0" w:line="247" w:lineRule="exact"/>
        <w:rPr>
          <w:sz w:val="20"/>
          <w:szCs w:val="20"/>
          <w:color w:val="auto"/>
        </w:rPr>
      </w:pPr>
    </w:p>
    <w:p>
      <w:pPr>
        <w:ind w:firstLine="345"/>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Our business is subject to a variety of risks and uncertainties, including, but not limited to, the risks and uncertainties described below. You should read the following risk factors carefully in connection with evaluating our business and the forward-looking information contained in this Annual Report on Form 10-K. If any of the risks described below, or elsewhere in this Annual Report on Form 10-K were to occur, our financial condition and results of operations could suffer and the trading price of our common stock could decline. Additionally, if other risks not presently known to us, or that we do not currently believe to be significant, occur or become significant, our financial condition and results of operations could suffer and the trading price of our common stock could decline.</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color w:val="auto"/>
        </w:rPr>
        <w:t>Risks Related to Financial Performance or General Economic Conditions</w:t>
      </w:r>
    </w:p>
    <w:p>
      <w:pPr>
        <w:spacing w:after="0" w:line="246" w:lineRule="exact"/>
        <w:rPr>
          <w:sz w:val="20"/>
          <w:szCs w:val="20"/>
          <w:color w:val="auto"/>
        </w:rPr>
      </w:pPr>
    </w:p>
    <w:p>
      <w:pPr>
        <w:ind w:right="60" w:firstLine="345"/>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Economic downturns, uncertain economic conditions, and capital market fluctuations may affect our customers’ spending on the services we provide</w:t>
      </w:r>
      <w:r>
        <w:rPr>
          <w:rFonts w:ascii="Times New Roman" w:cs="Times New Roman" w:eastAsia="Times New Roman" w:hAnsi="Times New Roman"/>
          <w:sz w:val="19"/>
          <w:szCs w:val="19"/>
          <w:color w:val="auto"/>
        </w:rPr>
        <w:t>. Macroeconomic conditions, including inflation, slower growth or recessionary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conditions, changes to fiscal and monetary policy, availability of credit, and interest rates could materially adversely affect demand for our services and the availability and cost of the materials and equipment we need to deliver our services. During periods of elevated and prolonged economic uncertainty our customers may delay, reduce or eliminate their spending on the services we provide. In addition, volatility in the debt or equity markets may impact our customers’ access to capital and result in the reduction or elimination of spending on the services we provide. Our vendors, suppliers and subcontractors may also be adversely affected by these conditions. These conditions, which can develop rapidly, could adversely affect our revenues, results of operations, and liquidity.</w:t>
      </w:r>
    </w:p>
    <w:p>
      <w:pPr>
        <w:spacing w:after="0" w:line="198" w:lineRule="exact"/>
        <w:rPr>
          <w:sz w:val="20"/>
          <w:szCs w:val="20"/>
          <w:color w:val="auto"/>
        </w:rPr>
      </w:pPr>
    </w:p>
    <w:p>
      <w:pPr>
        <w:ind w:firstLine="345"/>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 xml:space="preserve">Trade restrictions could be imposed on goods, materials or component parts used in our business that we import from other countries, which could have a material adverse effect on our results of operations. </w:t>
      </w:r>
      <w:r>
        <w:rPr>
          <w:rFonts w:ascii="Times New Roman" w:cs="Times New Roman" w:eastAsia="Times New Roman" w:hAnsi="Times New Roman"/>
          <w:sz w:val="19"/>
          <w:szCs w:val="19"/>
          <w:color w:val="auto"/>
        </w:rPr>
        <w:t>Our industry could be impacted by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imposition, or the threat of the imposition of, tariffs placed on products imported from foreign countries that we use in our business, including steel, aluminum, fuel and motor vehicles or their component parts, fiber cable and other components that we utilize to build networks, or any resulting impacts from escalating trade hostilities with the countries from where we import products. There is an ongoing risk of new or additional tariffs being placed on goods, materials or components used in our business that could dramatically increase our costs, require us to increase prices to our customers or, if we are unable to do so, result in lower gross margins. Any escalation of trade tensions, including new or increased tariffs or a “trade war,” could have a significant adverse effect on U.S. or world trade, as well as on our results of operations.</w:t>
      </w:r>
    </w:p>
    <w:p>
      <w:pPr>
        <w:spacing w:after="0" w:line="200" w:lineRule="exact"/>
        <w:rPr>
          <w:sz w:val="20"/>
          <w:szCs w:val="20"/>
          <w:color w:val="auto"/>
        </w:rPr>
      </w:pPr>
    </w:p>
    <w:p>
      <w:pPr>
        <w:spacing w:after="0" w:line="229" w:lineRule="exact"/>
        <w:rPr>
          <w:sz w:val="20"/>
          <w:szCs w:val="20"/>
          <w:color w:val="auto"/>
        </w:rPr>
      </w:pPr>
    </w:p>
    <w:p>
      <w:pPr>
        <w:ind w:firstLine="345"/>
        <w:spacing w:after="0" w:line="254" w:lineRule="auto"/>
        <w:rPr>
          <w:sz w:val="20"/>
          <w:szCs w:val="20"/>
          <w:color w:val="auto"/>
        </w:rPr>
      </w:pPr>
      <w:r>
        <w:rPr>
          <w:rFonts w:ascii="Times New Roman" w:cs="Times New Roman" w:eastAsia="Times New Roman" w:hAnsi="Times New Roman"/>
          <w:sz w:val="19"/>
          <w:szCs w:val="19"/>
          <w:b w:val="1"/>
          <w:bCs w:val="1"/>
          <w:i w:val="1"/>
          <w:iCs w:val="1"/>
          <w:color w:val="auto"/>
        </w:rPr>
        <w:t xml:space="preserve">We derive a significant portion of our revenues from a small number of customers, and the loss of one or more of these customers could adversely affect our revenues, results of operations, and liquidity. </w:t>
      </w:r>
      <w:r>
        <w:rPr>
          <w:rFonts w:ascii="Times New Roman" w:cs="Times New Roman" w:eastAsia="Times New Roman" w:hAnsi="Times New Roman"/>
          <w:sz w:val="19"/>
          <w:szCs w:val="19"/>
          <w:color w:val="auto"/>
        </w:rPr>
        <w:t>Our customer base is highly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concentrated, with our top five customers during fiscal 2025, fiscal 2024, and fiscal 2023 accounting for approximately</w:t>
      </w:r>
    </w:p>
    <w:p>
      <w:pPr>
        <w:ind w:right="120"/>
        <w:spacing w:after="0" w:line="260" w:lineRule="auto"/>
        <w:rPr>
          <w:sz w:val="20"/>
          <w:szCs w:val="20"/>
          <w:color w:val="auto"/>
        </w:rPr>
      </w:pPr>
      <w:r>
        <w:rPr>
          <w:rFonts w:ascii="Times New Roman" w:cs="Times New Roman" w:eastAsia="Times New Roman" w:hAnsi="Times New Roman"/>
          <w:sz w:val="19"/>
          <w:szCs w:val="19"/>
          <w:color w:val="auto"/>
        </w:rPr>
        <w:t>55.4%, 57.7%, and 66.7%, of our total contract revenues, respectively. Our industry is highly competitive and the revenue we expect from an existing customer in any market could fail to be realized if competitors who offer comparable services to our customers do so on more favorable terms or have a better relationship with a customer. Additionally, the continued consolidation of the telecommunications industry could result in the loss of a customer if, as a result of a merger or acquisition involving one or more of our customers, the surviving entity chooses to use one of our competitors for the services we currently provide.</w:t>
      </w:r>
    </w:p>
    <w:p>
      <w:pPr>
        <w:spacing w:after="0" w:line="190" w:lineRule="exact"/>
        <w:rPr>
          <w:sz w:val="20"/>
          <w:szCs w:val="20"/>
          <w:color w:val="auto"/>
        </w:rPr>
      </w:pPr>
    </w:p>
    <w:p>
      <w:pPr>
        <w:ind w:right="20" w:firstLine="345"/>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 xml:space="preserve">The capital and operating expenditure budgets and seasonal spending patterns of our customers affect demand for our services and the addition of new customers with differing behaviors may adversely impact our business. </w:t>
      </w:r>
      <w:r>
        <w:rPr>
          <w:rFonts w:ascii="Times New Roman" w:cs="Times New Roman" w:eastAsia="Times New Roman" w:hAnsi="Times New Roman"/>
          <w:sz w:val="19"/>
          <w:szCs w:val="19"/>
          <w:color w:val="auto"/>
        </w:rPr>
        <w:t>Generally, our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customers have no obligation to assign specific amounts of work to us. Customers decide to engage us to provide services based on, among other things, the amount of capital they have available and their spending priorities. Our customers’ capital budgets may change for reasons over which we have no control. These changes may occur quickly and without advance notice. Any fluctuation in the capital or operating expenditure budgets and priorities of our customers could adversely affect our revenues, results of operations, and liquidity. Further, if we continue to broaden our customer base, we may become subject to different customer requirements or characteristics, including less advantageous contractual requirements, customers with financial or operational instability or increased contract terminations or project cancellations. Our failure or inability to anticipate or adapt to a changing customer base and shifting business models could have an adverse effect on our competitive position business or results of operations.</w:t>
      </w:r>
    </w:p>
    <w:p>
      <w:pPr>
        <w:spacing w:after="0" w:line="191" w:lineRule="exact"/>
        <w:rPr>
          <w:sz w:val="20"/>
          <w:szCs w:val="20"/>
          <w:color w:val="auto"/>
        </w:rPr>
      </w:pPr>
    </w:p>
    <w:p>
      <w:pPr>
        <w:ind w:right="20" w:firstLine="345"/>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 xml:space="preserve">Pandemics and public health emergencies could materially disrupt our business and negatively impact our operating results, cash flows and financial condition. </w:t>
      </w:r>
      <w:r>
        <w:rPr>
          <w:rFonts w:ascii="Times New Roman" w:cs="Times New Roman" w:eastAsia="Times New Roman" w:hAnsi="Times New Roman"/>
          <w:sz w:val="19"/>
          <w:szCs w:val="19"/>
          <w:color w:val="auto"/>
        </w:rPr>
        <w:t>Pandemics and public health emergencies, like the COVID-19 pandemic, may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impact our operating results, cash flows and financial condition in ways that are uncertain, unpredictable and outside of our control. The extent of the impact of such an event depends on the severity and duration of the public health emergency or</w:t>
      </w:r>
    </w:p>
    <w:p>
      <w:pPr>
        <w:sectPr>
          <w:pgSz w:w="11880" w:h="15480" w:orient="portrait"/>
          <w:cols w:equalWidth="0" w:num="1">
            <w:col w:w="9500"/>
          </w:cols>
          <w:pgMar w:left="1020" w:top="889" w:right="1360" w:bottom="0" w:gutter="0" w:footer="0" w:header="0"/>
        </w:sectPr>
      </w:pPr>
    </w:p>
    <w:p>
      <w:pPr>
        <w:spacing w:after="0" w:line="31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p>
    <w:p>
      <w:pPr>
        <w:sectPr>
          <w:pgSz w:w="11880" w:h="15480" w:orient="portrait"/>
          <w:cols w:equalWidth="0" w:num="1">
            <w:col w:w="9500"/>
          </w:cols>
          <w:pgMar w:left="1020" w:top="889" w:right="1360" w:bottom="0" w:gutter="0" w:footer="0" w:header="0"/>
          <w:type w:val="continuous"/>
        </w:sectPr>
      </w:pPr>
    </w:p>
    <w:bookmarkStart w:id="16" w:name="page17"/>
    <w:bookmarkEnd w:id="16"/>
    <w:p>
      <w:pPr>
        <w:ind w:right="60"/>
        <w:spacing w:after="0" w:line="262" w:lineRule="auto"/>
        <w:rPr>
          <w:sz w:val="20"/>
          <w:szCs w:val="20"/>
          <w:color w:val="auto"/>
        </w:rPr>
      </w:pPr>
      <w:r>
        <w:rPr>
          <w:rFonts w:ascii="Times New Roman" w:cs="Times New Roman" w:eastAsia="Times New Roman" w:hAnsi="Times New Roman"/>
          <w:sz w:val="19"/>
          <w:szCs w:val="19"/>
          <w:color w:val="auto"/>
        </w:rPr>
        <w:t>pandemic, as well as the nature and duration of federal, state and local laws, orders, rules, emergency temporary standards, regulations and mandates, together with protocols and contractual requirements implemented by our customers, that may be enacted or newly enforced in response. Additionally, our ability to perform our work during such an event may be dependent on the governmental or societal responses to these circumstances in the markets in which we operate. A pandemic or public health emergency is likely to heighten and exacerbate the risks described herein.</w:t>
      </w:r>
    </w:p>
    <w:p>
      <w:pPr>
        <w:spacing w:after="0" w:line="187" w:lineRule="exact"/>
        <w:rPr>
          <w:sz w:val="20"/>
          <w:szCs w:val="20"/>
          <w:color w:val="auto"/>
        </w:rPr>
      </w:pPr>
    </w:p>
    <w:p>
      <w:pPr>
        <w:ind w:firstLine="345"/>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Seasonality and adverse weather conditions affect demand for our services. </w:t>
      </w:r>
      <w:r>
        <w:rPr>
          <w:rFonts w:ascii="Times New Roman" w:cs="Times New Roman" w:eastAsia="Times New Roman" w:hAnsi="Times New Roman"/>
          <w:sz w:val="19"/>
          <w:szCs w:val="19"/>
          <w:color w:val="auto"/>
        </w:rPr>
        <w:t>Our contract revenues and results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operations exhibit seasonality and are impacted by adverse weather changes as we perform a significant portion of our work outdoors. Consequently, adverse weather, which is more likely to occur with greater frequency, severity, and duration during the winter, as well as reduced daylight hours, impact our operations during the fiscal quarters ending in January and April. Additionally, extreme weather conditions such as major or extended winter storms, droughts and tornados, wildfires, and natural disasters, such as floods, hurricanes, tropical storms, whether as a result of climate change or otherwise, could also impact the demand for our services, or impact our ability to perform our services. Also, several holidays fall within the fiscal quarter ending in January, which decreases the number of available workdays in this fiscal quarter. Because of these factors, we are most likely to experience reduced revenue and profitability or losses during the fiscal quarters ending in January and April compared to the fiscal quarters ending in July and October.</w:t>
      </w:r>
    </w:p>
    <w:p>
      <w:pPr>
        <w:spacing w:after="0" w:line="196" w:lineRule="exact"/>
        <w:rPr>
          <w:sz w:val="20"/>
          <w:szCs w:val="20"/>
          <w:color w:val="auto"/>
        </w:rPr>
      </w:pPr>
    </w:p>
    <w:p>
      <w:pPr>
        <w:ind w:right="560" w:firstLine="34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derive a significant portion of our revenues from multi-year master service agreements and other long-term contracts which our customers may cancel at any time or may reschedule or modify previously assigned work. </w:t>
      </w:r>
      <w:r>
        <w:rPr>
          <w:rFonts w:ascii="Times New Roman" w:cs="Times New Roman" w:eastAsia="Times New Roman" w:hAnsi="Times New Roman"/>
          <w:sz w:val="18"/>
          <w:szCs w:val="18"/>
          <w:color w:val="auto"/>
        </w:rPr>
        <w:t>The</w:t>
      </w:r>
    </w:p>
    <w:p>
      <w:pPr>
        <w:spacing w:after="0" w:line="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9"/>
          <w:szCs w:val="19"/>
          <w:color w:val="auto"/>
        </w:rPr>
        <w:t>majority of our long-term contracts are cancellable by our customers with little or no advance notice and for any, or no, reason. Our customers may also have the right to cancel or remove assigned work without canceling the contract or to reschedule or modify previously assigned work. We may also experience difficulty in managing and timely executing on long-term contracts due to the complex nature of the projects and changes in customer needs and priorities may adversely impact of the profitability of these contracts. In addition, these contracts typically include a fixed term that is subject to renewal or rebid on a periodic basis. We may be unsuccessful in securing contracts when their fixed terms expire. Our projected revenues assume that definitive work orders have been, or will be, issued by our customer, and that the work will be completed. The potential loss of work under master service agreements and other long-term contracts, or the rescheduling or modification of previously assigned work by a customer, could adversely affect our results of operations, cash flows, and liquidity, as well as any projections we provide.</w:t>
      </w:r>
    </w:p>
    <w:p>
      <w:pPr>
        <w:spacing w:after="0" w:line="192" w:lineRule="exact"/>
        <w:rPr>
          <w:sz w:val="20"/>
          <w:szCs w:val="20"/>
          <w:color w:val="auto"/>
        </w:rPr>
      </w:pPr>
    </w:p>
    <w:p>
      <w:pPr>
        <w:ind w:right="40" w:firstLine="345"/>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Our contracts contain provisions that may require us to pay damages or incur costs if we fail to meet our contractual obligations. </w:t>
      </w:r>
      <w:r>
        <w:rPr>
          <w:rFonts w:ascii="Times New Roman" w:cs="Times New Roman" w:eastAsia="Times New Roman" w:hAnsi="Times New Roman"/>
          <w:sz w:val="19"/>
          <w:szCs w:val="19"/>
          <w:color w:val="auto"/>
        </w:rPr>
        <w:t>If we do not meet our contractual obligations our customers may look to us to pay damages or pursue other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remedies, including, in some instances, the payment of liquidated damages. Additionally, if we fail to meet our contractual obligations, or if our customer anticipates that we cannot meet our contractual obligations, our customers may, in certain circumstances, seek reimbursement from us to cover the incremental cost of having a third party complete or remediate our work. Our results of operations could be adversely affected if we are required to pay damages or incur costs as a result of a failure to meet our contractual obligations.</w:t>
      </w:r>
    </w:p>
    <w:p>
      <w:pPr>
        <w:spacing w:after="0" w:line="193" w:lineRule="exact"/>
        <w:rPr>
          <w:sz w:val="20"/>
          <w:szCs w:val="20"/>
          <w:color w:val="auto"/>
        </w:rPr>
      </w:pPr>
    </w:p>
    <w:p>
      <w:pPr>
        <w:ind w:right="20" w:firstLine="345"/>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Our backlog is subject to reduction or cancellation, and revenues may be realized in different periods than initially reflected in our backlog. </w:t>
      </w:r>
      <w:r>
        <w:rPr>
          <w:rFonts w:ascii="Times New Roman" w:cs="Times New Roman" w:eastAsia="Times New Roman" w:hAnsi="Times New Roman"/>
          <w:sz w:val="19"/>
          <w:szCs w:val="19"/>
          <w:color w:val="auto"/>
        </w:rPr>
        <w:t>Our backlog includes the estimated uncompleted portion of services to be performed under master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services agreements and other contractual agreements with our customers. These estimates are based on, among other things, contract terms and projections regarding the timing of the services to be provided. In the case of master service agreements, backlog is calculated using as an input the amount of work performed in the preceding 12 month period, when applicable. Backlog for newly initiated master service agreements and other long and short-term contracts is estimated using the anticipated scope of the contract and information received from the customer in the procurement process.</w:t>
      </w:r>
    </w:p>
    <w:p>
      <w:pPr>
        <w:spacing w:after="0" w:line="196" w:lineRule="exact"/>
        <w:rPr>
          <w:sz w:val="20"/>
          <w:szCs w:val="20"/>
          <w:color w:val="auto"/>
        </w:rPr>
      </w:pPr>
    </w:p>
    <w:p>
      <w:pPr>
        <w:ind w:right="140" w:firstLine="345"/>
        <w:spacing w:after="0" w:line="257" w:lineRule="auto"/>
        <w:rPr>
          <w:sz w:val="20"/>
          <w:szCs w:val="20"/>
          <w:color w:val="auto"/>
        </w:rPr>
      </w:pPr>
      <w:r>
        <w:rPr>
          <w:rFonts w:ascii="Times New Roman" w:cs="Times New Roman" w:eastAsia="Times New Roman" w:hAnsi="Times New Roman"/>
          <w:sz w:val="19"/>
          <w:szCs w:val="19"/>
          <w:color w:val="auto"/>
        </w:rPr>
        <w:t>Generally, our customers are not contractually committed to procure specific volumes of services. Contract revenue estimates reflected in our backlog can be subject to change due to a number of factors, including contract cancellations or changes in the amount of work we expect to be performed under a contract. In addition, contract revenues reflected in our backlog may be realized in different periods from those previously anticipated due to these factors as well as project accelerations or delays due to various reasons, including, but not limited to, changes in customer spending priorities, project cancellations, regulatory interruptions, scheduling changes, commercial issues, such as permitting, engineering revisions, job site conditions and adverse weather. The amount or timing of our backlog can also be impacted by the merger or acquisition activity of our customers. Our estimates of our customers’ requirements during a future period may prove to be inaccurate. As a result, our backlog as of any particular date is an uncertain estimate of the amount of, and timing of, future revenues and earnings.</w:t>
      </w:r>
    </w:p>
    <w:p>
      <w:pPr>
        <w:sectPr>
          <w:pgSz w:w="11880" w:h="15480" w:orient="portrait"/>
          <w:cols w:equalWidth="0" w:num="1">
            <w:col w:w="9480"/>
          </w:cols>
          <w:pgMar w:left="1000" w:top="89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p>
    <w:p>
      <w:pPr>
        <w:sectPr>
          <w:pgSz w:w="11880" w:h="15480" w:orient="portrait"/>
          <w:cols w:equalWidth="0" w:num="1">
            <w:col w:w="9480"/>
          </w:cols>
          <w:pgMar w:left="1000" w:top="897" w:right="1400" w:bottom="0" w:gutter="0" w:footer="0" w:header="0"/>
          <w:type w:val="continuous"/>
        </w:sectPr>
      </w:pPr>
    </w:p>
    <w:bookmarkStart w:id="17" w:name="page18"/>
    <w:bookmarkEnd w:id="17"/>
    <w:p>
      <w:pPr>
        <w:ind w:right="160" w:firstLine="346"/>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We have a significant amount of accounts receivable and contract assets, which could become uncollectible. </w:t>
      </w:r>
      <w:r>
        <w:rPr>
          <w:rFonts w:ascii="Times New Roman" w:cs="Times New Roman" w:eastAsia="Times New Roman" w:hAnsi="Times New Roman"/>
          <w:sz w:val="19"/>
          <w:szCs w:val="19"/>
          <w:color w:val="auto"/>
        </w:rPr>
        <w:t>We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extend credit to our customers because we perform work under contracts prior to being able to bill for that work. Deteriorating conditions in the industries we serve, bankruptcies, or financial difficulties of a customer or within the telecommunications sector generally may impair the financial condition of one or more of our customers and hinder their ability to pay us on a timely basis or at all. In addition, although in some instances we may have the right to file liens for certain projects, we may not be successful in enforcing those liens. The failure or delay in payment by one or more of our customers could reduce our cash flows and adversely affect our liquidity and results of operations.</w:t>
      </w:r>
    </w:p>
    <w:p>
      <w:pPr>
        <w:spacing w:after="0" w:line="193" w:lineRule="exact"/>
        <w:rPr>
          <w:sz w:val="20"/>
          <w:szCs w:val="20"/>
          <w:color w:val="auto"/>
        </w:rPr>
      </w:pPr>
    </w:p>
    <w:p>
      <w:pPr>
        <w:ind w:firstLine="346"/>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 xml:space="preserve">Our profitability is based on delivering services within the estimated costs established when we price our contracts. </w:t>
      </w:r>
      <w:r>
        <w:rPr>
          <w:rFonts w:ascii="Times New Roman" w:cs="Times New Roman" w:eastAsia="Times New Roman" w:hAnsi="Times New Roman"/>
          <w:sz w:val="19"/>
          <w:szCs w:val="19"/>
          <w:color w:val="auto"/>
        </w:rPr>
        <w:t>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significant portion of our services are provided under contracts that have discrete pricing for individual tasks. Due to the fixed price nature of the tasks, our profitability could decline if our actual cost to complete each task exceeds our original estimates, as pricing under these contracts is determined based on estimated costs established when we enter into the contracts. A variety of factors could negatively impact the actual cost we incur in performing our work, such as changes made by our customers to the scope and extent of the services that we are to provide under a contract, delays resulting from weather and any pandemic or public health emergency, conditions at work sites differing materially from those anticipated at the time we bid on the contract, higher than expected costs of materials, including as a result of increased tariffs, and labor, delays in obtaining necessary permits, under absorbed costs, and lower than anticipated productivity. An increase in costs due to any of these factors, or for other reasons, could adversely affect our results of operations.</w:t>
      </w:r>
    </w:p>
    <w:p>
      <w:pPr>
        <w:spacing w:after="0" w:line="195" w:lineRule="exact"/>
        <w:rPr>
          <w:sz w:val="20"/>
          <w:szCs w:val="20"/>
          <w:color w:val="auto"/>
        </w:rPr>
      </w:pPr>
    </w:p>
    <w:p>
      <w:pPr>
        <w:ind w:right="460" w:firstLine="34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Regulatory changes and requirements associated with government funding that is associated with certain capital spending initiatives of our customers may affect their spending on the services we provide. </w:t>
      </w:r>
      <w:r>
        <w:rPr>
          <w:rFonts w:ascii="Times New Roman" w:cs="Times New Roman" w:eastAsia="Times New Roman" w:hAnsi="Times New Roman"/>
          <w:sz w:val="18"/>
          <w:szCs w:val="18"/>
          <w:color w:val="auto"/>
        </w:rPr>
        <w:t>Our customers operate in</w:t>
      </w:r>
    </w:p>
    <w:p>
      <w:pPr>
        <w:spacing w:after="0" w:line="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regulated industries and are subject to laws and regulations that can change frequently. Additionally, where our customers utilize governmental funding sources in connection with the work they contract us to perform, such work may be subject to new or enhanced regulatory requirements and compliance obligations. The application of new or enhanced regulatory requirements or obligations, or changes to the enforcement or interpretation of existing laws or regulations, may delay or constrain our ability to perform our work, increase our costs to perform our work without a corresponding increase in payment from our customers, and could cause our customers to reduce or delay spending on the services we provide, which could adversely affect our revenues, results of operations, and liquidity.</w:t>
      </w:r>
    </w:p>
    <w:p>
      <w:pPr>
        <w:spacing w:after="0" w:line="193" w:lineRule="exact"/>
        <w:rPr>
          <w:sz w:val="20"/>
          <w:szCs w:val="20"/>
          <w:color w:val="auto"/>
        </w:rPr>
      </w:pPr>
    </w:p>
    <w:p>
      <w:pPr>
        <w:ind w:right="60" w:firstLine="346"/>
        <w:spacing w:after="0" w:line="236" w:lineRule="auto"/>
        <w:rPr>
          <w:sz w:val="20"/>
          <w:szCs w:val="20"/>
          <w:color w:val="auto"/>
        </w:rPr>
      </w:pPr>
      <w:r>
        <w:rPr>
          <w:rFonts w:ascii="Times New Roman" w:cs="Times New Roman" w:eastAsia="Times New Roman" w:hAnsi="Times New Roman"/>
          <w:sz w:val="19"/>
          <w:szCs w:val="19"/>
          <w:color w:val="auto"/>
        </w:rPr>
        <w:t>Considerable uncertainty exists regarding how future budget and program decisions will unfold and future funding for certain government programs in which we or our customers participate may be reduced, delayed or cancelled.</w:t>
      </w:r>
    </w:p>
    <w:p>
      <w:pPr>
        <w:spacing w:after="0" w:line="251" w:lineRule="auto"/>
        <w:rPr>
          <w:sz w:val="20"/>
          <w:szCs w:val="20"/>
          <w:color w:val="auto"/>
        </w:rPr>
      </w:pPr>
      <w:r>
        <w:rPr>
          <w:rFonts w:ascii="Times New Roman" w:cs="Times New Roman" w:eastAsia="Times New Roman" w:hAnsi="Times New Roman"/>
          <w:sz w:val="19"/>
          <w:szCs w:val="19"/>
          <w:color w:val="auto"/>
        </w:rPr>
        <w:t>The incoming administration announced a planned advisory commission to reform federal government processes and reduce expenditures. Pressures on and uncertainty surrounding the U.S. federal government’s budget, and potential changes in budgetary priorities, could adversely affect the funding for infrastructure programs upon which we rely. Additionally, changes related to taxation, trade, economic and monetary policies, heightened diplomatic tensions or political and civil unrest, among other potential impacts, could adversely impact the global economy and our operating results.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Technological change may affect our customers’ spending on the services we provide. </w:t>
      </w:r>
      <w:r>
        <w:rPr>
          <w:rFonts w:ascii="Times New Roman" w:cs="Times New Roman" w:eastAsia="Times New Roman" w:hAnsi="Times New Roman"/>
          <w:sz w:val="19"/>
          <w:szCs w:val="19"/>
          <w:color w:val="auto"/>
        </w:rPr>
        <w:t>We generate a significant</w:t>
      </w:r>
    </w:p>
    <w:p>
      <w:pPr>
        <w:spacing w:after="0" w:line="1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color w:val="auto"/>
        </w:rPr>
        <w:t>majority of our revenues from customers in the telecommunications industry. This industry has been and continues to be impacted by rapid technological change. These changes may affect our customers’ spending on the services we provide. Further, technological change in the telecommunications industry not directly related to the services we provide may affect the ability of one or more of our customers to compete effectively, which could result in a reduction or elimination of their use of our services. Any reduction, elimination or delay of spending by one of our customers on the services we provide could adversely affect our revenues, results of operations, and liquidity.</w:t>
      </w:r>
    </w:p>
    <w:p>
      <w:pPr>
        <w:spacing w:after="0" w:line="190" w:lineRule="exact"/>
        <w:rPr>
          <w:sz w:val="20"/>
          <w:szCs w:val="20"/>
          <w:color w:val="auto"/>
        </w:rPr>
      </w:pPr>
    </w:p>
    <w:p>
      <w:pPr>
        <w:ind w:right="100" w:firstLine="346"/>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 xml:space="preserve">Our business is dependent on keeping pace with technological developments impacting our services and those of our customers. </w:t>
      </w:r>
      <w:r>
        <w:rPr>
          <w:rFonts w:ascii="Times New Roman" w:cs="Times New Roman" w:eastAsia="Times New Roman" w:hAnsi="Times New Roman"/>
          <w:sz w:val="19"/>
          <w:szCs w:val="19"/>
          <w:color w:val="auto"/>
        </w:rPr>
        <w:t>Our success is dependent on our and our customers’ ability to acquire, develop, adopt and leverage new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existing technologies, including artificial intelligence (“AI”). New technologies can materially impact our business in a number of ways, including affecting the costs, speed and efficiency with which we can provide our services to our customers and our ability to differentiate ourselves from our competitor’s offerings. Our customers may also experience decreased demand for their products or services if they fail to develop new products and technologies to meet consumer demand. Our failure to effectively anticipate or adapt to new technologies and changes in our customer’s expectations and behavior could materially impact our competitive position with our customers and, as a result, our future success and growth.</w:t>
      </w:r>
    </w:p>
    <w:p>
      <w:pPr>
        <w:spacing w:after="0" w:line="198" w:lineRule="exact"/>
        <w:rPr>
          <w:sz w:val="20"/>
          <w:szCs w:val="20"/>
          <w:color w:val="auto"/>
        </w:rPr>
      </w:pPr>
    </w:p>
    <w:p>
      <w:pPr>
        <w:ind w:right="100" w:firstLine="346"/>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 xml:space="preserve">Our business is labor-intensive, and we may be unable to attract, retain and ensure the productivity of qualified employees or to pass increased labor and training costs to our customers. </w:t>
      </w:r>
      <w:r>
        <w:rPr>
          <w:rFonts w:ascii="Times New Roman" w:cs="Times New Roman" w:eastAsia="Times New Roman" w:hAnsi="Times New Roman"/>
          <w:sz w:val="19"/>
          <w:szCs w:val="19"/>
          <w:color w:val="auto"/>
        </w:rPr>
        <w:t>We are highly dependent upon our ability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employ, train, retain, and ensure the productivity of the skilled personnel needed to operate our business. Given the highly specialized work we perform, many of our employees receive training in, and possess, specialized technical skills that are</w:t>
      </w:r>
    </w:p>
    <w:p>
      <w:pPr>
        <w:sectPr>
          <w:pgSz w:w="11880" w:h="15480" w:orient="portrait"/>
          <w:cols w:equalWidth="0" w:num="1">
            <w:col w:w="9480"/>
          </w:cols>
          <w:pgMar w:left="1000" w:top="894" w:right="1400" w:bottom="0" w:gutter="0" w:footer="0" w:header="0"/>
        </w:sectPr>
      </w:pPr>
    </w:p>
    <w:p>
      <w:pPr>
        <w:spacing w:after="0" w:line="39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p>
    <w:p>
      <w:pPr>
        <w:sectPr>
          <w:pgSz w:w="11880" w:h="15480" w:orient="portrait"/>
          <w:cols w:equalWidth="0" w:num="1">
            <w:col w:w="9480"/>
          </w:cols>
          <w:pgMar w:left="1000" w:top="894" w:right="1400" w:bottom="0" w:gutter="0" w:footer="0" w:header="0"/>
          <w:type w:val="continuous"/>
        </w:sectPr>
      </w:pPr>
    </w:p>
    <w:bookmarkStart w:id="18" w:name="page19"/>
    <w:bookmarkEnd w:id="18"/>
    <w:p>
      <w:pPr>
        <w:ind w:right="40"/>
        <w:spacing w:after="0" w:line="256" w:lineRule="auto"/>
        <w:rPr>
          <w:sz w:val="20"/>
          <w:szCs w:val="20"/>
          <w:color w:val="auto"/>
        </w:rPr>
      </w:pPr>
      <w:r>
        <w:rPr>
          <w:rFonts w:ascii="Times New Roman" w:cs="Times New Roman" w:eastAsia="Times New Roman" w:hAnsi="Times New Roman"/>
          <w:sz w:val="19"/>
          <w:szCs w:val="19"/>
          <w:color w:val="auto"/>
        </w:rPr>
        <w:t>necessary to operate our business and maintain productivity and profitability. We cannot be certain that we will be able to maintain and ensure the productivity of the skilled labor force necessary to operate our business. Our ability to do so depends on a number of factors, such as the general rate of employment, fluctuations in economic and industry conditions, changes in U.S. immigration policies, regulatory changes, competition for employees possessing the skills we need and the general health and welfare of our employees. Additionally, factors such as corporate culture, organizational changes, remote working opportunities and our compensation programs may impact our ability to effectively attract, retain and manage our workforce. In addition, the uncertainty of contract awards and project delays can also present difficulties in appropriately sizing our skilled labor force. Furthermore, due to the fixed price nature of the tasks in our contracts, we may be unable to pass increases in labor and training costs on to our customers. If we are unable to attract or retain qualified employees or incur additional labor and training costs, we may be unable to maintain or improve our competitive position and our results of operations could be adversely affected.</w:t>
      </w:r>
    </w:p>
    <w:p>
      <w:pPr>
        <w:spacing w:after="0" w:line="198" w:lineRule="exact"/>
        <w:rPr>
          <w:sz w:val="20"/>
          <w:szCs w:val="20"/>
          <w:color w:val="auto"/>
        </w:rPr>
      </w:pPr>
    </w:p>
    <w:p>
      <w:pPr>
        <w:ind w:firstLine="345"/>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 xml:space="preserve">We may be unable to secure or retain qualified subcontractors to fulfill our obligations, or our subcontractors may fail to satisfy their obligations to us, either of which may adversely affect our relationships with our customers or cause us to incur additional costs. </w:t>
      </w:r>
      <w:r>
        <w:rPr>
          <w:rFonts w:ascii="Times New Roman" w:cs="Times New Roman" w:eastAsia="Times New Roman" w:hAnsi="Times New Roman"/>
          <w:sz w:val="19"/>
          <w:szCs w:val="19"/>
          <w:color w:val="auto"/>
        </w:rPr>
        <w:t>We contract with subcontractors to manage fluctuations in work volumes and reduce the amounts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that we would otherwise expend on fixed assets and working capital. If we are unable to secure qualified subcontractors who can provide adequate labor resources at a reasonable cost, we may be delayed or unable to complete our work under a contract on a timely basis. In addition, subcontractors may not meet performance expectations, fail to meet regulatory or contractual requirements, or experience financial instability that could result in disputes or litigation and adversely impact, among other things, the quality and timeliness of the work they have performed. We may incur additional costs to correct such shortfalls in the work performed by subcontractors. Any of these factors could negatively impact the quality of our service, our ability to perform under certain customer contracts, and our relationships with our customers, which could adversely affect our results of operations.</w:t>
      </w:r>
    </w:p>
    <w:p>
      <w:pPr>
        <w:spacing w:after="0" w:line="191" w:lineRule="exact"/>
        <w:rPr>
          <w:sz w:val="20"/>
          <w:szCs w:val="20"/>
          <w:color w:val="auto"/>
        </w:rPr>
      </w:pPr>
    </w:p>
    <w:p>
      <w:pPr>
        <w:ind w:right="160" w:firstLine="345"/>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 xml:space="preserve">Changes in fuel prices may increase our costs, and we may not be able to pass along increased fuel costs to our customers. </w:t>
      </w:r>
      <w:r>
        <w:rPr>
          <w:rFonts w:ascii="Times New Roman" w:cs="Times New Roman" w:eastAsia="Times New Roman" w:hAnsi="Times New Roman"/>
          <w:sz w:val="19"/>
          <w:szCs w:val="19"/>
          <w:color w:val="auto"/>
        </w:rPr>
        <w:t>Fuel prices fluctuate based on events outside of our control, including as the result of global economic</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conditions, market volatility, import and export restrictions, sanctions or trade regulations and the imposition of tariffs. Most of our services are provided under contracts that have discrete pricing for individual tasks and do not allow us to adjust our pricing for higher fuel costs during a contract term. In addition, we may be unable to secure prices that reflect rising costs when renewing or bidding contracts. To the extent we enter into hedge transactions in conjunction with our anticipated fuel purchases, declines in fuel prices below the levels established in the hedges we have in place may require us to make payments to our hedge counterparties. As a result, changes in fuel prices may adversely affect our results of operations.</w:t>
      </w:r>
    </w:p>
    <w:p>
      <w:pPr>
        <w:spacing w:after="0" w:line="198" w:lineRule="exact"/>
        <w:rPr>
          <w:sz w:val="20"/>
          <w:szCs w:val="20"/>
          <w:color w:val="auto"/>
        </w:rPr>
      </w:pPr>
    </w:p>
    <w:p>
      <w:pPr>
        <w:ind w:right="160" w:firstLine="345"/>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Increases in healthcare costs could adversely affect our financial results. </w:t>
      </w:r>
      <w:r>
        <w:rPr>
          <w:rFonts w:ascii="Times New Roman" w:cs="Times New Roman" w:eastAsia="Times New Roman" w:hAnsi="Times New Roman"/>
          <w:sz w:val="19"/>
          <w:szCs w:val="19"/>
          <w:color w:val="auto"/>
        </w:rPr>
        <w:t>The costs of providing employee medical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benefits have steadily increased over a number of years due to, among other things, rising healthcare costs and legislative requirements. Because of the complex nature of healthcare laws, as well as periodic healthcare reform legislation adopted by Congress, state legislatures, and municipalities, we cannot predict with certainty the future effect of these laws on our healthcare costs. Continued increases in healthcare costs or additional costs created by future health care reform laws adopted by Congress, state legislatures, or municipalities could adversely affect our results of operations and financial position.</w:t>
      </w:r>
    </w:p>
    <w:p>
      <w:pPr>
        <w:spacing w:after="0" w:line="193" w:lineRule="exact"/>
        <w:rPr>
          <w:sz w:val="20"/>
          <w:szCs w:val="20"/>
          <w:color w:val="auto"/>
        </w:rPr>
      </w:pPr>
    </w:p>
    <w:p>
      <w:pPr>
        <w:ind w:firstLine="345"/>
        <w:spacing w:after="0" w:line="250" w:lineRule="auto"/>
        <w:rPr>
          <w:sz w:val="20"/>
          <w:szCs w:val="20"/>
          <w:color w:val="auto"/>
        </w:rPr>
      </w:pPr>
      <w:r>
        <w:rPr>
          <w:rFonts w:ascii="Times New Roman" w:cs="Times New Roman" w:eastAsia="Times New Roman" w:hAnsi="Times New Roman"/>
          <w:sz w:val="19"/>
          <w:szCs w:val="19"/>
          <w:b w:val="1"/>
          <w:bCs w:val="1"/>
          <w:i w:val="1"/>
          <w:iCs w:val="1"/>
          <w:color w:val="auto"/>
        </w:rPr>
        <w:t xml:space="preserve">Fluctuations in our effective tax rate and tax liabilities may cause volatility in our financial results. </w:t>
      </w:r>
      <w:r>
        <w:rPr>
          <w:rFonts w:ascii="Times New Roman" w:cs="Times New Roman" w:eastAsia="Times New Roman" w:hAnsi="Times New Roman"/>
          <w:sz w:val="19"/>
          <w:szCs w:val="19"/>
          <w:color w:val="auto"/>
        </w:rPr>
        <w:t>We determine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provide for income taxes based on the tax laws of each of the jurisdictions in which we operate. Changes in the mix and level of earnings among jurisdictions could materially impact our effective tax rate in any given financial statement period. Our effective tax rate may also be affected by changes in tax laws and regulations at the federal, state, and local level, or by new interpretations of existing tax laws and regulations. We are also subject to audits by various taxing authorities. An adverse outcome from an audit could unfavorably impact our effective tax rate and increase our tax liabilities.</w:t>
      </w:r>
    </w:p>
    <w:p>
      <w:pPr>
        <w:spacing w:after="0" w:line="190" w:lineRule="exact"/>
        <w:rPr>
          <w:sz w:val="20"/>
          <w:szCs w:val="20"/>
          <w:color w:val="auto"/>
        </w:rPr>
      </w:pPr>
    </w:p>
    <w:p>
      <w:pPr>
        <w:ind w:right="120" w:firstLine="345"/>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We may incur impairment charges on goodwill or other intangible assets. </w:t>
      </w:r>
      <w:r>
        <w:rPr>
          <w:rFonts w:ascii="Times New Roman" w:cs="Times New Roman" w:eastAsia="Times New Roman" w:hAnsi="Times New Roman"/>
          <w:sz w:val="19"/>
          <w:szCs w:val="19"/>
          <w:color w:val="auto"/>
        </w:rPr>
        <w:t>We assess goodwill and other indefinite-lived intangible assets for impairment annually in order to determine whether their carrying value exceeds their fair value. Reporting units are tested more frequently if an event occurs or circumstances change between annual tests that indicate their fair value may be below their carrying value. If we determine the fair value of the goodwill or other indefinite-lived intangible assets is less than their carrying value as a result of an annual or interim test, an impairment loss is recognized.</w:t>
      </w:r>
    </w:p>
    <w:p>
      <w:pPr>
        <w:spacing w:after="0" w:line="193" w:lineRule="exact"/>
        <w:rPr>
          <w:sz w:val="20"/>
          <w:szCs w:val="20"/>
          <w:color w:val="auto"/>
        </w:rPr>
      </w:pPr>
    </w:p>
    <w:p>
      <w:pPr>
        <w:ind w:firstLine="345"/>
        <w:spacing w:after="0" w:line="265" w:lineRule="auto"/>
        <w:rPr>
          <w:sz w:val="20"/>
          <w:szCs w:val="20"/>
          <w:color w:val="auto"/>
        </w:rPr>
      </w:pPr>
      <w:r>
        <w:rPr>
          <w:rFonts w:ascii="Times New Roman" w:cs="Times New Roman" w:eastAsia="Times New Roman" w:hAnsi="Times New Roman"/>
          <w:sz w:val="19"/>
          <w:szCs w:val="19"/>
          <w:color w:val="auto"/>
        </w:rPr>
        <w:t>Our goodwill resides in multiple reporting units. The profitability of individual reporting units may suffer periodically due to downturns in customer demand, increased costs of providing our services, and the level of overall economic activity. Our customers may reduce capital expenditures and defer or cancel pending projects due to changes in technology, a slowing or uncertain economy, merger or acquisition activity, a decision to allocate resources to other areas of their</w:t>
      </w:r>
    </w:p>
    <w:p>
      <w:pPr>
        <w:sectPr>
          <w:pgSz w:w="11880" w:h="15480" w:orient="portrait"/>
          <w:cols w:equalWidth="0" w:num="1">
            <w:col w:w="9480"/>
          </w:cols>
          <w:pgMar w:left="1000" w:top="897" w:right="1400" w:bottom="0" w:gutter="0" w:footer="0" w:header="0"/>
        </w:sectPr>
      </w:pPr>
    </w:p>
    <w:p>
      <w:pPr>
        <w:spacing w:after="0" w:line="37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p>
    <w:p>
      <w:pPr>
        <w:sectPr>
          <w:pgSz w:w="11880" w:h="15480" w:orient="portrait"/>
          <w:cols w:equalWidth="0" w:num="1">
            <w:col w:w="9480"/>
          </w:cols>
          <w:pgMar w:left="1000" w:top="897" w:right="1400" w:bottom="0" w:gutter="0" w:footer="0" w:header="0"/>
          <w:type w:val="continuous"/>
        </w:sectPr>
      </w:pPr>
    </w:p>
    <w:bookmarkStart w:id="19" w:name="page20"/>
    <w:bookmarkEnd w:id="19"/>
    <w:p>
      <w:pPr>
        <w:ind w:right="20"/>
        <w:spacing w:after="0" w:line="257" w:lineRule="auto"/>
        <w:rPr>
          <w:sz w:val="20"/>
          <w:szCs w:val="20"/>
          <w:color w:val="auto"/>
        </w:rPr>
      </w:pPr>
      <w:r>
        <w:rPr>
          <w:rFonts w:ascii="Times New Roman" w:cs="Times New Roman" w:eastAsia="Times New Roman" w:hAnsi="Times New Roman"/>
          <w:sz w:val="19"/>
          <w:szCs w:val="19"/>
          <w:color w:val="auto"/>
        </w:rPr>
        <w:t>business, or other reasons. The profitability of reporting units may also suffer if actual costs of providing our services exceed our estimated costs established when we enter into contracts. Additionally, adverse conditions in the economy and future volatility in the equity and credit markets could impact the valuation of our reporting units. The cyclical nature of our business, the high level of competition existing within our industry, and the concentration of our revenues from a small number of customers may also cause results to vary. The factors identified above may affect individual reporting units disproportionately, relative to the Company as a whole. As a result, the performance of one or more of the reporting units could decline, resulting in an impairment of goodwill or intangible assets. In addition, adverse changes to the key valuation assumptions contributing to the fair value of our reporting units could result in an impairment of goodwill or intangible assets. A write-down of goodwill or intangible assets as a result of an impairment could adversely affect our results of operations.</w:t>
      </w:r>
    </w:p>
    <w:p>
      <w:pPr>
        <w:spacing w:after="0" w:line="192" w:lineRule="exact"/>
        <w:rPr>
          <w:sz w:val="20"/>
          <w:szCs w:val="20"/>
          <w:color w:val="auto"/>
        </w:rPr>
      </w:pPr>
    </w:p>
    <w:p>
      <w:pPr>
        <w:ind w:right="160" w:firstLine="345"/>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The market price of our common stock has been, and may continue to be, highly volatile. </w:t>
      </w:r>
      <w:r>
        <w:rPr>
          <w:rFonts w:ascii="Times New Roman" w:cs="Times New Roman" w:eastAsia="Times New Roman" w:hAnsi="Times New Roman"/>
          <w:sz w:val="19"/>
          <w:szCs w:val="19"/>
          <w:color w:val="auto"/>
        </w:rPr>
        <w:t>During fiscal 2025, our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common stock fluctuated from a low of $111.70 per share to a high of $202.82 per share. We may continue to experience significant volatility in the market price of our common stock due to numerous factors, including, but not limited to:</w:t>
      </w:r>
    </w:p>
    <w:p>
      <w:pPr>
        <w:spacing w:after="0" w:line="180" w:lineRule="exact"/>
        <w:rPr>
          <w:sz w:val="20"/>
          <w:szCs w:val="20"/>
          <w:color w:val="auto"/>
        </w:rPr>
      </w:pPr>
    </w:p>
    <w:p>
      <w:pPr>
        <w:ind w:left="680" w:right="700" w:hanging="339"/>
        <w:spacing w:after="0" w:line="289" w:lineRule="auto"/>
        <w:tabs>
          <w:tab w:leader="none" w:pos="68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events impacting us, or our competitors, with respect to significant contracts, acquisitions or dispositions, fluctuations in operating results, or change to capital structure;</w:t>
      </w:r>
    </w:p>
    <w:p>
      <w:pPr>
        <w:spacing w:after="0" w:line="164" w:lineRule="exact"/>
        <w:rPr>
          <w:rFonts w:ascii="Times New Roman" w:cs="Times New Roman" w:eastAsia="Times New Roman" w:hAnsi="Times New Roman"/>
          <w:sz w:val="19"/>
          <w:szCs w:val="19"/>
          <w:color w:val="auto"/>
        </w:rPr>
      </w:pPr>
    </w:p>
    <w:p>
      <w:pPr>
        <w:ind w:left="680" w:hanging="339"/>
        <w:spacing w:after="0" w:line="289" w:lineRule="auto"/>
        <w:tabs>
          <w:tab w:leader="none" w:pos="68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announcements by our customers regarding their capital spending and start-up, deferral or cancellation of projects, or their mergers and acquisitions activities;</w:t>
      </w:r>
    </w:p>
    <w:p>
      <w:pPr>
        <w:spacing w:after="0" w:line="164" w:lineRule="exact"/>
        <w:rPr>
          <w:rFonts w:ascii="Times New Roman" w:cs="Times New Roman" w:eastAsia="Times New Roman" w:hAnsi="Times New Roman"/>
          <w:sz w:val="19"/>
          <w:szCs w:val="19"/>
          <w:color w:val="auto"/>
        </w:rPr>
      </w:pPr>
    </w:p>
    <w:p>
      <w:pPr>
        <w:ind w:left="680" w:hanging="296"/>
        <w:spacing w:after="0"/>
        <w:tabs>
          <w:tab w:leader="none" w:pos="680" w:val="left"/>
        </w:tabs>
        <w:numPr>
          <w:ilvl w:val="1"/>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commercialization of new technologies impacting the services that we provide to our customers;</w:t>
      </w:r>
    </w:p>
    <w:p>
      <w:pPr>
        <w:spacing w:after="0" w:line="242" w:lineRule="exact"/>
        <w:rPr>
          <w:rFonts w:ascii="Times New Roman" w:cs="Times New Roman" w:eastAsia="Times New Roman" w:hAnsi="Times New Roman"/>
          <w:sz w:val="19"/>
          <w:szCs w:val="19"/>
          <w:color w:val="auto"/>
        </w:rPr>
      </w:pPr>
    </w:p>
    <w:p>
      <w:pPr>
        <w:ind w:left="680" w:right="760" w:hanging="339"/>
        <w:spacing w:after="0" w:line="289" w:lineRule="auto"/>
        <w:tabs>
          <w:tab w:leader="none" w:pos="68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regulatory and compliance obligations associated with government funding provided to our customers in connection with the work we perform, other regulatory actions, and changes in tax laws;</w:t>
      </w:r>
    </w:p>
    <w:p>
      <w:pPr>
        <w:spacing w:after="0" w:line="164" w:lineRule="exact"/>
        <w:rPr>
          <w:rFonts w:ascii="Times New Roman" w:cs="Times New Roman" w:eastAsia="Times New Roman" w:hAnsi="Times New Roman"/>
          <w:sz w:val="19"/>
          <w:szCs w:val="19"/>
          <w:color w:val="auto"/>
        </w:rPr>
      </w:pPr>
    </w:p>
    <w:p>
      <w:pPr>
        <w:ind w:left="680" w:hanging="296"/>
        <w:spacing w:after="0"/>
        <w:tabs>
          <w:tab w:leader="none" w:pos="680" w:val="left"/>
        </w:tabs>
        <w:numPr>
          <w:ilvl w:val="1"/>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recommendations or earnings estimates by securities analysts; and</w:t>
      </w:r>
    </w:p>
    <w:p>
      <w:pPr>
        <w:spacing w:after="0" w:line="242" w:lineRule="exact"/>
        <w:rPr>
          <w:rFonts w:ascii="Times New Roman" w:cs="Times New Roman" w:eastAsia="Times New Roman" w:hAnsi="Times New Roman"/>
          <w:sz w:val="19"/>
          <w:szCs w:val="19"/>
          <w:color w:val="auto"/>
        </w:rPr>
      </w:pPr>
    </w:p>
    <w:p>
      <w:pPr>
        <w:ind w:left="680" w:hanging="296"/>
        <w:spacing w:after="0"/>
        <w:tabs>
          <w:tab w:leader="none" w:pos="680" w:val="left"/>
        </w:tabs>
        <w:numPr>
          <w:ilvl w:val="1"/>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of economic conditions on the credit and stock markets and on our customers’ demand for our services.</w:t>
      </w:r>
    </w:p>
    <w:p>
      <w:pPr>
        <w:spacing w:after="0" w:line="242" w:lineRule="exact"/>
        <w:rPr>
          <w:sz w:val="20"/>
          <w:szCs w:val="20"/>
          <w:color w:val="auto"/>
        </w:rPr>
      </w:pPr>
    </w:p>
    <w:p>
      <w:pPr>
        <w:ind w:right="480" w:firstLine="345"/>
        <w:spacing w:after="0" w:line="271" w:lineRule="auto"/>
        <w:rPr>
          <w:sz w:val="20"/>
          <w:szCs w:val="20"/>
          <w:color w:val="auto"/>
        </w:rPr>
      </w:pPr>
      <w:r>
        <w:rPr>
          <w:rFonts w:ascii="Times New Roman" w:cs="Times New Roman" w:eastAsia="Times New Roman" w:hAnsi="Times New Roman"/>
          <w:sz w:val="19"/>
          <w:szCs w:val="19"/>
          <w:color w:val="auto"/>
        </w:rPr>
        <w:t>In addition, other factors, such as market disruptions, industry outlook, general economic conditions, widespread public health epidemics and political events, could decrease the market price of our common stock and, as a result, investors could lose some or all of their investments.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the Operation of Our Business</w:t>
      </w:r>
    </w:p>
    <w:p>
      <w:pPr>
        <w:spacing w:after="0" w:line="246" w:lineRule="exact"/>
        <w:rPr>
          <w:sz w:val="20"/>
          <w:szCs w:val="20"/>
          <w:color w:val="auto"/>
        </w:rPr>
      </w:pPr>
    </w:p>
    <w:p>
      <w:pPr>
        <w:ind w:right="20" w:firstLine="345"/>
        <w:spacing w:after="0" w:line="255" w:lineRule="auto"/>
        <w:rPr>
          <w:sz w:val="20"/>
          <w:szCs w:val="20"/>
          <w:color w:val="auto"/>
        </w:rPr>
      </w:pPr>
      <w:r>
        <w:rPr>
          <w:rFonts w:ascii="Times New Roman" w:cs="Times New Roman" w:eastAsia="Times New Roman" w:hAnsi="Times New Roman"/>
          <w:sz w:val="19"/>
          <w:szCs w:val="19"/>
          <w:b w:val="1"/>
          <w:bCs w:val="1"/>
          <w:i w:val="1"/>
          <w:iCs w:val="1"/>
          <w:color w:val="auto"/>
        </w:rPr>
        <w:t xml:space="preserve">Our operations involve activities that are inherently dangerous. If our activities result in, or if it is alleged that our activities have resulted in, damage or destruction to the property of others, or in injury or death to others, we could be exposed to significant financial losses, reputational harm and civil and criminal liabilities. </w:t>
      </w:r>
      <w:r>
        <w:rPr>
          <w:rFonts w:ascii="Times New Roman" w:cs="Times New Roman" w:eastAsia="Times New Roman" w:hAnsi="Times New Roman"/>
          <w:sz w:val="19"/>
          <w:szCs w:val="19"/>
          <w:color w:val="auto"/>
        </w:rPr>
        <w:t>Our operations involve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dangerous activities such as underground drilling and the use of mechanized equipment. These activities and their effects could result in, or be alleged to have resulted in, damage to the real and personal property of others, and cause personal injury or death to third parties or our employees. In many instances, our activities are performed in close proximity to other utilities which, if damaged, may result in the occurrence of catastrophic events. Additionally, we may perform our activities in environmentally sensitive locations or in locations that may be susceptible to catastrophic events, including wildfires. If our activities cause or contribute to, or are alleged to have caused or contributed to, a catastrophic event, we could be exposed to severe financial losses and reputational harm. We procure insurance coverage to cover many of these risks; however, there can be no assurance that coverage will continue to be available to us on commercially reasonable terms, or at all, or that our coverage will be adequate in scope or amount to address financial losses from these risks. As a result, we could incur significant costs to defend any such allegations, defend and indemnify our customers, repair and replace assets, or to compensate third parties; reputational harm could result in the loss of future revenue-generating opportunities; or we may be subject to civil and, in certain situations, criminal liabilities.</w:t>
      </w:r>
    </w:p>
    <w:p>
      <w:pPr>
        <w:spacing w:after="0" w:line="204" w:lineRule="exact"/>
        <w:rPr>
          <w:sz w:val="20"/>
          <w:szCs w:val="20"/>
          <w:color w:val="auto"/>
        </w:rPr>
      </w:pPr>
    </w:p>
    <w:p>
      <w:pPr>
        <w:ind w:right="40" w:firstLine="345"/>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Changes in the cost or availability of materials may adversely affect our revenues and results of operations. </w:t>
      </w:r>
      <w:r>
        <w:rPr>
          <w:rFonts w:ascii="Times New Roman" w:cs="Times New Roman" w:eastAsia="Times New Roman" w:hAnsi="Times New Roman"/>
          <w:sz w:val="19"/>
          <w:szCs w:val="19"/>
          <w:color w:val="auto"/>
        </w:rPr>
        <w:t>For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majority of the contract services we perform, customers provide the necessary materials. Under other contracts, we supply part, or all, of the necessary materials. If we, or our customers, are unable to procure the materials necessary to the contract services we perform, or if those materials are only available at prices that make our work unprofitable, our revenues and results of operations could be adversely affected.</w:t>
      </w:r>
    </w:p>
    <w:p>
      <w:pPr>
        <w:sectPr>
          <w:pgSz w:w="11880" w:h="15480" w:orient="portrait"/>
          <w:cols w:equalWidth="0" w:num="1">
            <w:col w:w="9480"/>
          </w:cols>
          <w:pgMar w:left="1000" w:top="89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p>
    <w:p>
      <w:pPr>
        <w:sectPr>
          <w:pgSz w:w="11880" w:h="15480" w:orient="portrait"/>
          <w:cols w:equalWidth="0" w:num="1">
            <w:col w:w="9480"/>
          </w:cols>
          <w:pgMar w:left="1000" w:top="897" w:right="1400" w:bottom="0" w:gutter="0" w:footer="0" w:header="0"/>
          <w:type w:val="continuous"/>
        </w:sectPr>
      </w:pPr>
    </w:p>
    <w:bookmarkStart w:id="20" w:name="page21"/>
    <w:bookmarkEnd w:id="20"/>
    <w:p>
      <w:pPr>
        <w:ind w:right="200" w:firstLine="34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failure, outage, or cybersecurity breach of our technology systems or those of third-party providers may adversely affect our operations and financial results</w:t>
      </w:r>
      <w:r>
        <w:rPr>
          <w:rFonts w:ascii="Times New Roman" w:cs="Times New Roman" w:eastAsia="Times New Roman" w:hAnsi="Times New Roman"/>
          <w:sz w:val="18"/>
          <w:szCs w:val="18"/>
          <w:color w:val="auto"/>
        </w:rPr>
        <w:t>. We are dependent on technology to operate our business, to engage with our</w:t>
      </w:r>
    </w:p>
    <w:p>
      <w:pPr>
        <w:spacing w:after="0" w:line="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auto"/>
        </w:rPr>
        <w:t>customers and other third parties, and to increase the efficiency and effectiveness of the services we offer our customers. We use both our own information technology systems and the information technology systems and expertise of third-party service providers to manage our operations, process data for our financial reporting, and perform other business processes. We also use information technology systems to record, transmit, store, and protect sensitive data, including the sensitive data of our employees and customers. A cybersecurity or ransomware attack, computer viruses, security breaches, or vandalism on these information technology systems, which we have experienced in the past, may result in our inability to access and utilize these systems, create or contribute to significant financial losses, and may negatively impact our reputation. The systems of our customers that we utilize to transmit and receive information could also fail or be subject to a cybersecurity attack. Any of these occurrences could disrupt our business or the delivery of services to our customers, result in potential liabilities, the termination of contracts, divert the attention of management from effectively operating our business, cause significant reputational damage, or otherwise have an adverse effect on our financial results. We may also need to expend significant additional resources to protect against cybersecurity threats or to address actual breaches or to redress problems caused by cybersecurity breaches.</w:t>
      </w:r>
    </w:p>
    <w:p>
      <w:pPr>
        <w:spacing w:after="0" w:line="193" w:lineRule="exact"/>
        <w:rPr>
          <w:sz w:val="20"/>
          <w:szCs w:val="20"/>
          <w:color w:val="auto"/>
        </w:rPr>
      </w:pPr>
    </w:p>
    <w:p>
      <w:pPr>
        <w:ind w:firstLine="345"/>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A failure in our information technology systems could negatively impact our business. </w:t>
      </w:r>
      <w:r>
        <w:rPr>
          <w:rFonts w:ascii="Times New Roman" w:cs="Times New Roman" w:eastAsia="Times New Roman" w:hAnsi="Times New Roman"/>
          <w:sz w:val="19"/>
          <w:szCs w:val="19"/>
          <w:color w:val="auto"/>
        </w:rPr>
        <w:t>We rely on information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technology systems to record and process transactions, manage our business, and maintain the financial accuracy of our records. Our information technology systems may be adversely impacted by various factors, including power outages, software and hardware failures, connectivity outages, catastrophic events, and human error. Interruptions to our information systems could disrupt our business, delay our financial reporting, and could result in the loss of revenue, and cause us to incur additional expense. We are in the process of implementing an Enterprise Resource Planning (ERP) system to upgrade and standardize our information technology systems. This implementation is expected to occur in phases over the next several years. Any delays or failures to achieve our implementation goals may adversely impact our financial results. In addition, the failure to complete the implementation on a timely basis, or to adequately address the necessary readiness and training needs of our personnel, could lead to business disruption, negatively affect our customer relationships, and restrict our ability to execute our business strategy, which could adversely affect our business.</w:t>
      </w:r>
    </w:p>
    <w:p>
      <w:pPr>
        <w:spacing w:after="0" w:line="192" w:lineRule="exact"/>
        <w:rPr>
          <w:sz w:val="20"/>
          <w:szCs w:val="20"/>
          <w:color w:val="auto"/>
        </w:rPr>
      </w:pPr>
    </w:p>
    <w:p>
      <w:pPr>
        <w:ind w:right="20" w:firstLine="345"/>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 xml:space="preserve">The loss or long-term incapacitation of one or more of our executive officers or other key employees could adversely affect our business. </w:t>
      </w:r>
      <w:r>
        <w:rPr>
          <w:rFonts w:ascii="Times New Roman" w:cs="Times New Roman" w:eastAsia="Times New Roman" w:hAnsi="Times New Roman"/>
          <w:sz w:val="19"/>
          <w:szCs w:val="19"/>
          <w:color w:val="auto"/>
        </w:rPr>
        <w:t>We depend on the continued and ongoing services of our executive officers and other key employees,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including the senior management of our subsidiaries. In many instances, these employees have significant experience and expertise in our industry. These key employees often possess and maintain key relationships with our customers and subcontractors that would be difficult to replace. Competition for senior management personnel is intense and we cannot be certain that any of our executive officers or other key management personnel will remain employed by us or that they will otherwise be able to provide service to us for any length of time. Additionally, we may not have adequate succession planning in place or the hiring, promotion or transition of an executive or key employee into a new role may not be successful and we may be unable to ensure that our key employees can be replaced if they are no longer employed by us. We do not carry “key-person” life or disability insurance on any of our employees. The loss or long-term incapacitation of any one of our executive officers or other key employees could negatively affect our customer relationships or the ability to execute our business strategy, which could adversely affect our business.</w:t>
      </w:r>
    </w:p>
    <w:p>
      <w:pPr>
        <w:spacing w:after="0" w:line="199" w:lineRule="exact"/>
        <w:rPr>
          <w:sz w:val="20"/>
          <w:szCs w:val="20"/>
          <w:color w:val="auto"/>
        </w:rPr>
      </w:pPr>
    </w:p>
    <w:p>
      <w:pPr>
        <w:ind w:right="40" w:firstLine="345"/>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 xml:space="preserve">The preparation of our financial statements requires management to make certain estimates and assumptions that may differ from actual results. </w:t>
      </w:r>
      <w:r>
        <w:rPr>
          <w:rFonts w:ascii="Times New Roman" w:cs="Times New Roman" w:eastAsia="Times New Roman" w:hAnsi="Times New Roman"/>
          <w:sz w:val="19"/>
          <w:szCs w:val="19"/>
          <w:color w:val="auto"/>
        </w:rPr>
        <w:t>In preparing our consolidated financial statements in conformity with accounting principles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generally accepted in the United States of America, a number of estimates and assumptions are made by management that affect the amounts reported in the financial statements. These estimates and assumptions must be made because certain information that is used in the preparation of our financial statements is either dependent on future events or cannot be calculated precisely from available data at the time that these estimates are made and, accordingly, requires the use of management’s judgment. Estimates and assumptions are primarily used in our assessment of the recognition of revenue under the cost-to-cost method of progress, job-specific costs, accrued insurance claims, the allowance for credit losses, accruals for contingencies, stock-based compensation expense for performance-based stock awards, the fair value of reporting units for the goodwill impairment analysis, the assessment of impairment of intangibles and other long-lived assets, the purchase price allocations of businesses acquired, and income taxes. When made, we believe such estimates and assumptions are fair when considered in conjunction with our consolidated financial position and results of operations taken as a whole. However, actual results could differ from those estimates and assumptions, and such differences may be material to our financial statements.</w:t>
      </w:r>
    </w:p>
    <w:p>
      <w:pPr>
        <w:sectPr>
          <w:pgSz w:w="11880" w:h="15480" w:orient="portrait"/>
          <w:cols w:equalWidth="0" w:num="1">
            <w:col w:w="9500"/>
          </w:cols>
          <w:pgMar w:left="1000" w:top="894" w:right="1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p>
    <w:p>
      <w:pPr>
        <w:sectPr>
          <w:pgSz w:w="11880" w:h="15480" w:orient="portrait"/>
          <w:cols w:equalWidth="0" w:num="1">
            <w:col w:w="9500"/>
          </w:cols>
          <w:pgMar w:left="1000" w:top="894" w:right="1380" w:bottom="0" w:gutter="0" w:footer="0" w:header="0"/>
          <w:type w:val="continuous"/>
        </w:sectPr>
      </w:pPr>
    </w:p>
    <w:bookmarkStart w:id="21" w:name="page22"/>
    <w:bookmarkEnd w:id="21"/>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Laws and Regulations</w:t>
      </w:r>
    </w:p>
    <w:p>
      <w:pPr>
        <w:spacing w:after="0" w:line="246" w:lineRule="exact"/>
        <w:rPr>
          <w:sz w:val="20"/>
          <w:szCs w:val="20"/>
          <w:color w:val="auto"/>
        </w:rPr>
      </w:pPr>
    </w:p>
    <w:p>
      <w:pPr>
        <w:ind w:firstLine="346"/>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failure to comply with occupational health and workplace safety requirements could result in significant liabilities or enforcement actions and adversely impact our ability to perform services for our customers. </w:t>
      </w:r>
      <w:r>
        <w:rPr>
          <w:rFonts w:ascii="Times New Roman" w:cs="Times New Roman" w:eastAsia="Times New Roman" w:hAnsi="Times New Roman"/>
          <w:sz w:val="18"/>
          <w:szCs w:val="18"/>
          <w:color w:val="auto"/>
        </w:rPr>
        <w:t>Our operations are subject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strict laws and regulations governing workplace safety. Our workers frequently operate heavy machinery, work on and in the vicinity of electrical and gas lines, perform their work at heights, and engage in other potentially dangerous activities which could subject them and others to injury or death. If, in the course of our operations, it is determined we have violated safety regulations, our operations may be disrupted and we may be subject to penalties, fines or, in extreme cases, criminal sanctions. In addition, if our safety performance were to deteriorate, customers could decide to cancel our contracts or not award us future business. These factors could adversely affect our results of operations and financial position.</w:t>
      </w:r>
    </w:p>
    <w:p>
      <w:pPr>
        <w:spacing w:after="0" w:line="183" w:lineRule="exact"/>
        <w:rPr>
          <w:sz w:val="20"/>
          <w:szCs w:val="20"/>
          <w:color w:val="auto"/>
        </w:rPr>
      </w:pPr>
    </w:p>
    <w:p>
      <w:pPr>
        <w:ind w:right="20" w:firstLine="346"/>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 xml:space="preserve">Our failure to comply with worker eligibility and immigration laws or changes to such laws could result in significant liabilities and harm our reputation with our customers, as well as cause disruption to our operations. </w:t>
      </w:r>
      <w:r>
        <w:rPr>
          <w:rFonts w:ascii="Times New Roman" w:cs="Times New Roman" w:eastAsia="Times New Roman" w:hAnsi="Times New Roman"/>
          <w:sz w:val="19"/>
          <w:szCs w:val="19"/>
          <w:color w:val="auto"/>
        </w:rPr>
        <w:t>If we fail to comply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with these laws, which continue to evolve and are subject to additional executive and legislative actions or legal enforcement, our operations may be disrupted, and we may be subject to fines or, in extreme cases, criminal sanctions. In addition, many of our customer contracts specifically require compliance with worker eligibility and immigration laws and in some cases our customers audit compliance with these laws. Further, several of our customers require that we ensure our subcontractors comply with these laws with respect to the workers that perform services for them. A failure to comply with these laws or to quickly adapt to regulatory changes could damage our reputation and may result in the cancellation of our contracts by our customers, or a decision by our customers not to award us future business. These factors could adversely affect our results of operations and financial position.</w:t>
      </w:r>
    </w:p>
    <w:p>
      <w:pPr>
        <w:spacing w:after="0" w:line="195" w:lineRule="exact"/>
        <w:rPr>
          <w:sz w:val="20"/>
          <w:szCs w:val="20"/>
          <w:color w:val="auto"/>
        </w:rPr>
      </w:pPr>
    </w:p>
    <w:p>
      <w:pPr>
        <w:ind w:right="120" w:firstLine="346"/>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failure to comply with various laws and regulations related to the construction and operation of utilities, contractor licensing and the operation of our fleet of commercial motor vehicles could result in significant liabilities.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subject to a number of state and federal laws and regulations, including those related to the construction and operation of utilities, contractor licensing and the operation of our fleet of commercial motor vehicles. If we are not in compliance with these laws and regulations, we may be unable to perform services for our customers and may also be subject to fines, penalties, and the suspension or revocation of our licenses. Our failure to comply with these laws and regulations may affect our ability to operate and could require us to incur significant costs that adversely affect our results of operations.</w:t>
      </w:r>
    </w:p>
    <w:p>
      <w:pPr>
        <w:spacing w:after="0" w:line="177" w:lineRule="exact"/>
        <w:rPr>
          <w:sz w:val="20"/>
          <w:szCs w:val="20"/>
          <w:color w:val="auto"/>
        </w:rPr>
      </w:pPr>
    </w:p>
    <w:p>
      <w:pPr>
        <w:ind w:right="60" w:firstLine="346"/>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 xml:space="preserve">Our failure to comply with environmental laws could result in significant liabilities. </w:t>
      </w:r>
      <w:r>
        <w:rPr>
          <w:rFonts w:ascii="Times New Roman" w:cs="Times New Roman" w:eastAsia="Times New Roman" w:hAnsi="Times New Roman"/>
          <w:sz w:val="19"/>
          <w:szCs w:val="19"/>
          <w:color w:val="auto"/>
        </w:rPr>
        <w:t>A significant portion of the work</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we perform is associated with the underground networks of our customers and we often operate in close proximity to pipelines, sewer lines, or underground storage tanks that may contain hazardous substances. We could be subject to liabilities in the event that we fail to comply with environmental laws or regulations or if we cause or are responsible for the release of hazardous substances or other environmental damages. These liabilities could result in significant costs including remediation costs, fines, third-party claims for property damage, or personal injury, and, in extreme cases, criminal sanctions. These costs, as well as any direct impact to ongoing operations, could adversely affect our results of operations and cash flows. In addition, new laws and regulations, altered enforcement of existing laws and regulations, the discovery of previously unknown contamination or leaks, or the imposition of new remediation requirements could require us to incur significant costs or create new or increased liabilities that could adversely affect our results of operations and financial position.</w:t>
      </w:r>
    </w:p>
    <w:p>
      <w:pPr>
        <w:spacing w:after="0" w:line="191" w:lineRule="exact"/>
        <w:rPr>
          <w:sz w:val="20"/>
          <w:szCs w:val="20"/>
          <w:color w:val="auto"/>
        </w:rPr>
      </w:pPr>
    </w:p>
    <w:p>
      <w:pPr>
        <w:ind w:right="20" w:firstLine="346"/>
        <w:spacing w:after="0" w:line="255" w:lineRule="auto"/>
        <w:rPr>
          <w:sz w:val="20"/>
          <w:szCs w:val="20"/>
          <w:color w:val="auto"/>
        </w:rPr>
      </w:pPr>
      <w:r>
        <w:rPr>
          <w:rFonts w:ascii="Times New Roman" w:cs="Times New Roman" w:eastAsia="Times New Roman" w:hAnsi="Times New Roman"/>
          <w:sz w:val="19"/>
          <w:szCs w:val="19"/>
          <w:b w:val="1"/>
          <w:bCs w:val="1"/>
          <w:i w:val="1"/>
          <w:iCs w:val="1"/>
          <w:color w:val="auto"/>
        </w:rPr>
        <w:t xml:space="preserve">We retain the risk of loss for the occurrence of certain liabilities. </w:t>
      </w:r>
      <w:r>
        <w:rPr>
          <w:rFonts w:ascii="Times New Roman" w:cs="Times New Roman" w:eastAsia="Times New Roman" w:hAnsi="Times New Roman"/>
          <w:sz w:val="19"/>
          <w:szCs w:val="19"/>
          <w:color w:val="auto"/>
        </w:rPr>
        <w:t>We retain the risk of loss, up to certain limits in our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insurance program, for matters related to automobile liability, general liability (including damages associated with underground facility locating services), environmental liability, workers’ compensation, and employee group health. We are effectively self-insured for the majority of claims because most claims against us fall below the deductibles or retention levels of our insurance policies. Additionally, within our aggregate coverage limits and above our base layer of third-party insurance coverage, we have retained the risk of loss at certain levels of exposure and any claims that reach these retained levels of exposure are self-insured. We estimate and develop our reserve accruals for these claims, including losses incurred but not reported, based on facts, circumstances, and historical evidence. However, the estimate for accrued insurance claims remains subject to uncertainty as our ultimate losses may depend on factors not known at the time such estimates are made. These factors include the estimated development of claims, the payment pattern of claims incurred, changes in the medical condition of claimants, and other factors such as inflation, tort reform or other legislative changes, unfavorable jury decisions, and court interpretations. Should the cost of actual claims exceed what we have anticipated, our recorded reserves may not be sufficient, and we could incur additional charges that could adversely affect our results of operations and financial position. See Item 7, </w:t>
      </w:r>
      <w:r>
        <w:rPr>
          <w:rFonts w:ascii="Times New Roman" w:cs="Times New Roman" w:eastAsia="Times New Roman" w:hAnsi="Times New Roman"/>
          <w:sz w:val="19"/>
          <w:szCs w:val="19"/>
          <w:b w:val="1"/>
          <w:bCs w:val="1"/>
          <w:i w:val="1"/>
          <w:iCs w:val="1"/>
          <w:color w:val="auto"/>
        </w:rPr>
        <w:t>Management’s Discussion and Analysis of Financial Condition and Results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of Operations – Critical Accounting Policies – Accrued Insurance Claims</w:t>
      </w:r>
      <w:r>
        <w:rPr>
          <w:rFonts w:ascii="Times New Roman" w:cs="Times New Roman" w:eastAsia="Times New Roman" w:hAnsi="Times New Roman"/>
          <w:sz w:val="19"/>
          <w:szCs w:val="19"/>
          <w:color w:val="auto"/>
        </w:rPr>
        <w:t>, and Note 11,</w:t>
      </w:r>
      <w:r>
        <w:rPr>
          <w:rFonts w:ascii="Times New Roman" w:cs="Times New Roman" w:eastAsia="Times New Roman" w:hAnsi="Times New Roman"/>
          <w:sz w:val="19"/>
          <w:szCs w:val="19"/>
          <w:b w:val="1"/>
          <w:bCs w:val="1"/>
          <w:i w:val="1"/>
          <w:iCs w:val="1"/>
          <w:color w:val="auto"/>
        </w:rPr>
        <w:t xml:space="preserve"> Accrued Insurance Claims</w:t>
      </w:r>
      <w:r>
        <w:rPr>
          <w:rFonts w:ascii="Times New Roman" w:cs="Times New Roman" w:eastAsia="Times New Roman" w:hAnsi="Times New Roman"/>
          <w:sz w:val="19"/>
          <w:szCs w:val="19"/>
          <w:color w:val="auto"/>
        </w:rPr>
        <w:t>, in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Notes to the Consolidated Financial Statements in this Annual Report on Form 10-K.</w:t>
      </w:r>
    </w:p>
    <w:p>
      <w:pPr>
        <w:sectPr>
          <w:pgSz w:w="11880" w:h="15480" w:orient="portrait"/>
          <w:cols w:equalWidth="0" w:num="1">
            <w:col w:w="9480"/>
          </w:cols>
          <w:pgMar w:left="1000" w:top="891" w:right="140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p>
    <w:p>
      <w:pPr>
        <w:sectPr>
          <w:pgSz w:w="11880" w:h="15480" w:orient="portrait"/>
          <w:cols w:equalWidth="0" w:num="1">
            <w:col w:w="9480"/>
          </w:cols>
          <w:pgMar w:left="1000" w:top="891" w:right="1400" w:bottom="0" w:gutter="0" w:footer="0" w:header="0"/>
          <w:type w:val="continuous"/>
        </w:sectPr>
      </w:pPr>
    </w:p>
    <w:bookmarkStart w:id="22" w:name="page23"/>
    <w:bookmarkEnd w:id="22"/>
    <w:p>
      <w:pPr>
        <w:ind w:firstLine="346"/>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 xml:space="preserve">We may be subject to litigation, indemnity claims, and other disputes, which could result in significant liabilities and adversely impact our financial results. </w:t>
      </w:r>
      <w:r>
        <w:rPr>
          <w:rFonts w:ascii="Times New Roman" w:cs="Times New Roman" w:eastAsia="Times New Roman" w:hAnsi="Times New Roman"/>
          <w:sz w:val="19"/>
          <w:szCs w:val="19"/>
          <w:color w:val="auto"/>
        </w:rPr>
        <w:t>From time to time, we are subject to lawsuits, arbitration proceedings, and other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claims brought or threatened against us by various parties, including our customers. These actions and proceedings may involve claims for, among other things, compensation for personal injury, workers’ compensation, wage and hour violations, employment discrimination, harassment, retaliation, and other employment-related damages, breach of contract, property damage, multiemployer pension plan withdrawal liabilities, liquidated damages, consequential damages, punitive damages, statutory damages, and civil penalties, other losses, or injunctive or declaratory relief. In addition, we may also be subject to class action lawsuits, including those alleging violations of the Fair Labor Standards Act, state and municipal wage and hour laws, and misclassification of independent contractors. We also indemnify our customers for claims arising out of or related to the services we provide and our actions or omissions under our contracts. In some instances, we may be allocated risk through our contract terms for the actions or omissions of our customers, subcontractors, or other third parties.</w:t>
      </w:r>
    </w:p>
    <w:p>
      <w:pPr>
        <w:spacing w:after="0" w:line="200" w:lineRule="exact"/>
        <w:rPr>
          <w:sz w:val="20"/>
          <w:szCs w:val="20"/>
          <w:color w:val="auto"/>
        </w:rPr>
      </w:pPr>
    </w:p>
    <w:p>
      <w:pPr>
        <w:spacing w:after="0" w:line="234" w:lineRule="exact"/>
        <w:rPr>
          <w:sz w:val="20"/>
          <w:szCs w:val="20"/>
          <w:color w:val="auto"/>
        </w:rPr>
      </w:pPr>
    </w:p>
    <w:p>
      <w:pPr>
        <w:ind w:right="60" w:firstLine="346"/>
        <w:spacing w:after="0" w:line="258" w:lineRule="auto"/>
        <w:rPr>
          <w:sz w:val="20"/>
          <w:szCs w:val="20"/>
          <w:color w:val="auto"/>
        </w:rPr>
      </w:pPr>
      <w:r>
        <w:rPr>
          <w:rFonts w:ascii="Times New Roman" w:cs="Times New Roman" w:eastAsia="Times New Roman" w:hAnsi="Times New Roman"/>
          <w:sz w:val="19"/>
          <w:szCs w:val="19"/>
          <w:color w:val="auto"/>
        </w:rPr>
        <w:t xml:space="preserve">Due to the inherent uncertainties of litigation and other dispute resolution proceedings, we cannot accurately predict the ultimate outcome of these matters. The outcome of litigation, particularly class action lawsuits, is difficult to assess or quantify. Class action lawsuits may seek recovery of very large or indeterminate amounts. Accordingly, the magnitude of the potential loss may remain unknown for substantial periods of time. These proceedings could result in substantial costs and may require us to devote substantial resources to our defense. The ultimate resolution of any litigation or proceeding through settlement, mediation, or a judgment could have a material impact on our reputation and adversely affect our results of operations and financial position. See Item 3. </w:t>
      </w:r>
      <w:r>
        <w:rPr>
          <w:rFonts w:ascii="Times New Roman" w:cs="Times New Roman" w:eastAsia="Times New Roman" w:hAnsi="Times New Roman"/>
          <w:sz w:val="19"/>
          <w:szCs w:val="19"/>
          <w:b w:val="1"/>
          <w:bCs w:val="1"/>
          <w:i w:val="1"/>
          <w:iCs w:val="1"/>
          <w:color w:val="auto"/>
        </w:rPr>
        <w:t>Legal Proceedings</w:t>
      </w:r>
      <w:r>
        <w:rPr>
          <w:rFonts w:ascii="Times New Roman" w:cs="Times New Roman" w:eastAsia="Times New Roman" w:hAnsi="Times New Roman"/>
          <w:sz w:val="19"/>
          <w:szCs w:val="19"/>
          <w:color w:val="auto"/>
        </w:rPr>
        <w:t xml:space="preserve">, and Note 22, </w:t>
      </w:r>
      <w:r>
        <w:rPr>
          <w:rFonts w:ascii="Times New Roman" w:cs="Times New Roman" w:eastAsia="Times New Roman" w:hAnsi="Times New Roman"/>
          <w:sz w:val="19"/>
          <w:szCs w:val="19"/>
          <w:b w:val="1"/>
          <w:bCs w:val="1"/>
          <w:i w:val="1"/>
          <w:iCs w:val="1"/>
          <w:color w:val="auto"/>
        </w:rPr>
        <w:t>Commitments and Contingencies</w:t>
      </w:r>
      <w:r>
        <w:rPr>
          <w:rFonts w:ascii="Times New Roman" w:cs="Times New Roman" w:eastAsia="Times New Roman" w:hAnsi="Times New Roman"/>
          <w:sz w:val="19"/>
          <w:szCs w:val="19"/>
          <w:color w:val="auto"/>
        </w:rPr>
        <w:t>, in the Notes to the Consolidated Financial Statements in this Annual Report on Form 10-K.</w:t>
      </w:r>
    </w:p>
    <w:p>
      <w:pPr>
        <w:spacing w:after="0" w:line="192" w:lineRule="exact"/>
        <w:rPr>
          <w:sz w:val="20"/>
          <w:szCs w:val="20"/>
          <w:color w:val="auto"/>
        </w:rPr>
      </w:pPr>
    </w:p>
    <w:p>
      <w:pPr>
        <w:ind w:right="20" w:firstLine="346"/>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 xml:space="preserve">We may be subject to warranty claims, which could result in significant liabilities and adversely impact our financial results. </w:t>
      </w:r>
      <w:r>
        <w:rPr>
          <w:rFonts w:ascii="Times New Roman" w:cs="Times New Roman" w:eastAsia="Times New Roman" w:hAnsi="Times New Roman"/>
          <w:sz w:val="19"/>
          <w:szCs w:val="19"/>
          <w:color w:val="auto"/>
        </w:rPr>
        <w:t>We typically warrant the services we provide by guaranteeing the work performed against defects in workmanship</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materials or where our services are not provided in a manner consistent with applicable requirements. When these claims occur, we may be required to repair or replace our work without receiving any additional compensation and we may be liable to our customers for significant monetary claims. Our performance of warranty services requires us to allocate resources that otherwise might be engaged in the provision of services that generate revenue. In addition, our customers often have the right to repair or replace warrantied items using the services of another provider and to charge the cost of the repair or replacement to us. Costs incurred for warranty claims, or reductions to revenue-generating activities arising from the allocation of resources to resolve warranty claims, could adversely affect our results of operations and financial position.</w:t>
      </w:r>
    </w:p>
    <w:p>
      <w:pPr>
        <w:spacing w:after="0" w:line="200" w:lineRule="exact"/>
        <w:rPr>
          <w:sz w:val="20"/>
          <w:szCs w:val="20"/>
          <w:color w:val="auto"/>
        </w:rPr>
      </w:pPr>
    </w:p>
    <w:p>
      <w:pPr>
        <w:spacing w:after="0" w:line="229" w:lineRule="exact"/>
        <w:rPr>
          <w:sz w:val="20"/>
          <w:szCs w:val="20"/>
          <w:color w:val="auto"/>
        </w:rPr>
      </w:pPr>
    </w:p>
    <w:p>
      <w:pPr>
        <w:ind w:right="20" w:firstLine="346"/>
        <w:spacing w:after="0" w:line="255" w:lineRule="auto"/>
        <w:rPr>
          <w:sz w:val="20"/>
          <w:szCs w:val="20"/>
          <w:color w:val="auto"/>
        </w:rPr>
      </w:pPr>
      <w:r>
        <w:rPr>
          <w:rFonts w:ascii="Times New Roman" w:cs="Times New Roman" w:eastAsia="Times New Roman" w:hAnsi="Times New Roman"/>
          <w:sz w:val="19"/>
          <w:szCs w:val="19"/>
          <w:b w:val="1"/>
          <w:bCs w:val="1"/>
          <w:i w:val="1"/>
          <w:iCs w:val="1"/>
          <w:color w:val="auto"/>
        </w:rPr>
        <w:t>Our subsidiaries may participate in multiemployer pension plans from time to time under which we could incur significant liabilities</w:t>
      </w:r>
      <w:r>
        <w:rPr>
          <w:rFonts w:ascii="Times New Roman" w:cs="Times New Roman" w:eastAsia="Times New Roman" w:hAnsi="Times New Roman"/>
          <w:sz w:val="19"/>
          <w:szCs w:val="19"/>
          <w:color w:val="auto"/>
        </w:rPr>
        <w:t>. Pursuant to collective bargaining agreements, our subsidiaries may participate in various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multiemployer pension plans from time to time that provide defined pension benefits to covered employees. Where applicable, we make periodic contributions to these plans to allow them to meet their pension benefit obligations to participants. Assets contributed by an employer to a multiemployer plan are not segregated into a separate account and are not restricted to providing benefits only to employees of that contributing employer. Under the Employee Retirement Income Security Act (“ERISA”), absent an applicable exemption, a contributing employer to an underfunded multiemployer plan is liable upon withdrawal from the plan for its proportionate share of the plan’s unfunded vested liability. Such underfunding may increase in the event other employers become insolvent or withdraw from the applicable plan or upon the inability or failure of withdrawing employers to pay their withdrawal liability. In addition, if any of the plans in which we participate become significantly underfunded, as defined by the Pension Protection Act of 2006, we may be required to make additional cash contributions in the form of higher contribution rates or surcharges. This has occurred and could occur again in the future because of a shrinking contribution base as a result of insolvency or withdrawal of other companies that currently contribute to these plans, inability or failure of withdrawing companies to pay their withdrawal liability, lower than expected returns on plan assets, or other funding deficiencies. Requirements to pay increased contributions or a withdrawal liability could adversely affect our results of operations, financial position, and cash flows.</w:t>
      </w:r>
    </w:p>
    <w:p>
      <w:pPr>
        <w:spacing w:after="0" w:line="202" w:lineRule="exact"/>
        <w:rPr>
          <w:sz w:val="20"/>
          <w:szCs w:val="20"/>
          <w:color w:val="auto"/>
        </w:rPr>
      </w:pPr>
    </w:p>
    <w:p>
      <w:pPr>
        <w:ind w:right="20" w:firstLine="346"/>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 xml:space="preserve">Anti-takeover provisions of Florida law and provisions in our articles of incorporation and by-laws could make it more difficult to effect an acquisition of our Company or a change in our control. </w:t>
      </w:r>
      <w:r>
        <w:rPr>
          <w:rFonts w:ascii="Times New Roman" w:cs="Times New Roman" w:eastAsia="Times New Roman" w:hAnsi="Times New Roman"/>
          <w:sz w:val="19"/>
          <w:szCs w:val="19"/>
          <w:color w:val="auto"/>
        </w:rPr>
        <w:t>We are subject to certain anti-takeover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provisions of the Florida Business Corporation Act. These anti-takeover provisions could discourage or prevent a change in control. In addition, certain provisions of our articles of incorporation and by-laws could delay or prevent an acquisition or change in control and the replacement of our incumbent directors and management. For example, our board of directors is divided into three classes. At any annual meeting of our shareholders, our shareholders have the right to elect only approximately one-third of the directors on our board of directors. In addition, our articles of incorporation authorize our board of directors, without further shareholder approval, to issue up to 1,000,000 shares of preferred stock on such terms and with such rights as our board of directors may determine. The issuance of preferred stock could dilute the voting power</w:t>
      </w:r>
    </w:p>
    <w:p>
      <w:pPr>
        <w:sectPr>
          <w:pgSz w:w="11880" w:h="15480" w:orient="portrait"/>
          <w:cols w:equalWidth="0" w:num="1">
            <w:col w:w="9500"/>
          </w:cols>
          <w:pgMar w:left="1000" w:top="894" w:right="1380" w:bottom="0" w:gutter="0" w:footer="0" w:header="0"/>
        </w:sectPr>
      </w:pPr>
    </w:p>
    <w:p>
      <w:pPr>
        <w:spacing w:after="0" w:line="32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p>
    <w:p>
      <w:pPr>
        <w:sectPr>
          <w:pgSz w:w="11880" w:h="15480" w:orient="portrait"/>
          <w:cols w:equalWidth="0" w:num="1">
            <w:col w:w="9500"/>
          </w:cols>
          <w:pgMar w:left="1000" w:top="894" w:right="1380" w:bottom="0" w:gutter="0" w:footer="0" w:header="0"/>
          <w:type w:val="continuous"/>
        </w:sectPr>
      </w:pPr>
    </w:p>
    <w:bookmarkStart w:id="23" w:name="page24"/>
    <w:bookmarkEnd w:id="23"/>
    <w:p>
      <w:pPr>
        <w:ind w:right="140"/>
        <w:spacing w:after="0" w:line="265" w:lineRule="auto"/>
        <w:rPr>
          <w:sz w:val="20"/>
          <w:szCs w:val="20"/>
          <w:color w:val="auto"/>
        </w:rPr>
      </w:pPr>
      <w:r>
        <w:rPr>
          <w:rFonts w:ascii="Times New Roman" w:cs="Times New Roman" w:eastAsia="Times New Roman" w:hAnsi="Times New Roman"/>
          <w:sz w:val="19"/>
          <w:szCs w:val="19"/>
          <w:color w:val="auto"/>
        </w:rPr>
        <w:t>of the holders of common stock, including by the grant of voting control to others. Our by-laws also restrict the right of shareholders to call a special meeting of shareholders. As a result, our shareholders may be unable to take advantage of opportunities to dispose of their stock in the Company at higher prices that may otherwise be available in connection with takeover attempts or under a merger or other proposal.</w:t>
      </w:r>
    </w:p>
    <w:p>
      <w:pPr>
        <w:spacing w:after="0" w:line="184" w:lineRule="exact"/>
        <w:rPr>
          <w:sz w:val="20"/>
          <w:szCs w:val="20"/>
          <w:color w:val="auto"/>
        </w:rPr>
      </w:pPr>
    </w:p>
    <w:p>
      <w:pPr>
        <w:ind w:right="80" w:firstLine="345"/>
        <w:spacing w:after="0" w:line="246" w:lineRule="auto"/>
        <w:rPr>
          <w:sz w:val="20"/>
          <w:szCs w:val="20"/>
          <w:color w:val="auto"/>
        </w:rPr>
      </w:pPr>
      <w:r>
        <w:rPr>
          <w:rFonts w:ascii="Times New Roman" w:cs="Times New Roman" w:eastAsia="Times New Roman" w:hAnsi="Times New Roman"/>
          <w:sz w:val="19"/>
          <w:szCs w:val="19"/>
          <w:b w:val="1"/>
          <w:bCs w:val="1"/>
          <w:i w:val="1"/>
          <w:iCs w:val="1"/>
          <w:color w:val="auto"/>
        </w:rPr>
        <w:t>We may face challenges related to our corporate social responsibility and sustainability policies</w:t>
      </w:r>
      <w:r>
        <w:rPr>
          <w:rFonts w:ascii="Times New Roman" w:cs="Times New Roman" w:eastAsia="Times New Roman" w:hAnsi="Times New Roman"/>
          <w:sz w:val="19"/>
          <w:szCs w:val="19"/>
          <w:color w:val="auto"/>
        </w:rPr>
        <w:t>. Our customers,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shareholders, and other constituents may not be satisfied with the corporate social responsibility and sustainability policies that we may set or the practices and programs we choose to implement. A failure to set appropriate corporate social responsibility and sustainability goals for our company, or our failure to meet these goals could adversely affect public perception of our business or customer or shareholder support.</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Our Ability to Grow Our Business</w:t>
      </w:r>
    </w:p>
    <w:p>
      <w:pPr>
        <w:spacing w:after="0" w:line="246" w:lineRule="exact"/>
        <w:rPr>
          <w:sz w:val="20"/>
          <w:szCs w:val="20"/>
          <w:color w:val="auto"/>
        </w:rPr>
      </w:pPr>
    </w:p>
    <w:p>
      <w:pPr>
        <w:ind w:right="320" w:firstLine="345"/>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We may not have access in the future to sufficient capital on favorable terms or at all. We may require additional capital to pursue acquisitions, fund capital expenditures, for working capital needs, or to respond to changing business conditions. </w:t>
      </w:r>
      <w:r>
        <w:rPr>
          <w:rFonts w:ascii="Times New Roman" w:cs="Times New Roman" w:eastAsia="Times New Roman" w:hAnsi="Times New Roman"/>
          <w:sz w:val="19"/>
          <w:szCs w:val="19"/>
          <w:color w:val="auto"/>
        </w:rPr>
        <w:t>Our existing debt agreements include restrictions on our ability to incur additional debt at certain levels.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addition, if we seek to incur more debt, we may be required to agree to additional covenants that further limit our operational and financial flexibility. If we pursue additional debt or equity financings, we cannot be certain that such funding will be available on terms acceptable to us, or at all. Our inability to access additional capital could adversely affect our liquidity and may limit our growth and ability to execute our business strategy.</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debt obligations impose restrictions that may limit our operating and financial flexibility, and a failure to comply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with these obligations could result in the acceleration of our debt. </w:t>
      </w:r>
      <w:r>
        <w:rPr>
          <w:rFonts w:ascii="Times New Roman" w:cs="Times New Roman" w:eastAsia="Times New Roman" w:hAnsi="Times New Roman"/>
          <w:sz w:val="19"/>
          <w:szCs w:val="19"/>
          <w:color w:val="auto"/>
        </w:rPr>
        <w:t>The Company and certain of its subsidiaries are party to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 amended and restated credit agreement, that includes a revolving facility with a maximum revolver commitment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$650.0 million and a term loan facility in the principal amount of $450.0 million, which matures on January 15, 2029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“Credit Agreement”). The Credit Agreement includes a $200.0 million sublimit for the issuance of letters of credit and 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$50.0 million sublimit for swingline loans. As of January 25, 2025, we had $450.0 million outstanding under the term loan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facility and $47.5 million of outstanding letters of credit issued under our Credit Agreement. We had no outstanding</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borrowings under our revolving facility as of January 25, 2025. The Credit Agreement contains covenants that restrict 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limit our ability to, among other things: make certain payments, including the payment of dividends, redeem or repurchase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capital stock, incur additional indebtedness and issue preferred stock, make investments or create liens, enter into sale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leaseback transactions, merge or consolidate with another entity, sell certain assets, and enter into transactions with</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affiliates. Our Credit Agreement also requires us to comply with certain financial covenants, including a consolidated net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leverage ratio and a consolidated interest coverage ratio. These covenants in our Credit Agreement may prevent us from</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engaging in transactions that benefit us and may limit our flexibility in the execution of our business strategy.</w:t>
      </w:r>
    </w:p>
    <w:p>
      <w:pPr>
        <w:spacing w:after="0" w:line="242" w:lineRule="exact"/>
        <w:rPr>
          <w:sz w:val="20"/>
          <w:szCs w:val="20"/>
          <w:color w:val="auto"/>
        </w:rPr>
      </w:pPr>
    </w:p>
    <w:p>
      <w:pPr>
        <w:ind w:right="80" w:firstLine="345"/>
        <w:spacing w:after="0" w:line="259" w:lineRule="auto"/>
        <w:rPr>
          <w:sz w:val="20"/>
          <w:szCs w:val="20"/>
          <w:color w:val="auto"/>
        </w:rPr>
      </w:pPr>
      <w:r>
        <w:rPr>
          <w:rFonts w:ascii="Times New Roman" w:cs="Times New Roman" w:eastAsia="Times New Roman" w:hAnsi="Times New Roman"/>
          <w:sz w:val="19"/>
          <w:szCs w:val="19"/>
          <w:color w:val="auto"/>
        </w:rPr>
        <w:t>Additionally, on April 1, 2021, we issued $500.0 million aggregate principal amount of 4.50% senior notes due 2029 (the “2029 Notes”). The 2029 Notes are guaranteed on a senior unsecured basis, jointly and severally, by all of our domestic subsidiaries that guarantee the Credit Agreement. The indenture governing the 2029 Notes includes cross-acceleration and cross-default provisions with our Credit Agreement. If our financial results fall below anticipated levels, we may be unable to comply with these covenants and a default under our Credit Agreement could result in the acceleration of our obligations under both our Credit Agreement and the indenture governing the 2029 Notes, which could adversely affect our liquidity and our ability to execute our business strategy.</w:t>
      </w:r>
    </w:p>
    <w:p>
      <w:pPr>
        <w:spacing w:after="0" w:line="190" w:lineRule="exact"/>
        <w:rPr>
          <w:sz w:val="20"/>
          <w:szCs w:val="20"/>
          <w:color w:val="auto"/>
        </w:rPr>
      </w:pPr>
    </w:p>
    <w:p>
      <w:pPr>
        <w:ind w:firstLine="345"/>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 xml:space="preserve">The specialty contracting services industry in which we operate is highly competitive. </w:t>
      </w:r>
      <w:r>
        <w:rPr>
          <w:rFonts w:ascii="Times New Roman" w:cs="Times New Roman" w:eastAsia="Times New Roman" w:hAnsi="Times New Roman"/>
          <w:sz w:val="19"/>
          <w:szCs w:val="19"/>
          <w:color w:val="auto"/>
        </w:rPr>
        <w:t>We compete with other specialty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contractors, including numerous local and regional providers, as well as several large corporations that may have financial, technical, and marketing resources exceeding ours. Relatively few barriers to entry exist in the markets in which we operate, which means that any organization could become a competitor if it has adequate financial resources and access to technical expertise, the ability to engage subcontractors, and the necessary equipment and materials. Additionally, our competitors may develop expertise obtain resources or adopt new technologies that allow them to provide services that are equal or superior to our services in price, quality, or availability, and we may be unable to effectively compete against them. Furthermore, if competitors underbid us to procure business, we could be required to lower the prices we charge in order to retain contracts when they come up for competitive bidding at the end of their terms. Our revenues and results of operations could be adversely affected if our customers shift a significant portion of our work to a competitor, if we are unsuccessful in bidding or retaining projects, or if our ability to win projects requires us to provide our services at reduced margins.</w:t>
      </w:r>
    </w:p>
    <w:p>
      <w:pPr>
        <w:spacing w:after="0" w:line="200" w:lineRule="exact"/>
        <w:rPr>
          <w:sz w:val="20"/>
          <w:szCs w:val="20"/>
          <w:color w:val="auto"/>
        </w:rPr>
      </w:pPr>
    </w:p>
    <w:p>
      <w:pPr>
        <w:spacing w:after="0" w:line="232" w:lineRule="exact"/>
        <w:rPr>
          <w:sz w:val="20"/>
          <w:szCs w:val="20"/>
          <w:color w:val="auto"/>
        </w:rPr>
      </w:pPr>
    </w:p>
    <w:p>
      <w:pPr>
        <w:ind w:right="40" w:firstLine="345"/>
        <w:spacing w:after="0" w:line="321"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face competition from the in-house service organizations of our customers. </w:t>
      </w:r>
      <w:r>
        <w:rPr>
          <w:rFonts w:ascii="Times New Roman" w:cs="Times New Roman" w:eastAsia="Times New Roman" w:hAnsi="Times New Roman"/>
          <w:sz w:val="18"/>
          <w:szCs w:val="18"/>
          <w:color w:val="auto"/>
        </w:rPr>
        <w:t>We face competition from the in-house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organizations of our customers whose personnel perform many of the services that we provide. We can offer no</w:t>
      </w:r>
    </w:p>
    <w:p>
      <w:pPr>
        <w:sectPr>
          <w:pgSz w:w="11880" w:h="15480" w:orient="portrait"/>
          <w:cols w:equalWidth="0" w:num="1">
            <w:col w:w="9480"/>
          </w:cols>
          <w:pgMar w:left="1000" w:top="897" w:right="1400" w:bottom="0" w:gutter="0" w:footer="0" w:header="0"/>
        </w:sectPr>
      </w:pPr>
    </w:p>
    <w:p>
      <w:pPr>
        <w:spacing w:after="0" w:line="34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p>
    <w:p>
      <w:pPr>
        <w:sectPr>
          <w:pgSz w:w="11880" w:h="15480" w:orient="portrait"/>
          <w:cols w:equalWidth="0" w:num="1">
            <w:col w:w="9480"/>
          </w:cols>
          <w:pgMar w:left="1000" w:top="897" w:right="1400" w:bottom="0" w:gutter="0" w:footer="0" w:header="0"/>
          <w:type w:val="continuous"/>
        </w:sectPr>
      </w:pPr>
    </w:p>
    <w:bookmarkStart w:id="24" w:name="page25"/>
    <w:bookmarkEnd w:id="24"/>
    <w:p>
      <w:pPr>
        <w:ind w:right="440"/>
        <w:spacing w:after="0" w:line="271" w:lineRule="auto"/>
        <w:rPr>
          <w:sz w:val="20"/>
          <w:szCs w:val="20"/>
          <w:color w:val="auto"/>
        </w:rPr>
      </w:pPr>
      <w:r>
        <w:rPr>
          <w:rFonts w:ascii="Times New Roman" w:cs="Times New Roman" w:eastAsia="Times New Roman" w:hAnsi="Times New Roman"/>
          <w:sz w:val="19"/>
          <w:szCs w:val="19"/>
          <w:color w:val="auto"/>
        </w:rPr>
        <w:t>assurance that our existing or prospective customers will continue to outsource the specialty contracting services we provide in the future. Our revenues and results of operations could be adversely affected if our existing or prospective customers reduce the specialty contracting services that are outsourced to us.</w:t>
      </w:r>
    </w:p>
    <w:p>
      <w:pPr>
        <w:spacing w:after="0" w:line="179" w:lineRule="exact"/>
        <w:rPr>
          <w:sz w:val="20"/>
          <w:szCs w:val="20"/>
          <w:color w:val="auto"/>
        </w:rPr>
      </w:pPr>
    </w:p>
    <w:p>
      <w:pPr>
        <w:ind w:right="80" w:firstLine="345"/>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Our failure to perform sufficient due diligence prior to completing acquisitions could result in significant liabilities. </w:t>
      </w:r>
      <w:r>
        <w:rPr>
          <w:rFonts w:ascii="Times New Roman" w:cs="Times New Roman" w:eastAsia="Times New Roman" w:hAnsi="Times New Roman"/>
          <w:sz w:val="19"/>
          <w:szCs w:val="19"/>
          <w:color w:val="auto"/>
        </w:rPr>
        <w:t>The growth of our business through acquisitions may expose us to risks, including the failure to identify significant issues and risks of an acquired business. A failure to identify or appropriately quantify a liability or possible risk in our due diligence process could result in the assumption of unanticipated liabilities arising from the prior operations of an acquired business, some of which may not be adequately reserved and may not be covered by indemnification obligations. The assumption of unknown liabilities due to a failure of our due diligence could adversely affect our results of operations and financial position.</w:t>
      </w:r>
    </w:p>
    <w:p>
      <w:pPr>
        <w:spacing w:after="0" w:line="193" w:lineRule="exact"/>
        <w:rPr>
          <w:sz w:val="20"/>
          <w:szCs w:val="20"/>
          <w:color w:val="auto"/>
        </w:rPr>
      </w:pPr>
    </w:p>
    <w:p>
      <w:pPr>
        <w:ind w:firstLine="345"/>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 xml:space="preserve">Our failure to successfully integrate acquisitions could adversely affect our financial results. </w:t>
      </w:r>
      <w:r>
        <w:rPr>
          <w:rFonts w:ascii="Times New Roman" w:cs="Times New Roman" w:eastAsia="Times New Roman" w:hAnsi="Times New Roman"/>
          <w:sz w:val="19"/>
          <w:szCs w:val="19"/>
          <w:color w:val="auto"/>
        </w:rPr>
        <w:t>As part of our growth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strategy, we may acquire companies that we expect to expand, complement, or diversify our business. The success of this strategy depends on our ability to realize the anticipated benefits from the acquired businesses, such as the expansion of our existing operations and the elimination of redundant costs. To realize these benefits, we must successfully integrate the operations of the acquired businesses with our existing operations. Integrating acquired businesses involves a number of operational challenges and risks, including diversion of management’s attention from our existing business; unanticipated issues in integrating information, communications, and other systems and consolidating corporate and administrative infrastructures; failure to manage successfully and coordinate the growth of the combined company; and failure to retain management and other key employees. These factors could result in increased costs, decreases in the amount of expected revenues and diversion of management’s time and energy, which could adversely affect our results of operations and financial position. Additionally, any impairment of goodwill or other intangible assets as a result of our failure to successfully integrate acquisitions could adversely affect our results of operations and financial position.</w:t>
      </w:r>
    </w:p>
    <w:p>
      <w:pPr>
        <w:sectPr>
          <w:pgSz w:w="11880" w:h="15480" w:orient="portrait"/>
          <w:cols w:equalWidth="0" w:num="1">
            <w:col w:w="9480"/>
          </w:cols>
          <w:pgMar w:left="1000" w:top="89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p>
    <w:p>
      <w:pPr>
        <w:sectPr>
          <w:pgSz w:w="11880" w:h="15480" w:orient="portrait"/>
          <w:cols w:equalWidth="0" w:num="1">
            <w:col w:w="9480"/>
          </w:cols>
          <w:pgMar w:left="1000" w:top="897" w:right="140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9"/>
          <w:szCs w:val="19"/>
          <w:b w:val="1"/>
          <w:bCs w:val="1"/>
          <w:color w:val="auto"/>
        </w:rPr>
        <w:t xml:space="preserve">Item 1B. </w:t>
      </w:r>
      <w:r>
        <w:rPr>
          <w:rFonts w:ascii="Times New Roman" w:cs="Times New Roman" w:eastAsia="Times New Roman" w:hAnsi="Times New Roman"/>
          <w:sz w:val="19"/>
          <w:szCs w:val="19"/>
          <w:b w:val="1"/>
          <w:bCs w:val="1"/>
          <w:i w:val="1"/>
          <w:iCs w:val="1"/>
          <w:color w:val="auto"/>
        </w:rPr>
        <w:t>Unresolved Staff Comments.</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None.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1C. </w:t>
      </w:r>
      <w:r>
        <w:rPr>
          <w:rFonts w:ascii="Times New Roman" w:cs="Times New Roman" w:eastAsia="Times New Roman" w:hAnsi="Times New Roman"/>
          <w:sz w:val="19"/>
          <w:szCs w:val="19"/>
          <w:b w:val="1"/>
          <w:bCs w:val="1"/>
          <w:i w:val="1"/>
          <w:iCs w:val="1"/>
          <w:color w:val="auto"/>
        </w:rPr>
        <w:t>Cybersecurity.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Cybersecurity Risk Management and Strategy</w:t>
      </w:r>
    </w:p>
    <w:p>
      <w:pPr>
        <w:spacing w:after="0" w:line="249" w:lineRule="exact"/>
        <w:rPr>
          <w:sz w:val="20"/>
          <w:szCs w:val="20"/>
          <w:color w:val="auto"/>
        </w:rPr>
      </w:pPr>
    </w:p>
    <w:p>
      <w:pPr>
        <w:ind w:right="340" w:firstLine="345"/>
        <w:spacing w:after="0" w:line="271" w:lineRule="auto"/>
        <w:rPr>
          <w:sz w:val="20"/>
          <w:szCs w:val="20"/>
          <w:color w:val="auto"/>
        </w:rPr>
      </w:pPr>
      <w:r>
        <w:rPr>
          <w:rFonts w:ascii="Times New Roman" w:cs="Times New Roman" w:eastAsia="Times New Roman" w:hAnsi="Times New Roman"/>
          <w:sz w:val="19"/>
          <w:szCs w:val="19"/>
          <w:color w:val="auto"/>
        </w:rPr>
        <w:t>We are committed to protecting the confidentiality, integrity, and availability of our information assets and managing cybersecurity risks effectively. Our cybersecurity strategy focuses on proactive risk management, continuous improvement, collaboration and partnerships, and investment in security technologies.</w:t>
      </w:r>
    </w:p>
    <w:p>
      <w:pPr>
        <w:spacing w:after="0" w:line="181" w:lineRule="exact"/>
        <w:rPr>
          <w:sz w:val="20"/>
          <w:szCs w:val="20"/>
          <w:color w:val="auto"/>
        </w:rPr>
      </w:pPr>
    </w:p>
    <w:p>
      <w:pPr>
        <w:ind w:right="240" w:firstLine="345"/>
        <w:spacing w:after="0" w:line="262" w:lineRule="auto"/>
        <w:rPr>
          <w:sz w:val="20"/>
          <w:szCs w:val="20"/>
          <w:color w:val="auto"/>
        </w:rPr>
      </w:pPr>
      <w:r>
        <w:rPr>
          <w:rFonts w:ascii="Times New Roman" w:cs="Times New Roman" w:eastAsia="Times New Roman" w:hAnsi="Times New Roman"/>
          <w:sz w:val="19"/>
          <w:szCs w:val="19"/>
          <w:color w:val="auto"/>
        </w:rPr>
        <w:t>We face various cybersecurity risks, including unauthorized access, information leakage, malware and viruses, technical disruption, and insider threats. Identifying, assessing, and managing these risks is the foundation of our comprehensive cybersecurity framework and is integrated into our overall risk management systems and processes. We have implemented strong access controls, regular security assessments, vulnerability management, user education and awareness, monitoring, threat intelligence (including user behavior analytics), and managed detection and response to mitigate cybersecurity risks.</w:t>
      </w:r>
    </w:p>
    <w:p>
      <w:pPr>
        <w:spacing w:after="0" w:line="190" w:lineRule="exact"/>
        <w:rPr>
          <w:sz w:val="20"/>
          <w:szCs w:val="20"/>
          <w:color w:val="auto"/>
        </w:rPr>
      </w:pPr>
    </w:p>
    <w:p>
      <w:pPr>
        <w:ind w:right="60" w:firstLine="345"/>
        <w:spacing w:after="0" w:line="289" w:lineRule="auto"/>
        <w:rPr>
          <w:sz w:val="20"/>
          <w:szCs w:val="20"/>
          <w:color w:val="auto"/>
        </w:rPr>
      </w:pPr>
      <w:r>
        <w:rPr>
          <w:rFonts w:ascii="Times New Roman" w:cs="Times New Roman" w:eastAsia="Times New Roman" w:hAnsi="Times New Roman"/>
          <w:sz w:val="19"/>
          <w:szCs w:val="19"/>
          <w:color w:val="auto"/>
        </w:rPr>
        <w:t>Our implementation of strong access controls includes multi-factor authentication, least privilege access, role-based access control, and network segmentation to ensure information assets are protected from unauthorized access and/or exposure.</w:t>
      </w:r>
    </w:p>
    <w:p>
      <w:pPr>
        <w:spacing w:after="0" w:line="165" w:lineRule="exact"/>
        <w:rPr>
          <w:sz w:val="20"/>
          <w:szCs w:val="20"/>
          <w:color w:val="auto"/>
        </w:rPr>
      </w:pPr>
    </w:p>
    <w:p>
      <w:pPr>
        <w:ind w:right="80" w:firstLine="345"/>
        <w:spacing w:after="0" w:line="262" w:lineRule="auto"/>
        <w:rPr>
          <w:sz w:val="20"/>
          <w:szCs w:val="20"/>
          <w:color w:val="auto"/>
        </w:rPr>
      </w:pPr>
      <w:r>
        <w:rPr>
          <w:rFonts w:ascii="Times New Roman" w:cs="Times New Roman" w:eastAsia="Times New Roman" w:hAnsi="Times New Roman"/>
          <w:sz w:val="19"/>
          <w:szCs w:val="19"/>
          <w:color w:val="auto"/>
        </w:rPr>
        <w:t>We conduct regular security assessments to identify vulnerabilities, test compliance, proactively address security risks that would impact the organization, and prioritize those risks based on their likelihood and potential impact. The associated activities include performing risk, vulnerability, penetration, and compliance assessments to assist in identifying potential internal and external threats and weaknesses in our systems, networks, and applications and performing simulations to test and improve our incident response plans while building resiliency.</w:t>
      </w:r>
    </w:p>
    <w:p>
      <w:pPr>
        <w:spacing w:after="0" w:line="190" w:lineRule="exact"/>
        <w:rPr>
          <w:sz w:val="20"/>
          <w:szCs w:val="20"/>
          <w:color w:val="auto"/>
        </w:rPr>
      </w:pPr>
    </w:p>
    <w:p>
      <w:pPr>
        <w:ind w:right="100" w:firstLine="345"/>
        <w:spacing w:after="0" w:line="271" w:lineRule="auto"/>
        <w:rPr>
          <w:sz w:val="20"/>
          <w:szCs w:val="20"/>
          <w:color w:val="auto"/>
        </w:rPr>
      </w:pPr>
      <w:r>
        <w:rPr>
          <w:rFonts w:ascii="Times New Roman" w:cs="Times New Roman" w:eastAsia="Times New Roman" w:hAnsi="Times New Roman"/>
          <w:sz w:val="19"/>
          <w:szCs w:val="19"/>
          <w:color w:val="auto"/>
        </w:rPr>
        <w:t>In addition to the controls and assessments noted above, we regularly engage with our internal and external auditors and third-party cybersecurity consultants to assess our cybersecurity program, ensuring adherence to applicable industry standards, practices, and laws.</w:t>
      </w:r>
    </w:p>
    <w:p>
      <w:pPr>
        <w:spacing w:after="0" w:line="181" w:lineRule="exact"/>
        <w:rPr>
          <w:sz w:val="20"/>
          <w:szCs w:val="20"/>
          <w:color w:val="auto"/>
        </w:rPr>
      </w:pPr>
    </w:p>
    <w:p>
      <w:pPr>
        <w:jc w:val="both"/>
        <w:ind w:firstLine="345"/>
        <w:spacing w:after="0" w:line="271" w:lineRule="auto"/>
        <w:rPr>
          <w:sz w:val="20"/>
          <w:szCs w:val="20"/>
          <w:color w:val="auto"/>
        </w:rPr>
      </w:pPr>
      <w:r>
        <w:rPr>
          <w:rFonts w:ascii="Times New Roman" w:cs="Times New Roman" w:eastAsia="Times New Roman" w:hAnsi="Times New Roman"/>
          <w:sz w:val="19"/>
          <w:szCs w:val="19"/>
          <w:color w:val="auto"/>
        </w:rPr>
        <w:t>Our cybersecurity program also includes third-party risk management evaluation and monitoring of our suppliers, vendors, and other business partners to help identify and mitigate risks that may impact our company. We evaluate existing risks, threats, and prior cybersecurity incidents of new vendors, suppliers, and business partners using various risk assessments.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Cybersecurity Governance</w:t>
      </w:r>
    </w:p>
    <w:p>
      <w:pPr>
        <w:spacing w:after="0" w:line="249" w:lineRule="exact"/>
        <w:rPr>
          <w:sz w:val="20"/>
          <w:szCs w:val="20"/>
          <w:color w:val="auto"/>
        </w:rPr>
      </w:pPr>
    </w:p>
    <w:p>
      <w:pPr>
        <w:jc w:val="both"/>
        <w:ind w:right="60" w:firstLine="345"/>
        <w:spacing w:after="0" w:line="265" w:lineRule="auto"/>
        <w:rPr>
          <w:sz w:val="20"/>
          <w:szCs w:val="20"/>
          <w:color w:val="auto"/>
        </w:rPr>
      </w:pPr>
      <w:r>
        <w:rPr>
          <w:rFonts w:ascii="Times New Roman" w:cs="Times New Roman" w:eastAsia="Times New Roman" w:hAnsi="Times New Roman"/>
          <w:sz w:val="19"/>
          <w:szCs w:val="19"/>
          <w:color w:val="auto"/>
        </w:rPr>
        <w:t>Cybersecurity governance is a critical component of our organization’s overall risk management framework and an area of focus for our Board and management. Our Board has delegated primary responsibility for overseeing risks from cybersecurity threats to the Audit Committee. The Audit Committee oversees information technology and cybersecurity, including strategies, risk identification and mitigation, and data privacy protection (“Information Security”).</w:t>
      </w:r>
    </w:p>
    <w:p>
      <w:pPr>
        <w:spacing w:after="0" w:line="187" w:lineRule="exact"/>
        <w:rPr>
          <w:sz w:val="20"/>
          <w:szCs w:val="20"/>
          <w:color w:val="auto"/>
        </w:rPr>
      </w:pPr>
    </w:p>
    <w:p>
      <w:pPr>
        <w:ind w:right="40" w:firstLine="345"/>
        <w:spacing w:after="0" w:line="257" w:lineRule="auto"/>
        <w:rPr>
          <w:sz w:val="20"/>
          <w:szCs w:val="20"/>
          <w:color w:val="auto"/>
        </w:rPr>
      </w:pPr>
      <w:r>
        <w:rPr>
          <w:rFonts w:ascii="Times New Roman" w:cs="Times New Roman" w:eastAsia="Times New Roman" w:hAnsi="Times New Roman"/>
          <w:sz w:val="19"/>
          <w:szCs w:val="19"/>
          <w:color w:val="auto"/>
        </w:rPr>
        <w:t>The Company’s Chief Information Officer has been serving in this role for the company for 18 years and has over 30 years of experience in various information security and related technology roles. The Chief Information Officer oversees an internal information security team, which works in partnership with the Company’s internal audit department to review information technology-related controls with our external auditors as part of the overall internal controls process. The Chief Information Officer, who is in regular communication with the information security team, reports regularly to the Chief Executive Officer regarding vulnerabilities, new and developing threats, and compliance matters and also reports to the Audit Committee. The Audit Committee receives reports from the Chief Information Officer on a periodic basis, and more frequently, as needed, regarding cybersecurity-related matters. Such reports include updates with respect to existing and new cybersecurity risks, cybersecurity risk management and mitigation, cybersecurity incidents, as applicable, and key information security initiatives and recent developments.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2. </w:t>
      </w:r>
      <w:r>
        <w:rPr>
          <w:rFonts w:ascii="Times New Roman" w:cs="Times New Roman" w:eastAsia="Times New Roman" w:hAnsi="Times New Roman"/>
          <w:sz w:val="19"/>
          <w:szCs w:val="19"/>
          <w:b w:val="1"/>
          <w:bCs w:val="1"/>
          <w:i w:val="1"/>
          <w:iCs w:val="1"/>
          <w:color w:val="auto"/>
        </w:rPr>
        <w:t>Properties.</w:t>
      </w:r>
    </w:p>
    <w:p>
      <w:pPr>
        <w:spacing w:after="0" w:line="212" w:lineRule="exact"/>
        <w:rPr>
          <w:sz w:val="20"/>
          <w:szCs w:val="20"/>
          <w:color w:val="auto"/>
        </w:rPr>
      </w:pPr>
    </w:p>
    <w:p>
      <w:pPr>
        <w:ind w:right="240" w:firstLine="345"/>
        <w:spacing w:after="0" w:line="271" w:lineRule="auto"/>
        <w:rPr>
          <w:sz w:val="20"/>
          <w:szCs w:val="20"/>
          <w:color w:val="auto"/>
        </w:rPr>
      </w:pPr>
      <w:r>
        <w:rPr>
          <w:rFonts w:ascii="Times New Roman" w:cs="Times New Roman" w:eastAsia="Times New Roman" w:hAnsi="Times New Roman"/>
          <w:sz w:val="19"/>
          <w:szCs w:val="19"/>
          <w:color w:val="auto"/>
        </w:rPr>
        <w:t>We lease our executive office located in Palm Beach Gardens, Florida. Our subsidiaries operate from administrative offices, district field offices, equipment yards, shop facilities, and temporary storage locations throughout the United States. Those facilities are primarily leased but certain facilities are owned. Our leased properties operate under both non-cancelable</w:t>
      </w:r>
    </w:p>
    <w:p>
      <w:pPr>
        <w:sectPr>
          <w:pgSz w:w="11880" w:h="15480" w:orient="portrait"/>
          <w:cols w:equalWidth="0" w:num="1">
            <w:col w:w="9820"/>
          </w:cols>
          <w:pgMar w:left="1000" w:top="889" w:right="1060" w:bottom="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20</w:t>
      </w:r>
    </w:p>
    <w:p>
      <w:pPr>
        <w:spacing w:after="0" w:line="20" w:lineRule="exact"/>
        <w:rPr>
          <w:sz w:val="20"/>
          <w:szCs w:val="20"/>
          <w:color w:val="auto"/>
        </w:rPr>
      </w:pPr>
    </w:p>
    <w:p>
      <w:pPr>
        <w:sectPr>
          <w:pgSz w:w="11880" w:h="15480" w:orient="portrait"/>
          <w:cols w:equalWidth="0" w:num="1">
            <w:col w:w="9820"/>
          </w:cols>
          <w:pgMar w:left="1000" w:top="889" w:right="1060" w:bottom="0" w:gutter="0" w:footer="0" w:header="0"/>
          <w:type w:val="continuous"/>
        </w:sectPr>
      </w:pPr>
    </w:p>
    <w:bookmarkStart w:id="26" w:name="page27"/>
    <w:bookmarkEnd w:id="26"/>
    <w:p>
      <w:pPr>
        <w:ind w:right="480"/>
        <w:spacing w:after="0" w:line="289"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t>and cancelable leases. We believe that our facilities are suitable and adequate for our current operations and, if necessary, additional or replacement facilities would generally be available on commercially reasonable terms.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3. </w:t>
      </w:r>
      <w:r>
        <w:rPr>
          <w:rFonts w:ascii="Times New Roman" w:cs="Times New Roman" w:eastAsia="Times New Roman" w:hAnsi="Times New Roman"/>
          <w:sz w:val="19"/>
          <w:szCs w:val="19"/>
          <w:b w:val="1"/>
          <w:bCs w:val="1"/>
          <w:i w:val="1"/>
          <w:iCs w:val="1"/>
          <w:color w:val="auto"/>
        </w:rPr>
        <w:t>Legal Proceedings.</w:t>
      </w:r>
    </w:p>
    <w:p>
      <w:pPr>
        <w:spacing w:after="0" w:line="247" w:lineRule="exact"/>
        <w:rPr>
          <w:sz w:val="20"/>
          <w:szCs w:val="20"/>
          <w:color w:val="auto"/>
        </w:rPr>
      </w:pPr>
    </w:p>
    <w:p>
      <w:pPr>
        <w:ind w:right="200" w:firstLine="346"/>
        <w:spacing w:after="0" w:line="308" w:lineRule="auto"/>
        <w:rPr>
          <w:sz w:val="20"/>
          <w:szCs w:val="20"/>
          <w:color w:val="auto"/>
        </w:rPr>
      </w:pPr>
      <w:r>
        <w:rPr>
          <w:rFonts w:ascii="Times New Roman" w:cs="Times New Roman" w:eastAsia="Times New Roman" w:hAnsi="Times New Roman"/>
          <w:sz w:val="19"/>
          <w:szCs w:val="19"/>
          <w:color w:val="auto"/>
        </w:rPr>
        <w:t xml:space="preserve">Refer to Note 22, </w:t>
      </w:r>
      <w:r>
        <w:rPr>
          <w:rFonts w:ascii="Times New Roman" w:cs="Times New Roman" w:eastAsia="Times New Roman" w:hAnsi="Times New Roman"/>
          <w:sz w:val="19"/>
          <w:szCs w:val="19"/>
          <w:b w:val="1"/>
          <w:bCs w:val="1"/>
          <w:i w:val="1"/>
          <w:iCs w:val="1"/>
          <w:color w:val="auto"/>
        </w:rPr>
        <w:t>Commitments and Contingencies</w:t>
      </w:r>
      <w:r>
        <w:rPr>
          <w:rFonts w:ascii="Times New Roman" w:cs="Times New Roman" w:eastAsia="Times New Roman" w:hAnsi="Times New Roman"/>
          <w:sz w:val="19"/>
          <w:szCs w:val="19"/>
          <w:color w:val="auto"/>
        </w:rPr>
        <w:t>, in the Notes to the Consolidated Financial Statements in this Annual Report on Form 10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4. </w:t>
      </w:r>
      <w:r>
        <w:rPr>
          <w:rFonts w:ascii="Times New Roman" w:cs="Times New Roman" w:eastAsia="Times New Roman" w:hAnsi="Times New Roman"/>
          <w:sz w:val="19"/>
          <w:szCs w:val="19"/>
          <w:b w:val="1"/>
          <w:bCs w:val="1"/>
          <w:i w:val="1"/>
          <w:iCs w:val="1"/>
          <w:color w:val="auto"/>
        </w:rPr>
        <w:t>Mine Safety Disclosures.</w:t>
      </w:r>
    </w:p>
    <w:p>
      <w:pPr>
        <w:spacing w:after="0" w:line="2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Not applicable.</w:t>
      </w: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241" w:lineRule="exact"/>
        <w:rPr>
          <w:sz w:val="20"/>
          <w:szCs w:val="20"/>
          <w:color w:val="auto"/>
        </w:rPr>
      </w:pPr>
    </w:p>
    <w:p>
      <w:pPr>
        <w:ind w:right="220"/>
        <w:spacing w:after="0" w:line="510" w:lineRule="auto"/>
        <w:rPr>
          <w:sz w:val="20"/>
          <w:szCs w:val="20"/>
          <w:color w:val="auto"/>
        </w:rPr>
      </w:pPr>
      <w:r>
        <w:rPr>
          <w:rFonts w:ascii="Times New Roman" w:cs="Times New Roman" w:eastAsia="Times New Roman" w:hAnsi="Times New Roman"/>
          <w:sz w:val="19"/>
          <w:szCs w:val="19"/>
          <w:b w:val="1"/>
          <w:bCs w:val="1"/>
          <w:color w:val="auto"/>
        </w:rPr>
        <w:t xml:space="preserve">Item 5. </w:t>
      </w:r>
      <w:r>
        <w:rPr>
          <w:rFonts w:ascii="Times New Roman" w:cs="Times New Roman" w:eastAsia="Times New Roman" w:hAnsi="Times New Roman"/>
          <w:sz w:val="19"/>
          <w:szCs w:val="19"/>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9"/>
          <w:szCs w:val="19"/>
          <w:b w:val="1"/>
          <w:bCs w:val="1"/>
          <w:color w:val="auto"/>
        </w:rPr>
        <w:t xml:space="preserve"> Market Information for Our Common Stock</w:t>
      </w:r>
    </w:p>
    <w:p>
      <w:pPr>
        <w:spacing w:after="0" w:line="1" w:lineRule="exact"/>
        <w:rPr>
          <w:sz w:val="20"/>
          <w:szCs w:val="20"/>
          <w:color w:val="auto"/>
        </w:rPr>
      </w:pPr>
    </w:p>
    <w:p>
      <w:pPr>
        <w:ind w:right="1860" w:firstLine="346"/>
        <w:spacing w:after="0" w:line="506" w:lineRule="auto"/>
        <w:rPr>
          <w:sz w:val="20"/>
          <w:szCs w:val="20"/>
          <w:color w:val="auto"/>
        </w:rPr>
      </w:pPr>
      <w:r>
        <w:rPr>
          <w:rFonts w:ascii="Times New Roman" w:cs="Times New Roman" w:eastAsia="Times New Roman" w:hAnsi="Times New Roman"/>
          <w:sz w:val="19"/>
          <w:szCs w:val="19"/>
          <w:color w:val="auto"/>
        </w:rPr>
        <w:t xml:space="preserve">Our common stock is traded on the New York Stock Exchange (“NYSE”) under the symbol “DY.” </w:t>
      </w:r>
      <w:r>
        <w:rPr>
          <w:rFonts w:ascii="Times New Roman" w:cs="Times New Roman" w:eastAsia="Times New Roman" w:hAnsi="Times New Roman"/>
          <w:sz w:val="19"/>
          <w:szCs w:val="19"/>
          <w:b w:val="1"/>
          <w:bCs w:val="1"/>
          <w:color w:val="auto"/>
        </w:rPr>
        <w:t>Holders</w:t>
      </w:r>
    </w:p>
    <w:p>
      <w:pPr>
        <w:ind w:right="320" w:firstLine="346"/>
        <w:spacing w:after="0" w:line="289" w:lineRule="auto"/>
        <w:rPr>
          <w:sz w:val="20"/>
          <w:szCs w:val="20"/>
          <w:color w:val="auto"/>
        </w:rPr>
      </w:pPr>
      <w:r>
        <w:rPr>
          <w:rFonts w:ascii="Times New Roman" w:cs="Times New Roman" w:eastAsia="Times New Roman" w:hAnsi="Times New Roman"/>
          <w:sz w:val="19"/>
          <w:szCs w:val="19"/>
          <w:color w:val="auto"/>
        </w:rPr>
        <w:t>As of February 25, 2025, there were approximately 546 holders of record of our $0.33 1/3 par value per share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Dividend Policy</w:t>
      </w:r>
    </w:p>
    <w:p>
      <w:pPr>
        <w:spacing w:after="0" w:line="249" w:lineRule="exact"/>
        <w:rPr>
          <w:sz w:val="20"/>
          <w:szCs w:val="20"/>
          <w:color w:val="auto"/>
        </w:rPr>
      </w:pPr>
    </w:p>
    <w:p>
      <w:pPr>
        <w:ind w:right="100" w:firstLine="346"/>
        <w:spacing w:after="0" w:line="262" w:lineRule="auto"/>
        <w:rPr>
          <w:sz w:val="20"/>
          <w:szCs w:val="20"/>
          <w:color w:val="auto"/>
        </w:rPr>
      </w:pPr>
      <w:r>
        <w:rPr>
          <w:rFonts w:ascii="Times New Roman" w:cs="Times New Roman" w:eastAsia="Times New Roman" w:hAnsi="Times New Roman"/>
          <w:sz w:val="19"/>
          <w:szCs w:val="19"/>
          <w:color w:val="auto"/>
        </w:rPr>
        <w:t>We have not paid cash dividends since 1982. Our Board of Directors occasionally evaluates the payment of a dividend based on our financial condition, profitability, cash flow, capital requirements, and the outlook of our business. We currently intend to retain any earnings for use in the business and other capital allocation strategies which may include investment in acquisitions and share repurchases. Consequently, we do not anticipate paying any cash dividends on our common stock in the foreseeable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Securities Authorized for Issuance Under Equity Compensation Plans</w:t>
      </w:r>
    </w:p>
    <w:p>
      <w:pPr>
        <w:spacing w:after="0" w:line="249" w:lineRule="exact"/>
        <w:rPr>
          <w:sz w:val="20"/>
          <w:szCs w:val="20"/>
          <w:color w:val="auto"/>
        </w:rPr>
      </w:pPr>
    </w:p>
    <w:p>
      <w:pPr>
        <w:jc w:val="both"/>
        <w:ind w:firstLine="346"/>
        <w:spacing w:after="0" w:line="271" w:lineRule="auto"/>
        <w:rPr>
          <w:sz w:val="20"/>
          <w:szCs w:val="20"/>
          <w:color w:val="auto"/>
        </w:rPr>
      </w:pPr>
      <w:r>
        <w:rPr>
          <w:rFonts w:ascii="Times New Roman" w:cs="Times New Roman" w:eastAsia="Times New Roman" w:hAnsi="Times New Roman"/>
          <w:sz w:val="19"/>
          <w:szCs w:val="19"/>
          <w:color w:val="auto"/>
        </w:rPr>
        <w:t>The information required by this item is hereby incorporated by reference from the section entitled “Equity Compensation Plan Information” found in our definitive proxy statement to be filed with the Securities and Exchange Commission pursuant to Regulation 14A.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Issuer Purchases of Equity Securities</w:t>
      </w:r>
    </w:p>
    <w:p>
      <w:pPr>
        <w:spacing w:after="0" w:line="249" w:lineRule="exact"/>
        <w:rPr>
          <w:sz w:val="20"/>
          <w:szCs w:val="20"/>
          <w:color w:val="auto"/>
        </w:rPr>
      </w:pPr>
    </w:p>
    <w:p>
      <w:pPr>
        <w:ind w:right="40" w:firstLine="346"/>
        <w:spacing w:after="0" w:line="289" w:lineRule="auto"/>
        <w:rPr>
          <w:sz w:val="20"/>
          <w:szCs w:val="20"/>
          <w:color w:val="auto"/>
        </w:rPr>
      </w:pPr>
      <w:r>
        <w:rPr>
          <w:rFonts w:ascii="Times New Roman" w:cs="Times New Roman" w:eastAsia="Times New Roman" w:hAnsi="Times New Roman"/>
          <w:sz w:val="19"/>
          <w:szCs w:val="19"/>
          <w:color w:val="auto"/>
        </w:rPr>
        <w:t>The following table summarizes the Company’s purchases of its common stock during the three months ended January 25, 2025:</w:t>
      </w:r>
    </w:p>
    <w:p>
      <w:pPr>
        <w:spacing w:after="0" w:line="148" w:lineRule="exact"/>
        <w:rPr>
          <w:sz w:val="20"/>
          <w:szCs w:val="20"/>
          <w:color w:val="auto"/>
        </w:rPr>
      </w:pPr>
    </w:p>
    <w:tbl>
      <w:tblPr>
        <w:tblLayout w:type="fixed"/>
        <w:tblInd w:w="1440" w:type="dxa"/>
        <w:tblCellMar>
          <w:top w:w="0" w:type="dxa"/>
          <w:left w:w="0" w:type="dxa"/>
          <w:bottom w:w="0" w:type="dxa"/>
          <w:right w:w="0" w:type="dxa"/>
        </w:tblCellMar>
      </w:tblPr>
      <w:tr>
        <w:trPr>
          <w:trHeight w:val="218"/>
        </w:trPr>
        <w:tc>
          <w:tcPr>
            <w:tcW w:w="1300" w:type="dxa"/>
            <w:vAlign w:val="bottom"/>
          </w:tcPr>
          <w:p>
            <w:pPr>
              <w:spacing w:after="0"/>
              <w:rPr>
                <w:sz w:val="18"/>
                <w:szCs w:val="18"/>
                <w:color w:val="auto"/>
              </w:rPr>
            </w:pPr>
          </w:p>
        </w:tc>
        <w:tc>
          <w:tcPr>
            <w:tcW w:w="1960" w:type="dxa"/>
            <w:vAlign w:val="bottom"/>
            <w:vMerge w:val="restart"/>
          </w:tcPr>
          <w:p>
            <w:pPr>
              <w:jc w:val="center"/>
              <w:ind w:left="564"/>
              <w:spacing w:after="0"/>
              <w:rPr>
                <w:sz w:val="20"/>
                <w:szCs w:val="20"/>
                <w:color w:val="auto"/>
              </w:rPr>
            </w:pPr>
            <w:r>
              <w:rPr>
                <w:rFonts w:ascii="Times New Roman" w:cs="Times New Roman" w:eastAsia="Times New Roman" w:hAnsi="Times New Roman"/>
                <w:sz w:val="19"/>
                <w:szCs w:val="19"/>
                <w:b w:val="1"/>
                <w:bCs w:val="1"/>
                <w:color w:val="auto"/>
                <w:w w:val="96"/>
              </w:rPr>
              <w:t>Total</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Average</w:t>
            </w:r>
          </w:p>
        </w:tc>
        <w:tc>
          <w:tcPr>
            <w:tcW w:w="20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Total Number of</w:t>
            </w:r>
          </w:p>
        </w:tc>
        <w:tc>
          <w:tcPr>
            <w:tcW w:w="2000" w:type="dxa"/>
            <w:vAlign w:val="bottom"/>
            <w:vMerge w:val="restart"/>
          </w:tcPr>
          <w:p>
            <w:pPr>
              <w:jc w:val="center"/>
              <w:ind w:left="64"/>
              <w:spacing w:after="0"/>
              <w:rPr>
                <w:sz w:val="20"/>
                <w:szCs w:val="20"/>
                <w:color w:val="auto"/>
              </w:rPr>
            </w:pPr>
            <w:r>
              <w:rPr>
                <w:rFonts w:ascii="Times New Roman" w:cs="Times New Roman" w:eastAsia="Times New Roman" w:hAnsi="Times New Roman"/>
                <w:sz w:val="19"/>
                <w:szCs w:val="19"/>
                <w:b w:val="1"/>
                <w:bCs w:val="1"/>
                <w:color w:val="auto"/>
              </w:rPr>
              <w:t>Maximum Number of</w:t>
            </w:r>
          </w:p>
        </w:tc>
        <w:tc>
          <w:tcPr>
            <w:tcW w:w="0" w:type="dxa"/>
            <w:vAlign w:val="bottom"/>
          </w:tcPr>
          <w:p>
            <w:pPr>
              <w:spacing w:after="0"/>
              <w:rPr>
                <w:sz w:val="1"/>
                <w:szCs w:val="1"/>
                <w:color w:val="auto"/>
              </w:rPr>
            </w:pPr>
          </w:p>
        </w:tc>
      </w:tr>
      <w:tr>
        <w:trPr>
          <w:trHeight w:val="192"/>
        </w:trPr>
        <w:tc>
          <w:tcPr>
            <w:tcW w:w="130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040" w:type="dxa"/>
            <w:vAlign w:val="bottom"/>
          </w:tcPr>
          <w:p>
            <w:pPr>
              <w:jc w:val="center"/>
              <w:spacing w:after="0" w:line="192" w:lineRule="exact"/>
              <w:rPr>
                <w:sz w:val="20"/>
                <w:szCs w:val="20"/>
                <w:color w:val="auto"/>
              </w:rPr>
            </w:pPr>
            <w:r>
              <w:rPr>
                <w:rFonts w:ascii="Times New Roman" w:cs="Times New Roman" w:eastAsia="Times New Roman" w:hAnsi="Times New Roman"/>
                <w:sz w:val="19"/>
                <w:szCs w:val="19"/>
                <w:b w:val="1"/>
                <w:bCs w:val="1"/>
                <w:color w:val="auto"/>
              </w:rPr>
              <w:t>Shares Purchased as</w:t>
            </w: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00" w:type="dxa"/>
            <w:vAlign w:val="bottom"/>
          </w:tcPr>
          <w:p>
            <w:pPr>
              <w:spacing w:after="0"/>
              <w:rPr>
                <w:sz w:val="16"/>
                <w:szCs w:val="16"/>
                <w:color w:val="auto"/>
              </w:rPr>
            </w:pPr>
          </w:p>
        </w:tc>
        <w:tc>
          <w:tcPr>
            <w:tcW w:w="1960" w:type="dxa"/>
            <w:vAlign w:val="bottom"/>
          </w:tcPr>
          <w:p>
            <w:pPr>
              <w:jc w:val="center"/>
              <w:ind w:left="564"/>
              <w:spacing w:after="0" w:line="192" w:lineRule="exact"/>
              <w:rPr>
                <w:sz w:val="20"/>
                <w:szCs w:val="20"/>
                <w:color w:val="auto"/>
              </w:rPr>
            </w:pPr>
            <w:r>
              <w:rPr>
                <w:rFonts w:ascii="Times New Roman" w:cs="Times New Roman" w:eastAsia="Times New Roman" w:hAnsi="Times New Roman"/>
                <w:sz w:val="19"/>
                <w:szCs w:val="19"/>
                <w:b w:val="1"/>
                <w:bCs w:val="1"/>
                <w:color w:val="auto"/>
              </w:rPr>
              <w:t>Number of</w:t>
            </w:r>
          </w:p>
        </w:tc>
        <w:tc>
          <w:tcPr>
            <w:tcW w:w="1020" w:type="dxa"/>
            <w:vAlign w:val="bottom"/>
          </w:tcPr>
          <w:p>
            <w:pPr>
              <w:jc w:val="center"/>
              <w:spacing w:after="0" w:line="192" w:lineRule="exact"/>
              <w:rPr>
                <w:sz w:val="20"/>
                <w:szCs w:val="20"/>
                <w:color w:val="auto"/>
              </w:rPr>
            </w:pPr>
            <w:r>
              <w:rPr>
                <w:rFonts w:ascii="Times New Roman" w:cs="Times New Roman" w:eastAsia="Times New Roman" w:hAnsi="Times New Roman"/>
                <w:sz w:val="19"/>
                <w:szCs w:val="19"/>
                <w:b w:val="1"/>
                <w:bCs w:val="1"/>
                <w:color w:val="auto"/>
                <w:w w:val="99"/>
              </w:rPr>
              <w:t>Price</w:t>
            </w:r>
          </w:p>
        </w:tc>
        <w:tc>
          <w:tcPr>
            <w:tcW w:w="2040" w:type="dxa"/>
            <w:vAlign w:val="bottom"/>
          </w:tcPr>
          <w:p>
            <w:pPr>
              <w:jc w:val="center"/>
              <w:spacing w:after="0" w:line="192" w:lineRule="exact"/>
              <w:rPr>
                <w:sz w:val="20"/>
                <w:szCs w:val="20"/>
                <w:color w:val="auto"/>
              </w:rPr>
            </w:pPr>
            <w:r>
              <w:rPr>
                <w:rFonts w:ascii="Times New Roman" w:cs="Times New Roman" w:eastAsia="Times New Roman" w:hAnsi="Times New Roman"/>
                <w:sz w:val="19"/>
                <w:szCs w:val="19"/>
                <w:b w:val="1"/>
                <w:bCs w:val="1"/>
                <w:color w:val="auto"/>
              </w:rPr>
              <w:t>Part of Publicly</w:t>
            </w:r>
          </w:p>
        </w:tc>
        <w:tc>
          <w:tcPr>
            <w:tcW w:w="2000" w:type="dxa"/>
            <w:vAlign w:val="bottom"/>
          </w:tcPr>
          <w:p>
            <w:pPr>
              <w:jc w:val="center"/>
              <w:ind w:left="64"/>
              <w:spacing w:after="0" w:line="192" w:lineRule="exact"/>
              <w:rPr>
                <w:sz w:val="20"/>
                <w:szCs w:val="20"/>
                <w:color w:val="auto"/>
              </w:rPr>
            </w:pPr>
            <w:r>
              <w:rPr>
                <w:rFonts w:ascii="Times New Roman" w:cs="Times New Roman" w:eastAsia="Times New Roman" w:hAnsi="Times New Roman"/>
                <w:sz w:val="19"/>
                <w:szCs w:val="19"/>
                <w:b w:val="1"/>
                <w:bCs w:val="1"/>
                <w:color w:val="auto"/>
              </w:rPr>
              <w:t>Shares that May Yet</w:t>
            </w:r>
          </w:p>
        </w:tc>
        <w:tc>
          <w:tcPr>
            <w:tcW w:w="0" w:type="dxa"/>
            <w:vAlign w:val="bottom"/>
          </w:tcPr>
          <w:p>
            <w:pPr>
              <w:spacing w:after="0"/>
              <w:rPr>
                <w:sz w:val="1"/>
                <w:szCs w:val="1"/>
                <w:color w:val="auto"/>
              </w:rPr>
            </w:pPr>
          </w:p>
        </w:tc>
      </w:tr>
      <w:tr>
        <w:trPr>
          <w:trHeight w:val="192"/>
        </w:trPr>
        <w:tc>
          <w:tcPr>
            <w:tcW w:w="130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Period</w:t>
            </w:r>
          </w:p>
        </w:tc>
        <w:tc>
          <w:tcPr>
            <w:tcW w:w="1960" w:type="dxa"/>
            <w:vAlign w:val="bottom"/>
          </w:tcPr>
          <w:p>
            <w:pPr>
              <w:jc w:val="center"/>
              <w:ind w:left="564"/>
              <w:spacing w:after="0" w:line="192" w:lineRule="exact"/>
              <w:rPr>
                <w:sz w:val="20"/>
                <w:szCs w:val="20"/>
                <w:color w:val="auto"/>
              </w:rPr>
            </w:pPr>
            <w:r>
              <w:rPr>
                <w:rFonts w:ascii="Times New Roman" w:cs="Times New Roman" w:eastAsia="Times New Roman" w:hAnsi="Times New Roman"/>
                <w:sz w:val="19"/>
                <w:szCs w:val="19"/>
                <w:b w:val="1"/>
                <w:bCs w:val="1"/>
                <w:color w:val="auto"/>
                <w:w w:val="98"/>
              </w:rPr>
              <w:t>Shares</w:t>
            </w:r>
          </w:p>
        </w:tc>
        <w:tc>
          <w:tcPr>
            <w:tcW w:w="1020" w:type="dxa"/>
            <w:vAlign w:val="bottom"/>
          </w:tcPr>
          <w:p>
            <w:pPr>
              <w:jc w:val="center"/>
              <w:spacing w:after="0" w:line="192" w:lineRule="exact"/>
              <w:rPr>
                <w:sz w:val="20"/>
                <w:szCs w:val="20"/>
                <w:color w:val="auto"/>
              </w:rPr>
            </w:pPr>
            <w:r>
              <w:rPr>
                <w:rFonts w:ascii="Times New Roman" w:cs="Times New Roman" w:eastAsia="Times New Roman" w:hAnsi="Times New Roman"/>
                <w:sz w:val="19"/>
                <w:szCs w:val="19"/>
                <w:b w:val="1"/>
                <w:bCs w:val="1"/>
                <w:color w:val="auto"/>
                <w:w w:val="99"/>
              </w:rPr>
              <w:t>Paid Per</w:t>
            </w:r>
          </w:p>
        </w:tc>
        <w:tc>
          <w:tcPr>
            <w:tcW w:w="2040" w:type="dxa"/>
            <w:vAlign w:val="bottom"/>
          </w:tcPr>
          <w:p>
            <w:pPr>
              <w:jc w:val="center"/>
              <w:spacing w:after="0" w:line="192" w:lineRule="exact"/>
              <w:rPr>
                <w:sz w:val="20"/>
                <w:szCs w:val="20"/>
                <w:color w:val="auto"/>
              </w:rPr>
            </w:pPr>
            <w:r>
              <w:rPr>
                <w:rFonts w:ascii="Times New Roman" w:cs="Times New Roman" w:eastAsia="Times New Roman" w:hAnsi="Times New Roman"/>
                <w:sz w:val="19"/>
                <w:szCs w:val="19"/>
                <w:b w:val="1"/>
                <w:bCs w:val="1"/>
                <w:color w:val="auto"/>
              </w:rPr>
              <w:t>Announced Plans or</w:t>
            </w:r>
          </w:p>
        </w:tc>
        <w:tc>
          <w:tcPr>
            <w:tcW w:w="2000" w:type="dxa"/>
            <w:vAlign w:val="bottom"/>
          </w:tcPr>
          <w:p>
            <w:pPr>
              <w:jc w:val="center"/>
              <w:ind w:left="44"/>
              <w:spacing w:after="0" w:line="192" w:lineRule="exact"/>
              <w:rPr>
                <w:sz w:val="20"/>
                <w:szCs w:val="20"/>
                <w:color w:val="auto"/>
              </w:rPr>
            </w:pPr>
            <w:r>
              <w:rPr>
                <w:rFonts w:ascii="Times New Roman" w:cs="Times New Roman" w:eastAsia="Times New Roman" w:hAnsi="Times New Roman"/>
                <w:sz w:val="19"/>
                <w:szCs w:val="19"/>
                <w:b w:val="1"/>
                <w:bCs w:val="1"/>
                <w:color w:val="auto"/>
              </w:rPr>
              <w:t>Be Purchased Under</w:t>
            </w:r>
          </w:p>
        </w:tc>
        <w:tc>
          <w:tcPr>
            <w:tcW w:w="0" w:type="dxa"/>
            <w:vAlign w:val="bottom"/>
          </w:tcPr>
          <w:p>
            <w:pPr>
              <w:spacing w:after="0"/>
              <w:rPr>
                <w:sz w:val="1"/>
                <w:szCs w:val="1"/>
                <w:color w:val="auto"/>
              </w:rPr>
            </w:pPr>
          </w:p>
        </w:tc>
      </w:tr>
      <w:tr>
        <w:trPr>
          <w:trHeight w:val="252"/>
        </w:trPr>
        <w:tc>
          <w:tcPr>
            <w:tcW w:w="1300" w:type="dxa"/>
            <w:vAlign w:val="bottom"/>
            <w:vMerge w:val="continue"/>
          </w:tcPr>
          <w:p>
            <w:pPr>
              <w:spacing w:after="0"/>
              <w:rPr>
                <w:sz w:val="21"/>
                <w:szCs w:val="21"/>
                <w:color w:val="auto"/>
              </w:rPr>
            </w:pPr>
          </w:p>
        </w:tc>
        <w:tc>
          <w:tcPr>
            <w:tcW w:w="1960" w:type="dxa"/>
            <w:vAlign w:val="bottom"/>
          </w:tcPr>
          <w:p>
            <w:pPr>
              <w:jc w:val="center"/>
              <w:ind w:left="564"/>
              <w:spacing w:after="0" w:line="252" w:lineRule="exact"/>
              <w:rPr>
                <w:sz w:val="20"/>
                <w:szCs w:val="20"/>
                <w:color w:val="auto"/>
              </w:rPr>
            </w:pPr>
            <w:r>
              <w:rPr>
                <w:rFonts w:ascii="Times New Roman" w:cs="Times New Roman" w:eastAsia="Times New Roman" w:hAnsi="Times New Roman"/>
                <w:sz w:val="19"/>
                <w:szCs w:val="19"/>
                <w:b w:val="1"/>
                <w:bCs w:val="1"/>
                <w:color w:val="auto"/>
                <w:w w:val="97"/>
              </w:rPr>
              <w:t xml:space="preserve">Purchased </w:t>
            </w:r>
            <w:r>
              <w:rPr>
                <w:rFonts w:ascii="Times New Roman" w:cs="Times New Roman" w:eastAsia="Times New Roman" w:hAnsi="Times New Roman"/>
                <w:sz w:val="24"/>
                <w:szCs w:val="24"/>
                <w:b w:val="1"/>
                <w:bCs w:val="1"/>
                <w:color w:val="auto"/>
                <w:w w:val="97"/>
                <w:vertAlign w:val="superscript"/>
              </w:rPr>
              <w:t>(1)</w:t>
            </w:r>
          </w:p>
        </w:tc>
        <w:tc>
          <w:tcPr>
            <w:tcW w:w="1020" w:type="dxa"/>
            <w:vAlign w:val="bottom"/>
          </w:tcPr>
          <w:p>
            <w:pPr>
              <w:jc w:val="center"/>
              <w:spacing w:after="0" w:line="252" w:lineRule="exact"/>
              <w:rPr>
                <w:sz w:val="20"/>
                <w:szCs w:val="20"/>
                <w:color w:val="auto"/>
              </w:rPr>
            </w:pPr>
            <w:r>
              <w:rPr>
                <w:rFonts w:ascii="Times New Roman" w:cs="Times New Roman" w:eastAsia="Times New Roman" w:hAnsi="Times New Roman"/>
                <w:sz w:val="19"/>
                <w:szCs w:val="19"/>
                <w:b w:val="1"/>
                <w:bCs w:val="1"/>
                <w:color w:val="auto"/>
                <w:w w:val="93"/>
              </w:rPr>
              <w:t xml:space="preserve">Share </w:t>
            </w:r>
            <w:r>
              <w:rPr>
                <w:rFonts w:ascii="Times New Roman" w:cs="Times New Roman" w:eastAsia="Times New Roman" w:hAnsi="Times New Roman"/>
                <w:sz w:val="24"/>
                <w:szCs w:val="24"/>
                <w:b w:val="1"/>
                <w:bCs w:val="1"/>
                <w:color w:val="auto"/>
                <w:w w:val="93"/>
                <w:vertAlign w:val="superscript"/>
              </w:rPr>
              <w:t>(2)</w:t>
            </w:r>
          </w:p>
        </w:tc>
        <w:tc>
          <w:tcPr>
            <w:tcW w:w="20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Programs</w:t>
            </w:r>
          </w:p>
        </w:tc>
        <w:tc>
          <w:tcPr>
            <w:tcW w:w="2000" w:type="dxa"/>
            <w:vAlign w:val="bottom"/>
          </w:tcPr>
          <w:p>
            <w:pPr>
              <w:jc w:val="center"/>
              <w:ind w:left="64"/>
              <w:spacing w:after="0"/>
              <w:rPr>
                <w:sz w:val="20"/>
                <w:szCs w:val="20"/>
                <w:color w:val="auto"/>
              </w:rPr>
            </w:pPr>
            <w:r>
              <w:rPr>
                <w:rFonts w:ascii="Times New Roman" w:cs="Times New Roman" w:eastAsia="Times New Roman" w:hAnsi="Times New Roman"/>
                <w:sz w:val="19"/>
                <w:szCs w:val="19"/>
                <w:b w:val="1"/>
                <w:bCs w:val="1"/>
                <w:color w:val="auto"/>
              </w:rPr>
              <w:t>the Plans or Programs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6226810" cy="1892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extLst>
                        <a:ext uri="{28A0092B-C50C-407E-A947-70E740481C1C}"/>
                      </a:extLst>
                    </a:blip>
                    <a:srcRect/>
                    <a:stretch>
                      <a:fillRect/>
                    </a:stretch>
                  </pic:blipFill>
                  <pic:spPr bwMode="auto">
                    <a:xfrm>
                      <a:off x="0" y="0"/>
                      <a:ext cx="6226810" cy="189230"/>
                    </a:xfrm>
                    <a:prstGeom prst="rect">
                      <a:avLst/>
                    </a:prstGeom>
                    <a:noFill/>
                  </pic:spPr>
                </pic:pic>
              </a:graphicData>
            </a:graphic>
          </wp:anchor>
        </w:drawing>
      </w:r>
    </w:p>
    <w:p>
      <w:pPr>
        <w:sectPr>
          <w:pgSz w:w="11880" w:h="15480" w:orient="portrait"/>
          <w:cols w:equalWidth="0" w:num="1">
            <w:col w:w="9820"/>
          </w:cols>
          <w:pgMar w:left="1100" w:top="897" w:right="960" w:bottom="0" w:gutter="0" w:footer="0" w:header="0"/>
        </w:sectPr>
      </w:pPr>
    </w:p>
    <w:tbl>
      <w:tblPr>
        <w:tblLayout w:type="fixed"/>
        <w:tblInd w:w="0" w:type="dxa"/>
        <w:tblCellMar>
          <w:top w:w="0" w:type="dxa"/>
          <w:left w:w="0" w:type="dxa"/>
          <w:bottom w:w="0" w:type="dxa"/>
          <w:right w:w="0" w:type="dxa"/>
        </w:tblCellMar>
      </w:tblPr>
      <w:tr>
        <w:trPr>
          <w:trHeight w:val="266"/>
        </w:trPr>
        <w:tc>
          <w:tcPr>
            <w:tcW w:w="34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October 27, 2024 - November 23, 2024</w:t>
            </w:r>
          </w:p>
        </w:tc>
        <w:tc>
          <w:tcPr>
            <w:tcW w:w="60" w:type="dxa"/>
            <w:vAlign w:val="bottom"/>
          </w:tcPr>
          <w:p>
            <w:pPr>
              <w:spacing w:after="0"/>
              <w:rPr>
                <w:sz w:val="23"/>
                <w:szCs w:val="23"/>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3"/>
                <w:szCs w:val="23"/>
                <w:color w:val="auto"/>
              </w:rPr>
            </w:pPr>
          </w:p>
        </w:tc>
        <w:tc>
          <w:tcPr>
            <w:tcW w:w="206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9"/>
                <w:szCs w:val="19"/>
                <w:color w:val="auto"/>
              </w:rPr>
              <w:t>—</w:t>
            </w:r>
          </w:p>
        </w:tc>
      </w:tr>
      <w:tr>
        <w:trPr>
          <w:trHeight w:val="288"/>
        </w:trPr>
        <w:tc>
          <w:tcPr>
            <w:tcW w:w="34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November 24, 2024 - December 21, 2024</w:t>
            </w:r>
          </w:p>
        </w:tc>
        <w:tc>
          <w:tcPr>
            <w:tcW w:w="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2060" w:type="dxa"/>
            <w:vAlign w:val="bottom"/>
          </w:tcPr>
          <w:p>
            <w:pPr>
              <w:ind w:left="960"/>
              <w:spacing w:after="0"/>
              <w:rPr>
                <w:sz w:val="20"/>
                <w:szCs w:val="20"/>
                <w:color w:val="auto"/>
              </w:rPr>
            </w:pPr>
            <w:r>
              <w:rPr>
                <w:rFonts w:ascii="Times New Roman" w:cs="Times New Roman" w:eastAsia="Times New Roman" w:hAnsi="Times New Roman"/>
                <w:sz w:val="19"/>
                <w:szCs w:val="19"/>
                <w:color w:val="auto"/>
              </w:rPr>
              <w:t>—</w:t>
            </w:r>
          </w:p>
        </w:tc>
      </w:tr>
      <w:tr>
        <w:trPr>
          <w:trHeight w:val="288"/>
        </w:trPr>
        <w:tc>
          <w:tcPr>
            <w:tcW w:w="34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December 22, 2024 - January 25, 2025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179.27</w:t>
            </w:r>
          </w:p>
        </w:tc>
        <w:tc>
          <w:tcPr>
            <w:tcW w:w="80" w:type="dxa"/>
            <w:vAlign w:val="bottom"/>
          </w:tcPr>
          <w:p>
            <w:pPr>
              <w:spacing w:after="0"/>
              <w:rPr>
                <w:sz w:val="24"/>
                <w:szCs w:val="24"/>
                <w:color w:val="auto"/>
              </w:rPr>
            </w:pPr>
          </w:p>
        </w:tc>
        <w:tc>
          <w:tcPr>
            <w:tcW w:w="2060" w:type="dxa"/>
            <w:vAlign w:val="bottom"/>
          </w:tcPr>
          <w:p>
            <w:pPr>
              <w:ind w:left="960"/>
              <w:spacing w:after="0"/>
              <w:rPr>
                <w:sz w:val="20"/>
                <w:szCs w:val="20"/>
                <w:color w:val="auto"/>
              </w:rPr>
            </w:pPr>
            <w:r>
              <w:rPr>
                <w:rFonts w:ascii="Times New Roman" w:cs="Times New Roman" w:eastAsia="Times New Roman" w:hAnsi="Times New Roman"/>
                <w:sz w:val="19"/>
                <w:szCs w:val="19"/>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-174625</wp:posOffset>
                </wp:positionV>
                <wp:extent cx="6226175" cy="182245"/>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6175" cy="182245"/>
                        </a:xfrm>
                        <a:prstGeom prst="rect">
                          <a:avLst/>
                        </a:prstGeom>
                        <a:solidFill>
                          <a:srgbClr val="D5D5D5"/>
                        </a:solidFill>
                      </wps:spPr>
                      <wps:bodyPr/>
                    </wps:wsp>
                  </a:graphicData>
                </a:graphic>
              </wp:anchor>
            </w:drawing>
          </mc:Choice>
          <mc:Fallback>
            <w:pict>
              <v:rect id="Shape 36" o:spid="_x0000_s1061" style="position:absolute;margin-left:0.5pt;margin-top:-13.7499pt;width:490.25pt;height:14.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D5D5" stroked="f"/>
            </w:pict>
          </mc:Fallback>
        </mc:AlternateConten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187" w:lineRule="exact"/>
        <w:rPr>
          <w:sz w:val="20"/>
          <w:szCs w:val="20"/>
          <w:color w:val="auto"/>
        </w:rPr>
      </w:pPr>
    </w:p>
    <w:p>
      <w:pPr>
        <w:sectPr>
          <w:pgSz w:w="11880" w:h="15480" w:orient="portrait"/>
          <w:cols w:equalWidth="0" w:num="2">
            <w:col w:w="8040" w:space="720"/>
            <w:col w:w="1060"/>
          </w:cols>
          <w:pgMar w:left="1100" w:top="897" w:right="960" w:bottom="0" w:gutter="0" w:footer="0" w:header="0"/>
          <w:type w:val="continuous"/>
        </w:sectPr>
      </w:pPr>
    </w:p>
    <w:p>
      <w:pPr>
        <w:ind w:left="180" w:hanging="170"/>
        <w:spacing w:after="0"/>
        <w:tabs>
          <w:tab w:leader="none" w:pos="18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shares repurchased have been subsequently canceled.</w:t>
      </w:r>
    </w:p>
    <w:p>
      <w:pPr>
        <w:ind w:left="200" w:hanging="190"/>
        <w:spacing w:after="0" w:line="217" w:lineRule="auto"/>
        <w:tabs>
          <w:tab w:leader="none" w:pos="200"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Average price paid per share excludes 1% excise tax on share repurchases.</w:t>
      </w:r>
    </w:p>
    <w:p>
      <w:pPr>
        <w:ind w:right="100" w:firstLine="10"/>
        <w:spacing w:after="0" w:line="260" w:lineRule="auto"/>
        <w:tabs>
          <w:tab w:leader="none" w:pos="193"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August 23, 2023, the Company announced that its Board of Directors authorized a new $150.0 million program to repurchase shares of the Company’s outstanding common stock through February 2025 in open market or private transactions. During the fourth quarter of fiscal 2025 we repurchased 200,000 shares of common stock, at an average price of $179.27, for $35.9 million. As of January 25, 2025, $55.0 million of the authorization remained available for repurchases. On February 26,</w:t>
      </w:r>
    </w:p>
    <w:p>
      <w:pPr>
        <w:sectPr>
          <w:pgSz w:w="11880" w:h="15480" w:orient="portrait"/>
          <w:cols w:equalWidth="0" w:num="1">
            <w:col w:w="9820"/>
          </w:cols>
          <w:pgMar w:left="1100" w:top="897" w:right="960" w:bottom="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254000</wp:posOffset>
            </wp:positionV>
            <wp:extent cx="76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254000</wp:posOffset>
            </wp:positionV>
            <wp:extent cx="76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3">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20"/>
          </w:cols>
          <w:pgMar w:left="1100" w:top="897" w:right="960" w:bottom="0" w:gutter="0" w:footer="0" w:header="0"/>
          <w:type w:val="continuous"/>
        </w:sectPr>
      </w:pPr>
    </w:p>
    <w:bookmarkStart w:id="27" w:name="page28"/>
    <w:bookmarkEnd w:id="27"/>
    <w:p>
      <w:pPr>
        <w:spacing w:after="0" w:line="265"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t>2025, the Company announced that its Board of Directors had authorized a new $150.0 million program to repurchase shares of the Company’s outstanding common stock through August 2026 in open market or private transactions. The new authorization replaces the remaining $55.0 million that was available under the prior authorization. As of February 28, 2025, the full $150.0 million of the new authorization was available for repurchases.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Performance Graph</w:t>
      </w:r>
    </w:p>
    <w:p>
      <w:pPr>
        <w:spacing w:after="0" w:line="249" w:lineRule="exact"/>
        <w:rPr>
          <w:sz w:val="20"/>
          <w:szCs w:val="20"/>
          <w:color w:val="auto"/>
        </w:rPr>
      </w:pPr>
    </w:p>
    <w:p>
      <w:pPr>
        <w:ind w:right="40" w:firstLine="346"/>
        <w:spacing w:after="0" w:line="260" w:lineRule="auto"/>
        <w:rPr>
          <w:sz w:val="20"/>
          <w:szCs w:val="20"/>
          <w:color w:val="auto"/>
        </w:rPr>
      </w:pPr>
      <w:r>
        <w:rPr>
          <w:rFonts w:ascii="Times New Roman" w:cs="Times New Roman" w:eastAsia="Times New Roman" w:hAnsi="Times New Roman"/>
          <w:sz w:val="19"/>
          <w:szCs w:val="19"/>
          <w:color w:val="auto"/>
        </w:rPr>
        <w:t>The performance graph below compares the cumulative total return for our common stock with the cumulative total return (including reinvestment of dividends) of the Standard &amp; Poor’s (S&amp;P) 500 Composite Stock Index and that of a selected peer group for fiscal 2021 through fiscal 2025. The selected peer group consists of MasTec, Inc., Quanta Services, Inc., MYR Group, Inc., and Primoris Services Corporation. The graph assumes an investment of $100 in our common stock and in each of the respective indices noted on January 31, 2020. The comparisons in the graph are required by the Securities and Exchange Commission and are not intended to forecast or be indicative of the possible future performance of our common stock.</w:t>
      </w:r>
    </w:p>
    <w:p>
      <w:pPr>
        <w:spacing w:after="0" w:line="35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COMPARISON OF 5 YEAR CUMULATIVE TOTAL RETURN*</w:t>
      </w:r>
    </w:p>
    <w:p>
      <w:pPr>
        <w:spacing w:after="0" w:line="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Among Dycom Industries, Inc., the S&amp;P 500 Index,</w:t>
      </w:r>
    </w:p>
    <w:p>
      <w:pPr>
        <w:spacing w:after="0" w:line="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the S&amp;P Composite 1500 Construction &amp; Engineering Index, and a Peer Group</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12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$700</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90"/>
        </w:trPr>
        <w:tc>
          <w:tcPr>
            <w:tcW w:w="112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$600</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90"/>
        </w:trPr>
        <w:tc>
          <w:tcPr>
            <w:tcW w:w="112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$500</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90"/>
        </w:trPr>
        <w:tc>
          <w:tcPr>
            <w:tcW w:w="112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$400</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90"/>
        </w:trPr>
        <w:tc>
          <w:tcPr>
            <w:tcW w:w="112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$300</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90"/>
        </w:trPr>
        <w:tc>
          <w:tcPr>
            <w:tcW w:w="112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$200</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90"/>
        </w:trPr>
        <w:tc>
          <w:tcPr>
            <w:tcW w:w="112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$100</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54"/>
        </w:trPr>
        <w:tc>
          <w:tcPr>
            <w:tcW w:w="112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$0</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7"/>
        </w:trPr>
        <w:tc>
          <w:tcPr>
            <w:tcW w:w="112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1/31/20</w:t>
            </w:r>
          </w:p>
        </w:tc>
        <w:tc>
          <w:tcPr>
            <w:tcW w:w="13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1/31/21</w:t>
            </w:r>
          </w:p>
        </w:tc>
        <w:tc>
          <w:tcPr>
            <w:tcW w:w="13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1/31/22</w:t>
            </w:r>
          </w:p>
        </w:tc>
        <w:tc>
          <w:tcPr>
            <w:tcW w:w="13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1/28/23</w:t>
            </w:r>
          </w:p>
        </w:tc>
        <w:tc>
          <w:tcPr>
            <w:tcW w:w="13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1/27/24</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1/25/25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-2356485</wp:posOffset>
            </wp:positionV>
            <wp:extent cx="4447540" cy="2190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6">
                      <a:extLst>
                        <a:ext uri="{28A0092B-C50C-407E-A947-70E740481C1C}"/>
                      </a:extLst>
                    </a:blip>
                    <a:srcRect/>
                    <a:stretch>
                      <a:fillRect/>
                    </a:stretch>
                  </pic:blipFill>
                  <pic:spPr bwMode="auto">
                    <a:xfrm>
                      <a:off x="0" y="0"/>
                      <a:ext cx="4447540" cy="2190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640"/>
        <w:spacing w:after="0"/>
        <w:rPr>
          <w:sz w:val="20"/>
          <w:szCs w:val="20"/>
          <w:color w:val="auto"/>
        </w:rPr>
      </w:pPr>
      <w:r>
        <w:rPr>
          <w:sz w:val="1"/>
          <w:szCs w:val="1"/>
          <w:color w:val="auto"/>
        </w:rPr>
        <w:drawing>
          <wp:inline distT="0" distB="0" distL="0" distR="0">
            <wp:extent cx="287655" cy="6858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a:extLst>
                        <a:ext uri="{28A0092B-C50C-407E-A947-70E740481C1C}"/>
                      </a:extLst>
                    </a:blip>
                    <a:srcRect/>
                    <a:stretch>
                      <a:fillRect/>
                    </a:stretch>
                  </pic:blipFill>
                  <pic:spPr bwMode="auto">
                    <a:xfrm>
                      <a:off x="0" y="0"/>
                      <a:ext cx="287655" cy="6858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 xml:space="preserve"> Dycom Industries, Inc.        </w:t>
      </w:r>
      <w:r>
        <w:rPr>
          <w:sz w:val="1"/>
          <w:szCs w:val="1"/>
          <w:color w:val="auto"/>
        </w:rPr>
        <w:drawing>
          <wp:inline distT="0" distB="0" distL="0" distR="0">
            <wp:extent cx="342900" cy="1016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8">
                      <a:extLst>
                        <a:ext uri="{28A0092B-C50C-407E-A947-70E740481C1C}"/>
                      </a:extLst>
                    </a:blip>
                    <a:srcRect/>
                    <a:stretch>
                      <a:fillRect/>
                    </a:stretch>
                  </pic:blipFill>
                  <pic:spPr bwMode="auto">
                    <a:xfrm>
                      <a:off x="0" y="0"/>
                      <a:ext cx="342900" cy="10160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 xml:space="preserve">S&amp;P 500        </w:t>
      </w:r>
      <w:r>
        <w:rPr>
          <w:sz w:val="1"/>
          <w:szCs w:val="1"/>
          <w:color w:val="auto"/>
        </w:rPr>
        <w:drawing>
          <wp:inline distT="0" distB="0" distL="0" distR="0">
            <wp:extent cx="287655" cy="1016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9">
                      <a:extLst>
                        <a:ext uri="{28A0092B-C50C-407E-A947-70E740481C1C}"/>
                      </a:extLst>
                    </a:blip>
                    <a:srcRect/>
                    <a:stretch>
                      <a:fillRect/>
                    </a:stretch>
                  </pic:blipFill>
                  <pic:spPr bwMode="auto">
                    <a:xfrm>
                      <a:off x="0" y="0"/>
                      <a:ext cx="287655" cy="10160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 xml:space="preserve"> Peer Group</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*$100 invested on 1/31/20 in stock or index, including reinvestment of dividends.</w:t>
      </w:r>
    </w:p>
    <w:p>
      <w:pPr>
        <w:spacing w:after="0" w:line="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Indexes calculated on month-end basis.</w:t>
      </w:r>
    </w:p>
    <w:p>
      <w:pPr>
        <w:spacing w:after="0" w:line="16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Copyright© 2025 Standard &amp; Poor's, a division of S&amp;P Global. All rights reserved.</w:t>
      </w:r>
    </w:p>
    <w:p>
      <w:pPr>
        <w:sectPr>
          <w:pgSz w:w="11880" w:h="15480" w:orient="portrait"/>
          <w:cols w:equalWidth="0" w:num="1">
            <w:col w:w="9800"/>
          </w:cols>
          <w:pgMar w:left="1000" w:top="89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254000</wp:posOffset>
            </wp:positionV>
            <wp:extent cx="76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0">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254000</wp:posOffset>
            </wp:positionV>
            <wp:extent cx="76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1">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00"/>
          </w:cols>
          <w:pgMar w:left="1000" w:top="897" w:right="1080" w:bottom="0" w:gutter="0" w:footer="0" w:header="0"/>
          <w:type w:val="continuous"/>
        </w:sectPr>
      </w:pPr>
    </w:p>
    <w:bookmarkStart w:id="28" w:name="page29"/>
    <w:bookmarkEnd w:id="28"/>
    <w:p>
      <w:pPr>
        <w:ind w:left="6"/>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t xml:space="preserve">Item 6. </w:t>
      </w:r>
      <w:r>
        <w:rPr>
          <w:rFonts w:ascii="Times New Roman" w:cs="Times New Roman" w:eastAsia="Times New Roman" w:hAnsi="Times New Roman"/>
          <w:sz w:val="19"/>
          <w:szCs w:val="19"/>
          <w:b w:val="1"/>
          <w:bCs w:val="1"/>
          <w:i w:val="1"/>
          <w:iCs w:val="1"/>
          <w:color w:val="auto"/>
        </w:rPr>
        <w:t>Selected Financial Data.</w:t>
      </w:r>
    </w:p>
    <w:p>
      <w:pPr>
        <w:spacing w:after="0" w:line="250" w:lineRule="exact"/>
        <w:rPr>
          <w:sz w:val="20"/>
          <w:szCs w:val="20"/>
          <w:color w:val="auto"/>
        </w:rPr>
      </w:pPr>
    </w:p>
    <w:p>
      <w:pPr>
        <w:ind w:left="6" w:right="20" w:firstLine="346"/>
        <w:spacing w:after="0" w:line="265" w:lineRule="auto"/>
        <w:rPr>
          <w:sz w:val="20"/>
          <w:szCs w:val="20"/>
          <w:color w:val="auto"/>
        </w:rPr>
      </w:pPr>
      <w:r>
        <w:rPr>
          <w:rFonts w:ascii="Times New Roman" w:cs="Times New Roman" w:eastAsia="Times New Roman" w:hAnsi="Times New Roman"/>
          <w:sz w:val="19"/>
          <w:szCs w:val="19"/>
          <w:color w:val="auto"/>
        </w:rPr>
        <w:t>Our fiscal year ends on the last Saturday in January. As a result, each fiscal year consists of either 52 weeks or 53 weeks of operations (with the additional week of operations occurring in the fourth quarter). Fiscal 2025, fiscal 2024, and fiscal 2023 each consisted of 52 weeks of operations. The next 53 week fiscal period will occur in the fiscal year ending January 31, 2026. The following selected financial data is derived from the audited consolidated financial statements for the applicable fiscal year.</w:t>
      </w:r>
    </w:p>
    <w:p>
      <w:pPr>
        <w:spacing w:after="0" w:line="187" w:lineRule="exact"/>
        <w:rPr>
          <w:sz w:val="20"/>
          <w:szCs w:val="20"/>
          <w:color w:val="auto"/>
        </w:rPr>
      </w:pPr>
    </w:p>
    <w:p>
      <w:pPr>
        <w:ind w:left="6" w:right="40" w:firstLine="346"/>
        <w:spacing w:after="0" w:line="265" w:lineRule="auto"/>
        <w:rPr>
          <w:sz w:val="20"/>
          <w:szCs w:val="20"/>
          <w:color w:val="auto"/>
        </w:rPr>
      </w:pPr>
      <w:r>
        <w:rPr>
          <w:rFonts w:ascii="Times New Roman" w:cs="Times New Roman" w:eastAsia="Times New Roman" w:hAnsi="Times New Roman"/>
          <w:sz w:val="19"/>
          <w:szCs w:val="19"/>
          <w:color w:val="auto"/>
        </w:rPr>
        <w:t xml:space="preserve">The selected financial data below should be read in conjunction with our consolidated financial statements and accompanying notes, and with Item 7, </w:t>
      </w:r>
      <w:r>
        <w:rPr>
          <w:rFonts w:ascii="Times New Roman" w:cs="Times New Roman" w:eastAsia="Times New Roman" w:hAnsi="Times New Roman"/>
          <w:sz w:val="19"/>
          <w:szCs w:val="19"/>
          <w:b w:val="1"/>
          <w:bCs w:val="1"/>
          <w:i w:val="1"/>
          <w:iCs w:val="1"/>
          <w:color w:val="auto"/>
        </w:rPr>
        <w:t>Management’s Discussion and Analysis of Financial Condition and Results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Operations</w:t>
      </w:r>
      <w:r>
        <w:rPr>
          <w:rFonts w:ascii="Times New Roman" w:cs="Times New Roman" w:eastAsia="Times New Roman" w:hAnsi="Times New Roman"/>
          <w:sz w:val="19"/>
          <w:szCs w:val="19"/>
          <w:color w:val="auto"/>
        </w:rPr>
        <w:t>, in this Annual Report on Form 10-K. The results of operations of businesses acquired are included in the following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selected financial data from their dates of acquisition (dollars in thousands, except per share amounts):</w:t>
      </w:r>
    </w:p>
    <w:p>
      <w:pPr>
        <w:spacing w:after="0" w:line="200" w:lineRule="exact"/>
        <w:rPr>
          <w:sz w:val="20"/>
          <w:szCs w:val="20"/>
          <w:color w:val="auto"/>
        </w:rPr>
      </w:pPr>
    </w:p>
    <w:p>
      <w:pPr>
        <w:spacing w:after="0" w:line="284" w:lineRule="exact"/>
        <w:rPr>
          <w:sz w:val="20"/>
          <w:szCs w:val="20"/>
          <w:color w:val="auto"/>
        </w:rPr>
      </w:pPr>
    </w:p>
    <w:tbl>
      <w:tblPr>
        <w:tblLayout w:type="fixed"/>
        <w:tblInd w:w="6" w:type="dxa"/>
        <w:tblCellMar>
          <w:top w:w="0" w:type="dxa"/>
          <w:left w:w="0" w:type="dxa"/>
          <w:bottom w:w="0" w:type="dxa"/>
          <w:right w:w="0" w:type="dxa"/>
        </w:tblCellMar>
      </w:tblPr>
      <w:tr>
        <w:trPr>
          <w:trHeight w:val="266"/>
        </w:trPr>
        <w:tc>
          <w:tcPr>
            <w:tcW w:w="39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9"/>
                <w:szCs w:val="19"/>
                <w:b w:val="1"/>
                <w:bCs w:val="1"/>
                <w:color w:val="auto"/>
              </w:rPr>
              <w:t>Fiscal Year Ended</w:t>
            </w:r>
          </w:p>
        </w:tc>
        <w:tc>
          <w:tcPr>
            <w:tcW w:w="8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180"/>
        </w:trPr>
        <w:tc>
          <w:tcPr>
            <w:tcW w:w="3960" w:type="dxa"/>
            <w:vAlign w:val="bottom"/>
          </w:tcPr>
          <w:p>
            <w:pPr>
              <w:spacing w:after="0"/>
              <w:rPr>
                <w:sz w:val="15"/>
                <w:szCs w:val="15"/>
                <w:color w:val="auto"/>
              </w:rPr>
            </w:pPr>
          </w:p>
        </w:tc>
        <w:tc>
          <w:tcPr>
            <w:tcW w:w="1080" w:type="dxa"/>
            <w:vAlign w:val="bottom"/>
            <w:gridSpan w:val="2"/>
          </w:tcPr>
          <w:p>
            <w:pPr>
              <w:ind w:left="60"/>
              <w:spacing w:after="0" w:line="180" w:lineRule="exact"/>
              <w:rPr>
                <w:sz w:val="20"/>
                <w:szCs w:val="20"/>
                <w:color w:val="auto"/>
              </w:rPr>
            </w:pPr>
            <w:r>
              <w:rPr>
                <w:rFonts w:ascii="Times New Roman" w:cs="Times New Roman" w:eastAsia="Times New Roman" w:hAnsi="Times New Roman"/>
                <w:sz w:val="19"/>
                <w:szCs w:val="19"/>
                <w:b w:val="1"/>
                <w:bCs w:val="1"/>
                <w:color w:val="auto"/>
              </w:rPr>
              <w:t>January 25,</w:t>
            </w:r>
          </w:p>
        </w:tc>
        <w:tc>
          <w:tcPr>
            <w:tcW w:w="80" w:type="dxa"/>
            <w:vAlign w:val="bottom"/>
          </w:tcPr>
          <w:p>
            <w:pPr>
              <w:spacing w:after="0"/>
              <w:rPr>
                <w:sz w:val="15"/>
                <w:szCs w:val="15"/>
                <w:color w:val="auto"/>
              </w:rPr>
            </w:pPr>
          </w:p>
        </w:tc>
        <w:tc>
          <w:tcPr>
            <w:tcW w:w="1100" w:type="dxa"/>
            <w:vAlign w:val="bottom"/>
            <w:gridSpan w:val="2"/>
          </w:tcPr>
          <w:p>
            <w:pPr>
              <w:ind w:left="60"/>
              <w:spacing w:after="0" w:line="180" w:lineRule="exact"/>
              <w:rPr>
                <w:sz w:val="20"/>
                <w:szCs w:val="20"/>
                <w:color w:val="auto"/>
              </w:rPr>
            </w:pPr>
            <w:r>
              <w:rPr>
                <w:rFonts w:ascii="Times New Roman" w:cs="Times New Roman" w:eastAsia="Times New Roman" w:hAnsi="Times New Roman"/>
                <w:sz w:val="19"/>
                <w:szCs w:val="19"/>
                <w:b w:val="1"/>
                <w:bCs w:val="1"/>
                <w:color w:val="auto"/>
              </w:rPr>
              <w:t>January 27,</w:t>
            </w:r>
          </w:p>
        </w:tc>
        <w:tc>
          <w:tcPr>
            <w:tcW w:w="60" w:type="dxa"/>
            <w:vAlign w:val="bottom"/>
          </w:tcPr>
          <w:p>
            <w:pPr>
              <w:spacing w:after="0"/>
              <w:rPr>
                <w:sz w:val="15"/>
                <w:szCs w:val="15"/>
                <w:color w:val="auto"/>
              </w:rPr>
            </w:pPr>
          </w:p>
        </w:tc>
        <w:tc>
          <w:tcPr>
            <w:tcW w:w="1100" w:type="dxa"/>
            <w:vAlign w:val="bottom"/>
            <w:gridSpan w:val="2"/>
          </w:tcPr>
          <w:p>
            <w:pPr>
              <w:ind w:left="60"/>
              <w:spacing w:after="0" w:line="180" w:lineRule="exact"/>
              <w:rPr>
                <w:sz w:val="20"/>
                <w:szCs w:val="20"/>
                <w:color w:val="auto"/>
              </w:rPr>
            </w:pPr>
            <w:r>
              <w:rPr>
                <w:rFonts w:ascii="Times New Roman" w:cs="Times New Roman" w:eastAsia="Times New Roman" w:hAnsi="Times New Roman"/>
                <w:sz w:val="19"/>
                <w:szCs w:val="19"/>
                <w:b w:val="1"/>
                <w:bCs w:val="1"/>
                <w:color w:val="auto"/>
              </w:rPr>
              <w:t>January 28,</w:t>
            </w:r>
          </w:p>
        </w:tc>
        <w:tc>
          <w:tcPr>
            <w:tcW w:w="80" w:type="dxa"/>
            <w:vAlign w:val="bottom"/>
          </w:tcPr>
          <w:p>
            <w:pPr>
              <w:spacing w:after="0"/>
              <w:rPr>
                <w:sz w:val="15"/>
                <w:szCs w:val="15"/>
                <w:color w:val="auto"/>
              </w:rPr>
            </w:pPr>
          </w:p>
        </w:tc>
        <w:tc>
          <w:tcPr>
            <w:tcW w:w="1080" w:type="dxa"/>
            <w:vAlign w:val="bottom"/>
            <w:gridSpan w:val="2"/>
          </w:tcPr>
          <w:p>
            <w:pPr>
              <w:ind w:left="60"/>
              <w:spacing w:after="0" w:line="180" w:lineRule="exact"/>
              <w:rPr>
                <w:sz w:val="20"/>
                <w:szCs w:val="20"/>
                <w:color w:val="auto"/>
              </w:rPr>
            </w:pPr>
            <w:r>
              <w:rPr>
                <w:rFonts w:ascii="Times New Roman" w:cs="Times New Roman" w:eastAsia="Times New Roman" w:hAnsi="Times New Roman"/>
                <w:sz w:val="19"/>
                <w:szCs w:val="19"/>
                <w:b w:val="1"/>
                <w:bCs w:val="1"/>
                <w:color w:val="auto"/>
              </w:rPr>
              <w:t>January 29,</w:t>
            </w:r>
          </w:p>
        </w:tc>
        <w:tc>
          <w:tcPr>
            <w:tcW w:w="80" w:type="dxa"/>
            <w:vAlign w:val="bottom"/>
          </w:tcPr>
          <w:p>
            <w:pPr>
              <w:spacing w:after="0"/>
              <w:rPr>
                <w:sz w:val="15"/>
                <w:szCs w:val="15"/>
                <w:color w:val="auto"/>
              </w:rPr>
            </w:pPr>
          </w:p>
        </w:tc>
        <w:tc>
          <w:tcPr>
            <w:tcW w:w="1100" w:type="dxa"/>
            <w:vAlign w:val="bottom"/>
            <w:gridSpan w:val="2"/>
          </w:tcPr>
          <w:p>
            <w:pPr>
              <w:ind w:left="60"/>
              <w:spacing w:after="0" w:line="180" w:lineRule="exact"/>
              <w:rPr>
                <w:sz w:val="20"/>
                <w:szCs w:val="20"/>
                <w:color w:val="auto"/>
              </w:rPr>
            </w:pPr>
            <w:r>
              <w:rPr>
                <w:rFonts w:ascii="Times New Roman" w:cs="Times New Roman" w:eastAsia="Times New Roman" w:hAnsi="Times New Roman"/>
                <w:sz w:val="19"/>
                <w:szCs w:val="19"/>
                <w:b w:val="1"/>
                <w:bCs w:val="1"/>
                <w:color w:val="auto"/>
              </w:rPr>
              <w:t>January 30,</w:t>
            </w:r>
          </w:p>
        </w:tc>
      </w:tr>
      <w:tr>
        <w:trPr>
          <w:trHeight w:val="261"/>
        </w:trPr>
        <w:tc>
          <w:tcPr>
            <w:tcW w:w="39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9"/>
                <w:szCs w:val="19"/>
                <w:b w:val="1"/>
                <w:bCs w:val="1"/>
                <w:color w:val="auto"/>
              </w:rPr>
              <w:t>2023</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84"/>
              <w:spacing w:after="0" w:line="243" w:lineRule="exact"/>
              <w:rPr>
                <w:sz w:val="20"/>
                <w:szCs w:val="20"/>
                <w:color w:val="auto"/>
              </w:rPr>
            </w:pPr>
            <w:r>
              <w:rPr>
                <w:rFonts w:ascii="Times New Roman" w:cs="Times New Roman" w:eastAsia="Times New Roman" w:hAnsi="Times New Roman"/>
                <w:sz w:val="19"/>
                <w:szCs w:val="19"/>
                <w:b w:val="1"/>
                <w:bCs w:val="1"/>
                <w:color w:val="auto"/>
              </w:rPr>
              <w:t>2022</w:t>
            </w:r>
            <w:r>
              <w:rPr>
                <w:rFonts w:ascii="Times New Roman" w:cs="Times New Roman" w:eastAsia="Times New Roman" w:hAnsi="Times New Roman"/>
                <w:sz w:val="24"/>
                <w:szCs w:val="24"/>
                <w:b w:val="1"/>
                <w:bCs w:val="1"/>
                <w:color w:val="auto"/>
                <w:vertAlign w:val="superscript"/>
              </w:rPr>
              <w:t>(1)</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84"/>
              <w:spacing w:after="0" w:line="243" w:lineRule="exact"/>
              <w:rPr>
                <w:sz w:val="20"/>
                <w:szCs w:val="20"/>
                <w:color w:val="auto"/>
              </w:rPr>
            </w:pPr>
            <w:r>
              <w:rPr>
                <w:rFonts w:ascii="Times New Roman" w:cs="Times New Roman" w:eastAsia="Times New Roman" w:hAnsi="Times New Roman"/>
                <w:sz w:val="19"/>
                <w:szCs w:val="19"/>
                <w:b w:val="1"/>
                <w:bCs w:val="1"/>
                <w:color w:val="auto"/>
              </w:rPr>
              <w:t>2021</w:t>
            </w:r>
            <w:r>
              <w:rPr>
                <w:rFonts w:ascii="Times New Roman" w:cs="Times New Roman" w:eastAsia="Times New Roman" w:hAnsi="Times New Roman"/>
                <w:sz w:val="24"/>
                <w:szCs w:val="24"/>
                <w:b w:val="1"/>
                <w:bCs w:val="1"/>
                <w:color w:val="auto"/>
                <w:vertAlign w:val="superscript"/>
              </w:rPr>
              <w:t>(2)</w:t>
            </w:r>
          </w:p>
        </w:tc>
      </w:tr>
      <w:tr>
        <w:trPr>
          <w:trHeight w:val="248"/>
        </w:trPr>
        <w:tc>
          <w:tcPr>
            <w:tcW w:w="396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auto"/>
              </w:rPr>
              <w:t>Operating Data</w:t>
            </w:r>
            <w:r>
              <w:rPr>
                <w:rFonts w:ascii="Times New Roman" w:cs="Times New Roman" w:eastAsia="Times New Roman" w:hAnsi="Times New Roman"/>
                <w:sz w:val="19"/>
                <w:szCs w:val="19"/>
                <w:color w:val="auto"/>
              </w:rPr>
              <w:t>:</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94"/>
        </w:trPr>
        <w:tc>
          <w:tcPr>
            <w:tcW w:w="396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Revenues</w:t>
            </w:r>
          </w:p>
        </w:tc>
        <w:tc>
          <w:tcPr>
            <w:tcW w:w="2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4,702,014</w:t>
            </w:r>
          </w:p>
        </w:tc>
        <w:tc>
          <w:tcPr>
            <w:tcW w:w="280" w:type="dxa"/>
            <w:vAlign w:val="bottom"/>
            <w:gridSpan w:val="2"/>
            <w:shd w:val="clear" w:color="auto" w:fill="D5D5D5"/>
          </w:tcPr>
          <w:p>
            <w:pPr>
              <w:ind w:left="14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4,175,574</w:t>
            </w:r>
          </w:p>
        </w:tc>
        <w:tc>
          <w:tcPr>
            <w:tcW w:w="26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3,808,462</w:t>
            </w:r>
          </w:p>
        </w:tc>
        <w:tc>
          <w:tcPr>
            <w:tcW w:w="28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3,130,519</w:t>
            </w:r>
          </w:p>
        </w:tc>
        <w:tc>
          <w:tcPr>
            <w:tcW w:w="28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3,199,165</w:t>
            </w:r>
          </w:p>
        </w:tc>
      </w:tr>
      <w:tr>
        <w:trPr>
          <w:trHeight w:val="276"/>
        </w:trPr>
        <w:tc>
          <w:tcPr>
            <w:tcW w:w="39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Net income</w:t>
            </w:r>
          </w:p>
        </w:tc>
        <w:tc>
          <w:tcPr>
            <w:tcW w:w="2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233,413</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218,923</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142,213</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48,574</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34,337</w:t>
            </w:r>
          </w:p>
        </w:tc>
      </w:tr>
      <w:tr>
        <w:trPr>
          <w:trHeight w:val="280"/>
        </w:trPr>
        <w:tc>
          <w:tcPr>
            <w:tcW w:w="396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auto"/>
              </w:rPr>
              <w:t>Earnings Per Common Share</w:t>
            </w:r>
            <w:r>
              <w:rPr>
                <w:rFonts w:ascii="Times New Roman" w:cs="Times New Roman" w:eastAsia="Times New Roman" w:hAnsi="Times New Roman"/>
                <w:sz w:val="19"/>
                <w:szCs w:val="19"/>
                <w:color w:val="auto"/>
              </w:rPr>
              <w:t>:</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4"/>
        </w:trPr>
        <w:tc>
          <w:tcPr>
            <w:tcW w:w="396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Basic</w:t>
            </w:r>
          </w:p>
        </w:tc>
        <w:tc>
          <w:tcPr>
            <w:tcW w:w="2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8.02</w:t>
            </w:r>
          </w:p>
        </w:tc>
        <w:tc>
          <w:tcPr>
            <w:tcW w:w="280" w:type="dxa"/>
            <w:vAlign w:val="bottom"/>
            <w:gridSpan w:val="2"/>
            <w:shd w:val="clear" w:color="auto" w:fill="D5D5D5"/>
          </w:tcPr>
          <w:p>
            <w:pPr>
              <w:ind w:left="14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7.46</w:t>
            </w:r>
          </w:p>
        </w:tc>
        <w:tc>
          <w:tcPr>
            <w:tcW w:w="26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4.81</w:t>
            </w:r>
          </w:p>
        </w:tc>
        <w:tc>
          <w:tcPr>
            <w:tcW w:w="28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1.60</w:t>
            </w:r>
          </w:p>
        </w:tc>
        <w:tc>
          <w:tcPr>
            <w:tcW w:w="28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1.08</w:t>
            </w:r>
          </w:p>
        </w:tc>
      </w:tr>
      <w:tr>
        <w:trPr>
          <w:trHeight w:val="282"/>
        </w:trPr>
        <w:tc>
          <w:tcPr>
            <w:tcW w:w="39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Diluted</w:t>
            </w:r>
          </w:p>
        </w:tc>
        <w:tc>
          <w:tcPr>
            <w:tcW w:w="2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7.92</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7.37</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4.74</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1.57</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w:t>
            </w:r>
          </w:p>
        </w:tc>
      </w:tr>
      <w:tr>
        <w:trPr>
          <w:trHeight w:val="467"/>
        </w:trPr>
        <w:tc>
          <w:tcPr>
            <w:tcW w:w="396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b w:val="1"/>
                <w:bCs w:val="1"/>
                <w:color w:val="auto"/>
              </w:rPr>
              <w:t>Balance Sheet Data (at end of period)</w:t>
            </w:r>
            <w:r>
              <w:rPr>
                <w:rFonts w:ascii="Times New Roman" w:cs="Times New Roman" w:eastAsia="Times New Roman" w:hAnsi="Times New Roman"/>
                <w:sz w:val="19"/>
                <w:szCs w:val="19"/>
                <w:color w:val="auto"/>
              </w:rPr>
              <w:t>:</w:t>
            </w:r>
          </w:p>
        </w:tc>
        <w:tc>
          <w:tcPr>
            <w:tcW w:w="200" w:type="dxa"/>
            <w:vAlign w:val="bottom"/>
            <w:shd w:val="clear" w:color="auto" w:fill="D5D5D5"/>
          </w:tcPr>
          <w:p>
            <w:pPr>
              <w:spacing w:after="0"/>
              <w:rPr>
                <w:sz w:val="24"/>
                <w:szCs w:val="24"/>
                <w:color w:val="auto"/>
              </w:rPr>
            </w:pPr>
          </w:p>
        </w:tc>
        <w:tc>
          <w:tcPr>
            <w:tcW w:w="880" w:type="dxa"/>
            <w:vAlign w:val="bottom"/>
            <w:shd w:val="clear" w:color="auto" w:fill="D5D5D5"/>
          </w:tcPr>
          <w:p>
            <w:pPr>
              <w:spacing w:after="0"/>
              <w:rPr>
                <w:sz w:val="24"/>
                <w:szCs w:val="24"/>
                <w:color w:val="auto"/>
              </w:rPr>
            </w:pPr>
          </w:p>
        </w:tc>
        <w:tc>
          <w:tcPr>
            <w:tcW w:w="80" w:type="dxa"/>
            <w:vAlign w:val="bottom"/>
            <w:shd w:val="clear" w:color="auto" w:fill="D5D5D5"/>
          </w:tcPr>
          <w:p>
            <w:pPr>
              <w:spacing w:after="0"/>
              <w:rPr>
                <w:sz w:val="24"/>
                <w:szCs w:val="24"/>
                <w:color w:val="auto"/>
              </w:rPr>
            </w:pPr>
          </w:p>
        </w:tc>
        <w:tc>
          <w:tcPr>
            <w:tcW w:w="200" w:type="dxa"/>
            <w:vAlign w:val="bottom"/>
            <w:shd w:val="clear" w:color="auto" w:fill="D5D5D5"/>
          </w:tcPr>
          <w:p>
            <w:pPr>
              <w:spacing w:after="0"/>
              <w:rPr>
                <w:sz w:val="24"/>
                <w:szCs w:val="24"/>
                <w:color w:val="auto"/>
              </w:rPr>
            </w:pPr>
          </w:p>
        </w:tc>
        <w:tc>
          <w:tcPr>
            <w:tcW w:w="900" w:type="dxa"/>
            <w:vAlign w:val="bottom"/>
            <w:shd w:val="clear" w:color="auto" w:fill="D5D5D5"/>
          </w:tcPr>
          <w:p>
            <w:pPr>
              <w:spacing w:after="0"/>
              <w:rPr>
                <w:sz w:val="24"/>
                <w:szCs w:val="24"/>
                <w:color w:val="auto"/>
              </w:rPr>
            </w:pPr>
          </w:p>
        </w:tc>
        <w:tc>
          <w:tcPr>
            <w:tcW w:w="60" w:type="dxa"/>
            <w:vAlign w:val="bottom"/>
            <w:shd w:val="clear" w:color="auto" w:fill="D5D5D5"/>
          </w:tcPr>
          <w:p>
            <w:pPr>
              <w:spacing w:after="0"/>
              <w:rPr>
                <w:sz w:val="24"/>
                <w:szCs w:val="24"/>
                <w:color w:val="auto"/>
              </w:rPr>
            </w:pPr>
          </w:p>
        </w:tc>
        <w:tc>
          <w:tcPr>
            <w:tcW w:w="200" w:type="dxa"/>
            <w:vAlign w:val="bottom"/>
            <w:shd w:val="clear" w:color="auto" w:fill="D5D5D5"/>
          </w:tcPr>
          <w:p>
            <w:pPr>
              <w:spacing w:after="0"/>
              <w:rPr>
                <w:sz w:val="24"/>
                <w:szCs w:val="24"/>
                <w:color w:val="auto"/>
              </w:rPr>
            </w:pPr>
          </w:p>
        </w:tc>
        <w:tc>
          <w:tcPr>
            <w:tcW w:w="900" w:type="dxa"/>
            <w:vAlign w:val="bottom"/>
            <w:shd w:val="clear" w:color="auto" w:fill="D5D5D5"/>
          </w:tcPr>
          <w:p>
            <w:pPr>
              <w:spacing w:after="0"/>
              <w:rPr>
                <w:sz w:val="24"/>
                <w:szCs w:val="24"/>
                <w:color w:val="auto"/>
              </w:rPr>
            </w:pPr>
          </w:p>
        </w:tc>
        <w:tc>
          <w:tcPr>
            <w:tcW w:w="80" w:type="dxa"/>
            <w:vAlign w:val="bottom"/>
            <w:shd w:val="clear" w:color="auto" w:fill="D5D5D5"/>
          </w:tcPr>
          <w:p>
            <w:pPr>
              <w:spacing w:after="0"/>
              <w:rPr>
                <w:sz w:val="24"/>
                <w:szCs w:val="24"/>
                <w:color w:val="auto"/>
              </w:rPr>
            </w:pPr>
          </w:p>
        </w:tc>
        <w:tc>
          <w:tcPr>
            <w:tcW w:w="200" w:type="dxa"/>
            <w:vAlign w:val="bottom"/>
            <w:shd w:val="clear" w:color="auto" w:fill="D5D5D5"/>
          </w:tcPr>
          <w:p>
            <w:pPr>
              <w:spacing w:after="0"/>
              <w:rPr>
                <w:sz w:val="24"/>
                <w:szCs w:val="24"/>
                <w:color w:val="auto"/>
              </w:rPr>
            </w:pPr>
          </w:p>
        </w:tc>
        <w:tc>
          <w:tcPr>
            <w:tcW w:w="880" w:type="dxa"/>
            <w:vAlign w:val="bottom"/>
            <w:shd w:val="clear" w:color="auto" w:fill="D5D5D5"/>
          </w:tcPr>
          <w:p>
            <w:pPr>
              <w:spacing w:after="0"/>
              <w:rPr>
                <w:sz w:val="24"/>
                <w:szCs w:val="24"/>
                <w:color w:val="auto"/>
              </w:rPr>
            </w:pPr>
          </w:p>
        </w:tc>
        <w:tc>
          <w:tcPr>
            <w:tcW w:w="80" w:type="dxa"/>
            <w:vAlign w:val="bottom"/>
            <w:shd w:val="clear" w:color="auto" w:fill="D5D5D5"/>
          </w:tcPr>
          <w:p>
            <w:pPr>
              <w:spacing w:after="0"/>
              <w:rPr>
                <w:sz w:val="24"/>
                <w:szCs w:val="24"/>
                <w:color w:val="auto"/>
              </w:rPr>
            </w:pPr>
          </w:p>
        </w:tc>
        <w:tc>
          <w:tcPr>
            <w:tcW w:w="200" w:type="dxa"/>
            <w:vAlign w:val="bottom"/>
            <w:shd w:val="clear" w:color="auto" w:fill="D5D5D5"/>
          </w:tcPr>
          <w:p>
            <w:pPr>
              <w:spacing w:after="0"/>
              <w:rPr>
                <w:sz w:val="24"/>
                <w:szCs w:val="24"/>
                <w:color w:val="auto"/>
              </w:rPr>
            </w:pPr>
          </w:p>
        </w:tc>
        <w:tc>
          <w:tcPr>
            <w:tcW w:w="900" w:type="dxa"/>
            <w:vAlign w:val="bottom"/>
            <w:shd w:val="clear" w:color="auto" w:fill="D5D5D5"/>
          </w:tcPr>
          <w:p>
            <w:pPr>
              <w:spacing w:after="0"/>
              <w:rPr>
                <w:sz w:val="24"/>
                <w:szCs w:val="24"/>
                <w:color w:val="auto"/>
              </w:rPr>
            </w:pPr>
          </w:p>
        </w:tc>
      </w:tr>
      <w:tr>
        <w:trPr>
          <w:trHeight w:val="282"/>
        </w:trPr>
        <w:tc>
          <w:tcPr>
            <w:tcW w:w="39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Total assets</w:t>
            </w:r>
          </w:p>
        </w:tc>
        <w:tc>
          <w:tcPr>
            <w:tcW w:w="2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2,945,367</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2,516,885</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2,313,254</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2,118,224</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1,944,165</w:t>
            </w:r>
          </w:p>
        </w:tc>
      </w:tr>
      <w:tr>
        <w:trPr>
          <w:trHeight w:val="294"/>
        </w:trPr>
        <w:tc>
          <w:tcPr>
            <w:tcW w:w="396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Long-term liabilities</w:t>
            </w:r>
          </w:p>
        </w:tc>
        <w:tc>
          <w:tcPr>
            <w:tcW w:w="2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1,119,117</w:t>
            </w:r>
          </w:p>
        </w:tc>
        <w:tc>
          <w:tcPr>
            <w:tcW w:w="280" w:type="dxa"/>
            <w:vAlign w:val="bottom"/>
            <w:gridSpan w:val="2"/>
            <w:shd w:val="clear" w:color="auto" w:fill="D5D5D5"/>
          </w:tcPr>
          <w:p>
            <w:pPr>
              <w:ind w:left="14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955,925</w:t>
            </w:r>
          </w:p>
        </w:tc>
        <w:tc>
          <w:tcPr>
            <w:tcW w:w="26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974,948</w:t>
            </w:r>
          </w:p>
        </w:tc>
        <w:tc>
          <w:tcPr>
            <w:tcW w:w="28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977,884</w:t>
            </w:r>
          </w:p>
        </w:tc>
        <w:tc>
          <w:tcPr>
            <w:tcW w:w="28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684,367</w:t>
            </w:r>
          </w:p>
        </w:tc>
      </w:tr>
      <w:tr>
        <w:trPr>
          <w:trHeight w:val="359"/>
        </w:trPr>
        <w:tc>
          <w:tcPr>
            <w:tcW w:w="39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Stockholders’ equity</w:t>
            </w:r>
            <w:r>
              <w:rPr>
                <w:rFonts w:ascii="Times New Roman" w:cs="Times New Roman" w:eastAsia="Times New Roman" w:hAnsi="Times New Roman"/>
                <w:sz w:val="24"/>
                <w:szCs w:val="24"/>
                <w:color w:val="auto"/>
                <w:vertAlign w:val="superscript"/>
              </w:rPr>
              <w:t>(3)</w:t>
            </w:r>
          </w:p>
        </w:tc>
        <w:tc>
          <w:tcPr>
            <w:tcW w:w="2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1,239,097</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1,054,656</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868,755</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758,544</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811,308</w:t>
            </w:r>
          </w:p>
        </w:tc>
      </w:tr>
    </w:tbl>
    <w:p>
      <w:pPr>
        <w:spacing w:after="0" w:line="214" w:lineRule="exact"/>
        <w:rPr>
          <w:sz w:val="20"/>
          <w:szCs w:val="20"/>
          <w:color w:val="auto"/>
        </w:rPr>
      </w:pPr>
    </w:p>
    <w:p>
      <w:pPr>
        <w:ind w:left="6" w:right="160" w:hanging="6"/>
        <w:spacing w:after="0" w:line="374" w:lineRule="auto"/>
        <w:tabs>
          <w:tab w:leader="none" w:pos="182"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fiscal 2022, we issued $500 million aggregate principal amount of 4.50% senior notes due 2029 (the “2029 Notes”). The 2029 Notes are guaranteed on a senior unsecured basis, jointly and severally, by all of our domestic subsidiaries that guarantee the Credit Agreement. The balance of $58.3 million under the 2021 Convertible Notes was repaid in full on September 15, 2021.</w:t>
      </w:r>
    </w:p>
    <w:p>
      <w:pPr>
        <w:spacing w:after="0" w:line="94" w:lineRule="exact"/>
        <w:rPr>
          <w:rFonts w:ascii="Times New Roman" w:cs="Times New Roman" w:eastAsia="Times New Roman" w:hAnsi="Times New Roman"/>
          <w:sz w:val="23"/>
          <w:szCs w:val="23"/>
          <w:color w:val="auto"/>
          <w:vertAlign w:val="superscript"/>
        </w:rPr>
      </w:pPr>
    </w:p>
    <w:p>
      <w:pPr>
        <w:ind w:left="6" w:right="540" w:hanging="6"/>
        <w:spacing w:after="0" w:line="251" w:lineRule="auto"/>
        <w:tabs>
          <w:tab w:leader="none" w:pos="182"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first quarter of fiscal 2021, we recognized a goodwill impairment charge of $53.3 million as the result of an interim impairment analysis.</w:t>
      </w:r>
    </w:p>
    <w:p>
      <w:pPr>
        <w:spacing w:after="0" w:line="184" w:lineRule="exact"/>
        <w:rPr>
          <w:rFonts w:ascii="Times New Roman" w:cs="Times New Roman" w:eastAsia="Times New Roman" w:hAnsi="Times New Roman"/>
          <w:sz w:val="23"/>
          <w:szCs w:val="23"/>
          <w:color w:val="auto"/>
          <w:vertAlign w:val="superscript"/>
        </w:rPr>
      </w:pPr>
    </w:p>
    <w:p>
      <w:pPr>
        <w:ind w:left="186" w:hanging="186"/>
        <w:spacing w:after="0"/>
        <w:tabs>
          <w:tab w:leader="none" w:pos="186"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following table summarizes our share repurchases during fiscal 2025, 2024, 2023, 2022, and 2021:</w:t>
      </w:r>
    </w:p>
    <w:p>
      <w:pPr>
        <w:spacing w:after="0" w:line="233" w:lineRule="exact"/>
        <w:rPr>
          <w:sz w:val="20"/>
          <w:szCs w:val="20"/>
          <w:color w:val="auto"/>
        </w:rPr>
      </w:pPr>
    </w:p>
    <w:tbl>
      <w:tblPr>
        <w:tblLayout w:type="fixed"/>
        <w:tblInd w:w="26" w:type="dxa"/>
        <w:tblCellMar>
          <w:top w:w="0" w:type="dxa"/>
          <w:left w:w="0" w:type="dxa"/>
          <w:bottom w:w="0" w:type="dxa"/>
          <w:right w:w="0" w:type="dxa"/>
        </w:tblCellMar>
      </w:tblPr>
      <w:tr>
        <w:trPr>
          <w:trHeight w:val="266"/>
        </w:trPr>
        <w:tc>
          <w:tcPr>
            <w:tcW w:w="4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gridSpan w:val="6"/>
          </w:tcPr>
          <w:p>
            <w:pPr>
              <w:jc w:val="right"/>
              <w:spacing w:after="0"/>
              <w:rPr>
                <w:sz w:val="20"/>
                <w:szCs w:val="20"/>
                <w:color w:val="auto"/>
              </w:rPr>
            </w:pPr>
            <w:r>
              <w:rPr>
                <w:rFonts w:ascii="Times New Roman" w:cs="Times New Roman" w:eastAsia="Times New Roman" w:hAnsi="Times New Roman"/>
                <w:sz w:val="19"/>
                <w:szCs w:val="19"/>
                <w:b w:val="1"/>
                <w:bCs w:val="1"/>
                <w:color w:val="auto"/>
              </w:rPr>
              <w:t>Fiscal Year Ended</w:t>
            </w: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180"/>
        </w:trPr>
        <w:tc>
          <w:tcPr>
            <w:tcW w:w="4060" w:type="dxa"/>
            <w:vAlign w:val="bottom"/>
          </w:tcPr>
          <w:p>
            <w:pPr>
              <w:spacing w:after="0"/>
              <w:rPr>
                <w:sz w:val="15"/>
                <w:szCs w:val="15"/>
                <w:color w:val="auto"/>
              </w:rPr>
            </w:pPr>
          </w:p>
        </w:tc>
        <w:tc>
          <w:tcPr>
            <w:tcW w:w="1100" w:type="dxa"/>
            <w:vAlign w:val="bottom"/>
            <w:tcBorders>
              <w:top w:val="single" w:sz="8" w:color="auto"/>
            </w:tcBorders>
            <w:gridSpan w:val="2"/>
          </w:tcPr>
          <w:p>
            <w:pPr>
              <w:ind w:left="60"/>
              <w:spacing w:after="0" w:line="180" w:lineRule="exact"/>
              <w:rPr>
                <w:sz w:val="20"/>
                <w:szCs w:val="20"/>
                <w:color w:val="auto"/>
              </w:rPr>
            </w:pPr>
            <w:r>
              <w:rPr>
                <w:rFonts w:ascii="Times New Roman" w:cs="Times New Roman" w:eastAsia="Times New Roman" w:hAnsi="Times New Roman"/>
                <w:sz w:val="19"/>
                <w:szCs w:val="19"/>
                <w:b w:val="1"/>
                <w:bCs w:val="1"/>
                <w:color w:val="auto"/>
              </w:rPr>
              <w:t>January 25,</w:t>
            </w:r>
          </w:p>
        </w:tc>
        <w:tc>
          <w:tcPr>
            <w:tcW w:w="40" w:type="dxa"/>
            <w:vAlign w:val="bottom"/>
          </w:tcPr>
          <w:p>
            <w:pPr>
              <w:spacing w:after="0"/>
              <w:rPr>
                <w:sz w:val="15"/>
                <w:szCs w:val="15"/>
                <w:color w:val="auto"/>
              </w:rPr>
            </w:pPr>
          </w:p>
        </w:tc>
        <w:tc>
          <w:tcPr>
            <w:tcW w:w="1100" w:type="dxa"/>
            <w:vAlign w:val="bottom"/>
            <w:tcBorders>
              <w:top w:val="single" w:sz="8" w:color="auto"/>
            </w:tcBorders>
            <w:gridSpan w:val="2"/>
          </w:tcPr>
          <w:p>
            <w:pPr>
              <w:ind w:left="80"/>
              <w:spacing w:after="0" w:line="180" w:lineRule="exact"/>
              <w:rPr>
                <w:sz w:val="20"/>
                <w:szCs w:val="20"/>
                <w:color w:val="auto"/>
              </w:rPr>
            </w:pPr>
            <w:r>
              <w:rPr>
                <w:rFonts w:ascii="Times New Roman" w:cs="Times New Roman" w:eastAsia="Times New Roman" w:hAnsi="Times New Roman"/>
                <w:sz w:val="19"/>
                <w:szCs w:val="19"/>
                <w:b w:val="1"/>
                <w:bCs w:val="1"/>
                <w:color w:val="auto"/>
              </w:rPr>
              <w:t>January 27,</w:t>
            </w:r>
          </w:p>
        </w:tc>
        <w:tc>
          <w:tcPr>
            <w:tcW w:w="80" w:type="dxa"/>
            <w:vAlign w:val="bottom"/>
          </w:tcPr>
          <w:p>
            <w:pPr>
              <w:spacing w:after="0"/>
              <w:rPr>
                <w:sz w:val="15"/>
                <w:szCs w:val="15"/>
                <w:color w:val="auto"/>
              </w:rPr>
            </w:pPr>
          </w:p>
        </w:tc>
        <w:tc>
          <w:tcPr>
            <w:tcW w:w="1080" w:type="dxa"/>
            <w:vAlign w:val="bottom"/>
            <w:tcBorders>
              <w:top w:val="single" w:sz="8" w:color="auto"/>
            </w:tcBorders>
            <w:gridSpan w:val="2"/>
          </w:tcPr>
          <w:p>
            <w:pPr>
              <w:ind w:left="60"/>
              <w:spacing w:after="0" w:line="180" w:lineRule="exact"/>
              <w:rPr>
                <w:sz w:val="20"/>
                <w:szCs w:val="20"/>
                <w:color w:val="auto"/>
              </w:rPr>
            </w:pPr>
            <w:r>
              <w:rPr>
                <w:rFonts w:ascii="Times New Roman" w:cs="Times New Roman" w:eastAsia="Times New Roman" w:hAnsi="Times New Roman"/>
                <w:sz w:val="19"/>
                <w:szCs w:val="19"/>
                <w:b w:val="1"/>
                <w:bCs w:val="1"/>
                <w:color w:val="auto"/>
              </w:rPr>
              <w:t>January 28,</w:t>
            </w:r>
          </w:p>
        </w:tc>
        <w:tc>
          <w:tcPr>
            <w:tcW w:w="80" w:type="dxa"/>
            <w:vAlign w:val="bottom"/>
          </w:tcPr>
          <w:p>
            <w:pPr>
              <w:spacing w:after="0"/>
              <w:rPr>
                <w:sz w:val="15"/>
                <w:szCs w:val="15"/>
                <w:color w:val="auto"/>
              </w:rPr>
            </w:pPr>
          </w:p>
        </w:tc>
        <w:tc>
          <w:tcPr>
            <w:tcW w:w="1100" w:type="dxa"/>
            <w:vAlign w:val="bottom"/>
            <w:tcBorders>
              <w:top w:val="single" w:sz="8" w:color="auto"/>
            </w:tcBorders>
            <w:gridSpan w:val="2"/>
          </w:tcPr>
          <w:p>
            <w:pPr>
              <w:jc w:val="right"/>
              <w:spacing w:after="0" w:line="180" w:lineRule="exact"/>
              <w:rPr>
                <w:sz w:val="20"/>
                <w:szCs w:val="20"/>
                <w:color w:val="auto"/>
              </w:rPr>
            </w:pPr>
            <w:r>
              <w:rPr>
                <w:rFonts w:ascii="Times New Roman" w:cs="Times New Roman" w:eastAsia="Times New Roman" w:hAnsi="Times New Roman"/>
                <w:sz w:val="19"/>
                <w:szCs w:val="19"/>
                <w:b w:val="1"/>
                <w:bCs w:val="1"/>
                <w:color w:val="auto"/>
              </w:rPr>
              <w:t>January 29,</w:t>
            </w:r>
          </w:p>
        </w:tc>
        <w:tc>
          <w:tcPr>
            <w:tcW w:w="60" w:type="dxa"/>
            <w:vAlign w:val="bottom"/>
          </w:tcPr>
          <w:p>
            <w:pPr>
              <w:spacing w:after="0"/>
              <w:rPr>
                <w:sz w:val="15"/>
                <w:szCs w:val="15"/>
                <w:color w:val="auto"/>
              </w:rPr>
            </w:pPr>
          </w:p>
        </w:tc>
        <w:tc>
          <w:tcPr>
            <w:tcW w:w="1100" w:type="dxa"/>
            <w:vAlign w:val="bottom"/>
            <w:tcBorders>
              <w:top w:val="single" w:sz="8" w:color="auto"/>
            </w:tcBorders>
            <w:gridSpan w:val="2"/>
          </w:tcPr>
          <w:p>
            <w:pPr>
              <w:ind w:left="60"/>
              <w:spacing w:after="0" w:line="180" w:lineRule="exact"/>
              <w:rPr>
                <w:sz w:val="20"/>
                <w:szCs w:val="20"/>
                <w:color w:val="auto"/>
              </w:rPr>
            </w:pPr>
            <w:r>
              <w:rPr>
                <w:rFonts w:ascii="Times New Roman" w:cs="Times New Roman" w:eastAsia="Times New Roman" w:hAnsi="Times New Roman"/>
                <w:sz w:val="19"/>
                <w:szCs w:val="19"/>
                <w:b w:val="1"/>
                <w:bCs w:val="1"/>
                <w:color w:val="auto"/>
              </w:rPr>
              <w:t>January 30,</w:t>
            </w:r>
          </w:p>
        </w:tc>
      </w:tr>
      <w:tr>
        <w:trPr>
          <w:trHeight w:val="261"/>
        </w:trPr>
        <w:tc>
          <w:tcPr>
            <w:tcW w:w="4060" w:type="dxa"/>
            <w:vAlign w:val="bottom"/>
            <w:tcBorders>
              <w:bottom w:val="single" w:sz="8" w:color="D5D5D5"/>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9"/>
                <w:szCs w:val="19"/>
                <w:b w:val="1"/>
                <w:bCs w:val="1"/>
                <w:color w:val="auto"/>
              </w:rPr>
              <w:t>2025</w:t>
            </w:r>
          </w:p>
        </w:tc>
        <w:tc>
          <w:tcPr>
            <w:tcW w:w="40" w:type="dxa"/>
            <w:vAlign w:val="bottom"/>
            <w:tcBorders>
              <w:bottom w:val="single" w:sz="8" w:color="D5D5D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9"/>
                <w:szCs w:val="19"/>
                <w:b w:val="1"/>
                <w:bCs w:val="1"/>
                <w:color w:val="auto"/>
              </w:rPr>
              <w:t>2024</w:t>
            </w:r>
          </w:p>
        </w:tc>
        <w:tc>
          <w:tcPr>
            <w:tcW w:w="80" w:type="dxa"/>
            <w:vAlign w:val="bottom"/>
            <w:tcBorders>
              <w:bottom w:val="single" w:sz="8" w:color="D5D5D5"/>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9"/>
                <w:szCs w:val="19"/>
                <w:b w:val="1"/>
                <w:bCs w:val="1"/>
                <w:color w:val="auto"/>
              </w:rPr>
              <w:t>2023</w:t>
            </w:r>
          </w:p>
        </w:tc>
        <w:tc>
          <w:tcPr>
            <w:tcW w:w="80" w:type="dxa"/>
            <w:vAlign w:val="bottom"/>
            <w:tcBorders>
              <w:bottom w:val="single" w:sz="8" w:color="D5D5D5"/>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9"/>
                <w:szCs w:val="19"/>
                <w:b w:val="1"/>
                <w:bCs w:val="1"/>
                <w:color w:val="auto"/>
              </w:rPr>
              <w:t>2022</w:t>
            </w:r>
          </w:p>
        </w:tc>
        <w:tc>
          <w:tcPr>
            <w:tcW w:w="60" w:type="dxa"/>
            <w:vAlign w:val="bottom"/>
            <w:tcBorders>
              <w:bottom w:val="single" w:sz="8" w:color="D5D5D5"/>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9"/>
                <w:szCs w:val="19"/>
                <w:b w:val="1"/>
                <w:bCs w:val="1"/>
                <w:color w:val="auto"/>
              </w:rPr>
              <w:t>2021</w:t>
            </w:r>
          </w:p>
        </w:tc>
      </w:tr>
      <w:tr>
        <w:trPr>
          <w:trHeight w:val="269"/>
        </w:trPr>
        <w:tc>
          <w:tcPr>
            <w:tcW w:w="406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Shares</w:t>
            </w:r>
          </w:p>
        </w:tc>
        <w:tc>
          <w:tcPr>
            <w:tcW w:w="240" w:type="dxa"/>
            <w:vAlign w:val="bottom"/>
            <w:shd w:val="clear" w:color="auto" w:fill="D5D5D5"/>
          </w:tcPr>
          <w:p>
            <w:pPr>
              <w:spacing w:after="0"/>
              <w:rPr>
                <w:sz w:val="23"/>
                <w:szCs w:val="23"/>
                <w:color w:val="auto"/>
              </w:rPr>
            </w:pPr>
          </w:p>
        </w:tc>
        <w:tc>
          <w:tcPr>
            <w:tcW w:w="8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410,000</w:t>
            </w:r>
          </w:p>
        </w:tc>
        <w:tc>
          <w:tcPr>
            <w:tcW w:w="40" w:type="dxa"/>
            <w:vAlign w:val="bottom"/>
            <w:shd w:val="clear" w:color="auto" w:fill="D5D5D5"/>
          </w:tcPr>
          <w:p>
            <w:pPr>
              <w:spacing w:after="0"/>
              <w:rPr>
                <w:sz w:val="23"/>
                <w:szCs w:val="23"/>
                <w:color w:val="auto"/>
              </w:rPr>
            </w:pPr>
          </w:p>
        </w:tc>
        <w:tc>
          <w:tcPr>
            <w:tcW w:w="260" w:type="dxa"/>
            <w:vAlign w:val="bottom"/>
            <w:shd w:val="clear" w:color="auto" w:fill="D5D5D5"/>
          </w:tcPr>
          <w:p>
            <w:pPr>
              <w:spacing w:after="0"/>
              <w:rPr>
                <w:sz w:val="23"/>
                <w:szCs w:val="23"/>
                <w:color w:val="auto"/>
              </w:rPr>
            </w:pPr>
          </w:p>
        </w:tc>
        <w:tc>
          <w:tcPr>
            <w:tcW w:w="8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485,000</w:t>
            </w:r>
          </w:p>
        </w:tc>
        <w:tc>
          <w:tcPr>
            <w:tcW w:w="80" w:type="dxa"/>
            <w:vAlign w:val="bottom"/>
            <w:shd w:val="clear" w:color="auto" w:fill="D5D5D5"/>
          </w:tcPr>
          <w:p>
            <w:pPr>
              <w:spacing w:after="0"/>
              <w:rPr>
                <w:sz w:val="23"/>
                <w:szCs w:val="23"/>
                <w:color w:val="auto"/>
              </w:rPr>
            </w:pPr>
          </w:p>
        </w:tc>
        <w:tc>
          <w:tcPr>
            <w:tcW w:w="240" w:type="dxa"/>
            <w:vAlign w:val="bottom"/>
            <w:shd w:val="clear" w:color="auto" w:fill="D5D5D5"/>
          </w:tcPr>
          <w:p>
            <w:pPr>
              <w:spacing w:after="0"/>
              <w:rPr>
                <w:sz w:val="23"/>
                <w:szCs w:val="23"/>
                <w:color w:val="auto"/>
              </w:rPr>
            </w:pPr>
          </w:p>
        </w:tc>
        <w:tc>
          <w:tcPr>
            <w:tcW w:w="8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514,030</w:t>
            </w:r>
          </w:p>
        </w:tc>
        <w:tc>
          <w:tcPr>
            <w:tcW w:w="80" w:type="dxa"/>
            <w:vAlign w:val="bottom"/>
            <w:shd w:val="clear" w:color="auto" w:fill="D5D5D5"/>
          </w:tcPr>
          <w:p>
            <w:pPr>
              <w:spacing w:after="0"/>
              <w:rPr>
                <w:sz w:val="23"/>
                <w:szCs w:val="23"/>
                <w:color w:val="auto"/>
              </w:rPr>
            </w:pPr>
          </w:p>
        </w:tc>
        <w:tc>
          <w:tcPr>
            <w:tcW w:w="200" w:type="dxa"/>
            <w:vAlign w:val="bottom"/>
            <w:shd w:val="clear" w:color="auto" w:fill="D5D5D5"/>
          </w:tcPr>
          <w:p>
            <w:pPr>
              <w:spacing w:after="0"/>
              <w:rPr>
                <w:sz w:val="23"/>
                <w:szCs w:val="23"/>
                <w:color w:val="auto"/>
              </w:rPr>
            </w:pPr>
          </w:p>
        </w:tc>
        <w:tc>
          <w:tcPr>
            <w:tcW w:w="9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1,231,638</w:t>
            </w:r>
          </w:p>
        </w:tc>
        <w:tc>
          <w:tcPr>
            <w:tcW w:w="60" w:type="dxa"/>
            <w:vAlign w:val="bottom"/>
            <w:shd w:val="clear" w:color="auto" w:fill="D5D5D5"/>
          </w:tcPr>
          <w:p>
            <w:pPr>
              <w:spacing w:after="0"/>
              <w:rPr>
                <w:sz w:val="23"/>
                <w:szCs w:val="23"/>
                <w:color w:val="auto"/>
              </w:rPr>
            </w:pPr>
          </w:p>
        </w:tc>
        <w:tc>
          <w:tcPr>
            <w:tcW w:w="200" w:type="dxa"/>
            <w:vAlign w:val="bottom"/>
            <w:shd w:val="clear" w:color="auto" w:fill="D5D5D5"/>
          </w:tcPr>
          <w:p>
            <w:pPr>
              <w:spacing w:after="0"/>
              <w:rPr>
                <w:sz w:val="23"/>
                <w:szCs w:val="23"/>
                <w:color w:val="auto"/>
              </w:rPr>
            </w:pPr>
          </w:p>
        </w:tc>
        <w:tc>
          <w:tcPr>
            <w:tcW w:w="9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1,324,381</w:t>
            </w:r>
          </w:p>
        </w:tc>
      </w:tr>
      <w:tr>
        <w:trPr>
          <w:trHeight w:val="282"/>
        </w:trPr>
        <w:tc>
          <w:tcPr>
            <w:tcW w:w="40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Amount paid (dollars in millions)</w:t>
            </w:r>
          </w:p>
        </w:tc>
        <w:tc>
          <w:tcPr>
            <w:tcW w:w="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65.6</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49.7</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106.1</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w:t>
            </w:r>
          </w:p>
        </w:tc>
      </w:tr>
      <w:tr>
        <w:trPr>
          <w:trHeight w:val="294"/>
        </w:trPr>
        <w:tc>
          <w:tcPr>
            <w:tcW w:w="406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Average price per share</w:t>
            </w:r>
          </w:p>
        </w:tc>
        <w:tc>
          <w:tcPr>
            <w:tcW w:w="24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160.10</w:t>
            </w:r>
          </w:p>
        </w:tc>
        <w:tc>
          <w:tcPr>
            <w:tcW w:w="300" w:type="dxa"/>
            <w:vAlign w:val="bottom"/>
            <w:gridSpan w:val="2"/>
            <w:shd w:val="clear" w:color="auto" w:fill="D5D5D5"/>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102.39</w:t>
            </w:r>
          </w:p>
        </w:tc>
        <w:tc>
          <w:tcPr>
            <w:tcW w:w="32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94.80</w:t>
            </w:r>
          </w:p>
        </w:tc>
        <w:tc>
          <w:tcPr>
            <w:tcW w:w="28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86.17</w:t>
            </w:r>
          </w:p>
        </w:tc>
        <w:tc>
          <w:tcPr>
            <w:tcW w:w="26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75.51</w:t>
            </w:r>
          </w:p>
        </w:tc>
      </w:tr>
    </w:tbl>
    <w:p>
      <w:pPr>
        <w:spacing w:after="0" w:line="27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color w:val="auto"/>
        </w:rPr>
        <w:t xml:space="preserve">Item 7. </w:t>
      </w:r>
      <w:r>
        <w:rPr>
          <w:rFonts w:ascii="Times New Roman" w:cs="Times New Roman" w:eastAsia="Times New Roman" w:hAnsi="Times New Roman"/>
          <w:sz w:val="19"/>
          <w:szCs w:val="19"/>
          <w:b w:val="1"/>
          <w:bCs w:val="1"/>
          <w:i w:val="1"/>
          <w:iCs w:val="1"/>
          <w:color w:val="auto"/>
        </w:rPr>
        <w:t>Management’s Discussion and Analysis of Financial Condition and Results of Operations.</w:t>
      </w:r>
    </w:p>
    <w:p>
      <w:pPr>
        <w:spacing w:after="0" w:line="250" w:lineRule="exact"/>
        <w:rPr>
          <w:sz w:val="20"/>
          <w:szCs w:val="20"/>
          <w:color w:val="auto"/>
        </w:rPr>
      </w:pPr>
    </w:p>
    <w:p>
      <w:pPr>
        <w:ind w:left="346"/>
        <w:spacing w:after="0"/>
        <w:rPr>
          <w:sz w:val="20"/>
          <w:szCs w:val="20"/>
          <w:color w:val="auto"/>
        </w:rPr>
      </w:pPr>
      <w:r>
        <w:rPr>
          <w:rFonts w:ascii="Times New Roman" w:cs="Times New Roman" w:eastAsia="Times New Roman" w:hAnsi="Times New Roman"/>
          <w:sz w:val="19"/>
          <w:szCs w:val="19"/>
          <w:color w:val="auto"/>
        </w:rPr>
        <w:t>The following discussion and analysis should be read in conjunction with our consolidated financial statements and the</w:t>
      </w:r>
    </w:p>
    <w:p>
      <w:pPr>
        <w:spacing w:after="0" w:line="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 xml:space="preserve">accompanying notes, as well as Part I, Item 1. </w:t>
      </w:r>
      <w:r>
        <w:rPr>
          <w:rFonts w:ascii="Times New Roman" w:cs="Times New Roman" w:eastAsia="Times New Roman" w:hAnsi="Times New Roman"/>
          <w:sz w:val="19"/>
          <w:szCs w:val="19"/>
          <w:b w:val="1"/>
          <w:bCs w:val="1"/>
          <w:i w:val="1"/>
          <w:iCs w:val="1"/>
          <w:color w:val="auto"/>
        </w:rPr>
        <w:t>Business</w:t>
      </w:r>
      <w:r>
        <w:rPr>
          <w:rFonts w:ascii="Times New Roman" w:cs="Times New Roman" w:eastAsia="Times New Roman" w:hAnsi="Times New Roman"/>
          <w:sz w:val="19"/>
          <w:szCs w:val="19"/>
          <w:color w:val="auto"/>
        </w:rPr>
        <w:t xml:space="preserve">, and Part I, Item 1A. </w:t>
      </w:r>
      <w:r>
        <w:rPr>
          <w:rFonts w:ascii="Times New Roman" w:cs="Times New Roman" w:eastAsia="Times New Roman" w:hAnsi="Times New Roman"/>
          <w:sz w:val="19"/>
          <w:szCs w:val="19"/>
          <w:b w:val="1"/>
          <w:bCs w:val="1"/>
          <w:i w:val="1"/>
          <w:iCs w:val="1"/>
          <w:color w:val="auto"/>
        </w:rPr>
        <w:t>Risk Factors</w:t>
      </w:r>
      <w:r>
        <w:rPr>
          <w:rFonts w:ascii="Times New Roman" w:cs="Times New Roman" w:eastAsia="Times New Roman" w:hAnsi="Times New Roman"/>
          <w:sz w:val="19"/>
          <w:szCs w:val="19"/>
          <w:color w:val="auto"/>
        </w:rPr>
        <w:t>, of this Annual Report on Form 10-K.</w:t>
      </w:r>
    </w:p>
    <w:p>
      <w:pPr>
        <w:sectPr>
          <w:pgSz w:w="11880" w:h="15480" w:orient="portrait"/>
          <w:cols w:equalWidth="0" w:num="1">
            <w:col w:w="9846"/>
          </w:cols>
          <w:pgMar w:left="994" w:top="889"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85"/>
        <w:spacing w:after="0"/>
        <w:rPr>
          <w:sz w:val="20"/>
          <w:szCs w:val="20"/>
          <w:color w:val="auto"/>
        </w:rPr>
      </w:pPr>
      <w:r>
        <w:rPr>
          <w:rFonts w:ascii="Times New Roman" w:cs="Times New Roman" w:eastAsia="Times New Roman" w:hAnsi="Times New Roman"/>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254000</wp:posOffset>
            </wp:positionV>
            <wp:extent cx="76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4">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6904355</wp:posOffset>
            </wp:positionH>
            <wp:positionV relativeFrom="paragraph">
              <wp:posOffset>254000</wp:posOffset>
            </wp:positionV>
            <wp:extent cx="76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5">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46"/>
          </w:cols>
          <w:pgMar w:left="994" w:top="889" w:right="1040" w:bottom="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9"/>
          <w:szCs w:val="19"/>
          <w:b w:val="1"/>
          <w:bCs w:val="1"/>
          <w:color w:val="auto"/>
        </w:rPr>
        <w:t>Introduction</w:t>
      </w:r>
    </w:p>
    <w:p>
      <w:pPr>
        <w:spacing w:after="0" w:line="249" w:lineRule="exact"/>
        <w:rPr>
          <w:sz w:val="20"/>
          <w:szCs w:val="20"/>
          <w:color w:val="auto"/>
        </w:rPr>
      </w:pPr>
    </w:p>
    <w:p>
      <w:pPr>
        <w:ind w:right="20" w:firstLine="345"/>
        <w:spacing w:after="0" w:line="262" w:lineRule="auto"/>
        <w:rPr>
          <w:sz w:val="20"/>
          <w:szCs w:val="20"/>
          <w:color w:val="auto"/>
        </w:rPr>
      </w:pPr>
      <w:r>
        <w:rPr>
          <w:rFonts w:ascii="Times New Roman" w:cs="Times New Roman" w:eastAsia="Times New Roman" w:hAnsi="Times New Roman"/>
          <w:sz w:val="19"/>
          <w:szCs w:val="19"/>
          <w:color w:val="auto"/>
        </w:rPr>
        <w:t>We are a leading provider of specialty contracting services throughout the United States. These services include program management, planning, engineering and design; aerial, underground, and wireless construction; maintenance; and fulfillment services for telecommunications providers. Additionally, we provide underground facility locating services for various utilities, including telecommunications providers, as well as other construction and maintenance services for electric and gas utilities. We supply the labor, tools, and equipment necessary to provide these services to our customers.</w:t>
      </w:r>
    </w:p>
    <w:p>
      <w:pPr>
        <w:spacing w:after="0" w:line="190" w:lineRule="exact"/>
        <w:rPr>
          <w:sz w:val="20"/>
          <w:szCs w:val="20"/>
          <w:color w:val="auto"/>
        </w:rPr>
      </w:pPr>
    </w:p>
    <w:p>
      <w:pPr>
        <w:ind w:right="100" w:firstLine="345"/>
        <w:spacing w:after="0" w:line="262" w:lineRule="auto"/>
        <w:rPr>
          <w:sz w:val="20"/>
          <w:szCs w:val="20"/>
          <w:color w:val="auto"/>
        </w:rPr>
      </w:pPr>
      <w:r>
        <w:rPr>
          <w:rFonts w:ascii="Times New Roman" w:cs="Times New Roman" w:eastAsia="Times New Roman" w:hAnsi="Times New Roman"/>
          <w:sz w:val="19"/>
          <w:szCs w:val="19"/>
          <w:color w:val="auto"/>
        </w:rPr>
        <w:t>Significant demand for broadband services is driven by applications that require high speed connections as well as the everyday use of mobile data devices. To respond to this demand and other advances in technology, an increasing number of diverse industry participants are constructing or upgrading wireline networks throughout the country. These wireline networks enable the delivery of gigabit network speeds to consumers and businesses. Dramatically increased speeds for consumers are being provisioned and consumer data usage is growing, particularly upstream.</w:t>
      </w:r>
    </w:p>
    <w:p>
      <w:pPr>
        <w:spacing w:after="0" w:line="190" w:lineRule="exact"/>
        <w:rPr>
          <w:sz w:val="20"/>
          <w:szCs w:val="20"/>
          <w:color w:val="auto"/>
        </w:rPr>
      </w:pPr>
    </w:p>
    <w:p>
      <w:pPr>
        <w:ind w:right="100" w:firstLine="345"/>
        <w:spacing w:after="0" w:line="271" w:lineRule="auto"/>
        <w:rPr>
          <w:sz w:val="20"/>
          <w:szCs w:val="20"/>
          <w:color w:val="auto"/>
        </w:rPr>
      </w:pPr>
      <w:r>
        <w:rPr>
          <w:rFonts w:ascii="Times New Roman" w:cs="Times New Roman" w:eastAsia="Times New Roman" w:hAnsi="Times New Roman"/>
          <w:sz w:val="19"/>
          <w:szCs w:val="19"/>
          <w:color w:val="auto"/>
        </w:rPr>
        <w:t>In addition, the advent of AI data centers has created expanding opportunities as hyperscalers look to connect data centers with long-haul, private, redundant fiber networks. Finally, wireless networks are deploying additional spectrum bands and equipment to more broadly and efficiently provision higher broadband services for both fixed and mobile access.</w:t>
      </w:r>
    </w:p>
    <w:p>
      <w:pPr>
        <w:spacing w:after="0" w:line="181" w:lineRule="exact"/>
        <w:rPr>
          <w:sz w:val="20"/>
          <w:szCs w:val="20"/>
          <w:color w:val="auto"/>
        </w:rPr>
      </w:pPr>
    </w:p>
    <w:p>
      <w:pPr>
        <w:ind w:firstLine="345"/>
        <w:spacing w:after="0" w:line="260" w:lineRule="auto"/>
        <w:rPr>
          <w:sz w:val="20"/>
          <w:szCs w:val="20"/>
          <w:color w:val="auto"/>
        </w:rPr>
      </w:pPr>
      <w:r>
        <w:rPr>
          <w:rFonts w:ascii="Times New Roman" w:cs="Times New Roman" w:eastAsia="Times New Roman" w:hAnsi="Times New Roman"/>
          <w:sz w:val="19"/>
          <w:szCs w:val="19"/>
          <w:color w:val="auto"/>
        </w:rPr>
        <w:t>Industry participants have stated their belief that a single high-capacity fiber network can most cost effectively deliver services to both consumers and businesses, enabling multiple revenue streams from a single investment. Some of these same industry participants who also provide wireless services, strongly believe that the ability to provision converged wireline fiber and wireless services creates significant competitive advantages. This belief is evident as some wireless providers have recently invested in new fiber providers while another wireline/wireless provider is deploying fiber networks outside its traditional geographic footprint. As a result, we continue to see a meaningfully broader set of opportunities for our industry.</w:t>
      </w:r>
    </w:p>
    <w:p>
      <w:pPr>
        <w:spacing w:after="0" w:line="193" w:lineRule="exact"/>
        <w:rPr>
          <w:sz w:val="20"/>
          <w:szCs w:val="20"/>
          <w:color w:val="auto"/>
        </w:rPr>
      </w:pPr>
    </w:p>
    <w:p>
      <w:pPr>
        <w:jc w:val="both"/>
        <w:ind w:firstLine="345"/>
        <w:spacing w:after="0" w:line="262" w:lineRule="auto"/>
        <w:rPr>
          <w:sz w:val="20"/>
          <w:szCs w:val="20"/>
          <w:color w:val="auto"/>
        </w:rPr>
      </w:pPr>
      <w:r>
        <w:rPr>
          <w:rFonts w:ascii="Times New Roman" w:cs="Times New Roman" w:eastAsia="Times New Roman" w:hAnsi="Times New Roman"/>
          <w:sz w:val="19"/>
          <w:szCs w:val="19"/>
          <w:color w:val="auto"/>
        </w:rPr>
        <w:t>We are pleased that a number of our customers have entered into strategic transactions (including refinancings) intended to provide the capital necessary for the incremental deployment of fiber over the next several years. In addition to the incremental private capital associated with these transactions, we continue to see unprecedented levels of federal and state support for rural broadband deployment programs. We believe the magnitude and importance of these programs should not be under appreciated as they address some of the more difficult locations to deploy in America and represent a generational deployment opportunity.</w:t>
      </w:r>
    </w:p>
    <w:p>
      <w:pPr>
        <w:spacing w:after="0" w:line="190" w:lineRule="exact"/>
        <w:rPr>
          <w:sz w:val="20"/>
          <w:szCs w:val="20"/>
          <w:color w:val="auto"/>
        </w:rPr>
      </w:pPr>
    </w:p>
    <w:p>
      <w:pPr>
        <w:ind w:right="200" w:firstLine="345"/>
        <w:spacing w:after="0" w:line="265" w:lineRule="auto"/>
        <w:rPr>
          <w:sz w:val="20"/>
          <w:szCs w:val="20"/>
          <w:color w:val="auto"/>
        </w:rPr>
      </w:pPr>
      <w:r>
        <w:rPr>
          <w:rFonts w:ascii="Times New Roman" w:cs="Times New Roman" w:eastAsia="Times New Roman" w:hAnsi="Times New Roman"/>
          <w:sz w:val="19"/>
          <w:szCs w:val="19"/>
          <w:color w:val="auto"/>
        </w:rPr>
        <w:t>We believe that the long-term value of our maintenance and operations business will continue to increase relative to our deployment of wireline and converged networks, as those deployments dramatically increase the amount of outside plant that must be extended and maintained. As customer projects increase in scope and complexity, our industry focus, scale and financial strength position us well to deliver valuable services and anticipate and meet the demands for our customers.</w:t>
      </w:r>
    </w:p>
    <w:p>
      <w:pPr>
        <w:spacing w:after="0" w:line="187" w:lineRule="exact"/>
        <w:rPr>
          <w:sz w:val="20"/>
          <w:szCs w:val="20"/>
          <w:color w:val="auto"/>
        </w:rPr>
      </w:pPr>
    </w:p>
    <w:p>
      <w:pPr>
        <w:ind w:right="140" w:firstLine="345"/>
        <w:spacing w:after="0" w:line="258" w:lineRule="auto"/>
        <w:rPr>
          <w:sz w:val="20"/>
          <w:szCs w:val="20"/>
          <w:color w:val="auto"/>
        </w:rPr>
      </w:pPr>
      <w:r>
        <w:rPr>
          <w:rFonts w:ascii="Times New Roman" w:cs="Times New Roman" w:eastAsia="Times New Roman" w:hAnsi="Times New Roman"/>
          <w:sz w:val="19"/>
          <w:szCs w:val="19"/>
          <w:color w:val="auto"/>
        </w:rPr>
        <w:t>The cyclical nature of the industry we serve affects demand for our services. The capital expenditure and maintenance budgets of our customers, and the related timing of approvals and seasonal spending patterns, influence our contract revenues and results of operations. Factors affecting our customers and their capital expenditure budgets include, but are not limited to, overall economic conditions, the introduction of new technologies, our customers’ debt levels and capital structures, our customers’ financial performance, our customers’ positioning and strategic plans, and any potential effects from public health emergencies or pandemics. Other factors that may affect our customers and their capital expenditure budgets include new regulations or regulatory actions impacting our customers’ businesses, merger or acquisition activity involving our customers, and the physical maintenance needs of our customers’ infrastructure.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Customer Relationships and Contractual Arrangements</w:t>
      </w:r>
    </w:p>
    <w:p>
      <w:pPr>
        <w:spacing w:after="0" w:line="250" w:lineRule="exact"/>
        <w:rPr>
          <w:sz w:val="20"/>
          <w:szCs w:val="20"/>
          <w:color w:val="auto"/>
        </w:rPr>
      </w:pPr>
    </w:p>
    <w:p>
      <w:pPr>
        <w:ind w:right="20" w:firstLine="345"/>
        <w:spacing w:after="0" w:line="265" w:lineRule="auto"/>
        <w:rPr>
          <w:sz w:val="20"/>
          <w:szCs w:val="20"/>
          <w:color w:val="auto"/>
        </w:rPr>
      </w:pPr>
      <w:r>
        <w:rPr>
          <w:rFonts w:ascii="Times New Roman" w:cs="Times New Roman" w:eastAsia="Times New Roman" w:hAnsi="Times New Roman"/>
          <w:sz w:val="19"/>
          <w:szCs w:val="19"/>
          <w:color w:val="auto"/>
        </w:rPr>
        <w:t>We have established relationships with many leading telecommunications providers, including telephone companies, cable multiple system operators, wireless carriers, telecommunications equipment and infrastructure providers, as well as electric and gas utilities. Our customer base is highly concentrated, with our top five customers accounting for approximately 55.4%, 57.7%, and 66.7% of our total contract revenues during fiscal 2025, fiscal 2024, and fiscal 2023, respectively.</w:t>
      </w:r>
    </w:p>
    <w:p>
      <w:pPr>
        <w:sectPr>
          <w:pgSz w:w="11880" w:h="15480" w:orient="portrait"/>
          <w:cols w:equalWidth="0" w:num="1">
            <w:col w:w="9800"/>
          </w:cols>
          <w:pgMar w:left="1000" w:top="89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24</w:t>
      </w:r>
    </w:p>
    <w:p>
      <w:pPr>
        <w:spacing w:after="0" w:line="20" w:lineRule="exact"/>
        <w:rPr>
          <w:sz w:val="20"/>
          <w:szCs w:val="20"/>
          <w:color w:val="auto"/>
        </w:rPr>
      </w:pPr>
    </w:p>
    <w:p>
      <w:pPr>
        <w:sectPr>
          <w:pgSz w:w="11880" w:h="15480" w:orient="portrait"/>
          <w:cols w:equalWidth="0" w:num="1">
            <w:col w:w="9800"/>
          </w:cols>
          <w:pgMar w:left="1000" w:top="891" w:right="1080" w:bottom="0" w:gutter="0" w:footer="0" w:header="0"/>
          <w:type w:val="continuous"/>
        </w:sectPr>
      </w:pPr>
    </w:p>
    <w:bookmarkStart w:id="30" w:name="page31"/>
    <w:bookmarkEnd w:id="30"/>
    <w:p>
      <w:pPr>
        <w:ind w:right="180" w:firstLine="345"/>
        <w:spacing w:after="0" w:line="289"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t>The following reflects the percentage of total contract revenues from customers who contributed at least 2.5% to our total contract revenues during fiscal 2025, fiscal 2024, or fiscal 2023:</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Fiscal Year Ended</w:t>
            </w: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06"/>
        </w:trPr>
        <w:tc>
          <w:tcPr>
            <w:tcW w:w="5000" w:type="dxa"/>
            <w:vAlign w:val="bottom"/>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268"/>
        </w:trPr>
        <w:tc>
          <w:tcPr>
            <w:tcW w:w="5000" w:type="dxa"/>
            <w:vAlign w:val="bottom"/>
          </w:tcPr>
          <w:p>
            <w:pPr>
              <w:spacing w:after="0"/>
              <w:rPr>
                <w:sz w:val="23"/>
                <w:szCs w:val="23"/>
                <w:color w:val="auto"/>
              </w:rPr>
            </w:pPr>
          </w:p>
        </w:tc>
        <w:tc>
          <w:tcPr>
            <w:tcW w:w="15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8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January 27, 2024</w:t>
            </w:r>
          </w:p>
        </w:tc>
        <w:tc>
          <w:tcPr>
            <w:tcW w:w="8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January 28, 2023</w:t>
            </w:r>
          </w:p>
        </w:tc>
      </w:tr>
      <w:tr>
        <w:trPr>
          <w:trHeight w:val="269"/>
        </w:trPr>
        <w:tc>
          <w:tcPr>
            <w:tcW w:w="5000" w:type="dxa"/>
            <w:vAlign w:val="bottom"/>
            <w:tcBorders>
              <w:top w:val="single" w:sz="8" w:color="D5D5D5"/>
            </w:tcBorders>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AT&amp;T, Inc.</w:t>
            </w:r>
          </w:p>
        </w:tc>
        <w:tc>
          <w:tcPr>
            <w:tcW w:w="1540" w:type="dxa"/>
            <w:vAlign w:val="bottom"/>
            <w:tcBorders>
              <w:top w:val="single" w:sz="8" w:color="auto"/>
            </w:tcBorders>
            <w:shd w:val="clear" w:color="auto" w:fill="D5D5D5"/>
          </w:tcPr>
          <w:p>
            <w:pPr>
              <w:jc w:val="center"/>
              <w:spacing w:after="0"/>
              <w:rPr>
                <w:sz w:val="20"/>
                <w:szCs w:val="20"/>
                <w:color w:val="auto"/>
              </w:rPr>
            </w:pPr>
            <w:r>
              <w:rPr>
                <w:rFonts w:ascii="Times New Roman" w:cs="Times New Roman" w:eastAsia="Times New Roman" w:hAnsi="Times New Roman"/>
                <w:sz w:val="19"/>
                <w:szCs w:val="19"/>
                <w:color w:val="auto"/>
              </w:rPr>
              <w:t>20.1%</w:t>
            </w:r>
          </w:p>
        </w:tc>
        <w:tc>
          <w:tcPr>
            <w:tcW w:w="80" w:type="dxa"/>
            <w:vAlign w:val="bottom"/>
            <w:tcBorders>
              <w:top w:val="single" w:sz="8" w:color="D5D5D5"/>
            </w:tcBorders>
            <w:shd w:val="clear" w:color="auto" w:fill="D5D5D5"/>
          </w:tcPr>
          <w:p>
            <w:pPr>
              <w:spacing w:after="0"/>
              <w:rPr>
                <w:sz w:val="23"/>
                <w:szCs w:val="23"/>
                <w:color w:val="auto"/>
              </w:rPr>
            </w:pPr>
          </w:p>
        </w:tc>
        <w:tc>
          <w:tcPr>
            <w:tcW w:w="1540" w:type="dxa"/>
            <w:vAlign w:val="bottom"/>
            <w:tcBorders>
              <w:top w:val="single" w:sz="8" w:color="auto"/>
            </w:tcBorders>
            <w:shd w:val="clear" w:color="auto" w:fill="D5D5D5"/>
          </w:tcPr>
          <w:p>
            <w:pPr>
              <w:jc w:val="center"/>
              <w:spacing w:after="0"/>
              <w:rPr>
                <w:sz w:val="20"/>
                <w:szCs w:val="20"/>
                <w:color w:val="auto"/>
              </w:rPr>
            </w:pPr>
            <w:r>
              <w:rPr>
                <w:rFonts w:ascii="Times New Roman" w:cs="Times New Roman" w:eastAsia="Times New Roman" w:hAnsi="Times New Roman"/>
                <w:sz w:val="19"/>
                <w:szCs w:val="19"/>
                <w:color w:val="auto"/>
              </w:rPr>
              <w:t>16.9%</w:t>
            </w:r>
          </w:p>
        </w:tc>
        <w:tc>
          <w:tcPr>
            <w:tcW w:w="80" w:type="dxa"/>
            <w:vAlign w:val="bottom"/>
            <w:tcBorders>
              <w:top w:val="single" w:sz="8" w:color="D5D5D5"/>
            </w:tcBorders>
            <w:shd w:val="clear" w:color="auto" w:fill="D5D5D5"/>
          </w:tcPr>
          <w:p>
            <w:pPr>
              <w:spacing w:after="0"/>
              <w:rPr>
                <w:sz w:val="23"/>
                <w:szCs w:val="23"/>
                <w:color w:val="auto"/>
              </w:rPr>
            </w:pPr>
          </w:p>
        </w:tc>
        <w:tc>
          <w:tcPr>
            <w:tcW w:w="1540" w:type="dxa"/>
            <w:vAlign w:val="bottom"/>
            <w:tcBorders>
              <w:top w:val="single" w:sz="8" w:color="auto"/>
            </w:tcBorders>
            <w:shd w:val="clear" w:color="auto" w:fill="D5D5D5"/>
          </w:tcPr>
          <w:p>
            <w:pPr>
              <w:jc w:val="center"/>
              <w:spacing w:after="0"/>
              <w:rPr>
                <w:sz w:val="20"/>
                <w:szCs w:val="20"/>
                <w:color w:val="auto"/>
              </w:rPr>
            </w:pPr>
            <w:r>
              <w:rPr>
                <w:rFonts w:ascii="Times New Roman" w:cs="Times New Roman" w:eastAsia="Times New Roman" w:hAnsi="Times New Roman"/>
                <w:sz w:val="19"/>
                <w:szCs w:val="19"/>
                <w:color w:val="auto"/>
                <w:w w:val="97"/>
              </w:rPr>
              <w:t>25.2%</w:t>
            </w:r>
          </w:p>
        </w:tc>
        <w:tc>
          <w:tcPr>
            <w:tcW w:w="60" w:type="dxa"/>
            <w:vAlign w:val="bottom"/>
            <w:tcBorders>
              <w:top w:val="single" w:sz="8" w:color="D5D5D5"/>
            </w:tcBorders>
            <w:shd w:val="clear" w:color="auto" w:fill="D5D5D5"/>
          </w:tcPr>
          <w:p>
            <w:pPr>
              <w:spacing w:after="0"/>
              <w:rPr>
                <w:sz w:val="23"/>
                <w:szCs w:val="23"/>
                <w:color w:val="auto"/>
              </w:rPr>
            </w:pPr>
          </w:p>
        </w:tc>
      </w:tr>
      <w:tr>
        <w:trPr>
          <w:trHeight w:val="279"/>
        </w:trPr>
        <w:tc>
          <w:tcPr>
            <w:tcW w:w="50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Lumen Technologies, Inc.</w:t>
            </w:r>
          </w:p>
        </w:tc>
        <w:tc>
          <w:tcPr>
            <w:tcW w:w="15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12.1%</w:t>
            </w:r>
          </w:p>
        </w:tc>
        <w:tc>
          <w:tcPr>
            <w:tcW w:w="1620" w:type="dxa"/>
            <w:vAlign w:val="bottom"/>
            <w:gridSpan w:val="2"/>
          </w:tcPr>
          <w:p>
            <w:pPr>
              <w:jc w:val="center"/>
              <w:ind w:left="24"/>
              <w:spacing w:after="0"/>
              <w:rPr>
                <w:sz w:val="20"/>
                <w:szCs w:val="20"/>
                <w:color w:val="auto"/>
              </w:rPr>
            </w:pPr>
            <w:r>
              <w:rPr>
                <w:rFonts w:ascii="Times New Roman" w:cs="Times New Roman" w:eastAsia="Times New Roman" w:hAnsi="Times New Roman"/>
                <w:sz w:val="19"/>
                <w:szCs w:val="19"/>
                <w:color w:val="auto"/>
              </w:rPr>
              <w:t>15.6%</w:t>
            </w:r>
          </w:p>
        </w:tc>
        <w:tc>
          <w:tcPr>
            <w:tcW w:w="1620" w:type="dxa"/>
            <w:vAlign w:val="bottom"/>
            <w:gridSpan w:val="2"/>
          </w:tcPr>
          <w:p>
            <w:pPr>
              <w:jc w:val="center"/>
              <w:ind w:left="4"/>
              <w:spacing w:after="0"/>
              <w:rPr>
                <w:sz w:val="20"/>
                <w:szCs w:val="20"/>
                <w:color w:val="auto"/>
              </w:rPr>
            </w:pPr>
            <w:r>
              <w:rPr>
                <w:rFonts w:ascii="Times New Roman" w:cs="Times New Roman" w:eastAsia="Times New Roman" w:hAnsi="Times New Roman"/>
                <w:sz w:val="19"/>
                <w:szCs w:val="19"/>
                <w:color w:val="auto"/>
                <w:w w:val="97"/>
              </w:rPr>
              <w:t>12.7%</w:t>
            </w:r>
          </w:p>
        </w:tc>
        <w:tc>
          <w:tcPr>
            <w:tcW w:w="60" w:type="dxa"/>
            <w:vAlign w:val="bottom"/>
          </w:tcPr>
          <w:p>
            <w:pPr>
              <w:spacing w:after="0"/>
              <w:rPr>
                <w:sz w:val="24"/>
                <w:szCs w:val="24"/>
                <w:color w:val="auto"/>
              </w:rPr>
            </w:pPr>
          </w:p>
        </w:tc>
      </w:tr>
      <w:tr>
        <w:trPr>
          <w:trHeight w:val="297"/>
        </w:trPr>
        <w:tc>
          <w:tcPr>
            <w:tcW w:w="50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Comcast Corporation</w:t>
            </w:r>
          </w:p>
        </w:tc>
        <w:tc>
          <w:tcPr>
            <w:tcW w:w="1540" w:type="dxa"/>
            <w:vAlign w:val="bottom"/>
            <w:shd w:val="clear" w:color="auto" w:fill="D5D5D5"/>
          </w:tcPr>
          <w:p>
            <w:pPr>
              <w:jc w:val="center"/>
              <w:spacing w:after="0"/>
              <w:rPr>
                <w:sz w:val="20"/>
                <w:szCs w:val="20"/>
                <w:color w:val="auto"/>
              </w:rPr>
            </w:pPr>
            <w:r>
              <w:rPr>
                <w:rFonts w:ascii="Times New Roman" w:cs="Times New Roman" w:eastAsia="Times New Roman" w:hAnsi="Times New Roman"/>
                <w:sz w:val="19"/>
                <w:szCs w:val="19"/>
                <w:color w:val="auto"/>
              </w:rPr>
              <w:t>8.5%</w:t>
            </w:r>
          </w:p>
        </w:tc>
        <w:tc>
          <w:tcPr>
            <w:tcW w:w="1620" w:type="dxa"/>
            <w:vAlign w:val="bottom"/>
            <w:gridSpan w:val="2"/>
            <w:shd w:val="clear" w:color="auto" w:fill="D5D5D5"/>
          </w:tcPr>
          <w:p>
            <w:pPr>
              <w:jc w:val="center"/>
              <w:ind w:left="24"/>
              <w:spacing w:after="0"/>
              <w:rPr>
                <w:sz w:val="20"/>
                <w:szCs w:val="20"/>
                <w:color w:val="auto"/>
              </w:rPr>
            </w:pPr>
            <w:r>
              <w:rPr>
                <w:rFonts w:ascii="Times New Roman" w:cs="Times New Roman" w:eastAsia="Times New Roman" w:hAnsi="Times New Roman"/>
                <w:sz w:val="19"/>
                <w:szCs w:val="19"/>
                <w:color w:val="auto"/>
              </w:rPr>
              <w:t>10.7%</w:t>
            </w:r>
          </w:p>
        </w:tc>
        <w:tc>
          <w:tcPr>
            <w:tcW w:w="1620" w:type="dxa"/>
            <w:vAlign w:val="bottom"/>
            <w:gridSpan w:val="2"/>
            <w:shd w:val="clear" w:color="auto" w:fill="D5D5D5"/>
          </w:tcPr>
          <w:p>
            <w:pPr>
              <w:jc w:val="center"/>
              <w:ind w:left="4"/>
              <w:spacing w:after="0"/>
              <w:rPr>
                <w:sz w:val="20"/>
                <w:szCs w:val="20"/>
                <w:color w:val="auto"/>
              </w:rPr>
            </w:pPr>
            <w:r>
              <w:rPr>
                <w:rFonts w:ascii="Times New Roman" w:cs="Times New Roman" w:eastAsia="Times New Roman" w:hAnsi="Times New Roman"/>
                <w:sz w:val="19"/>
                <w:szCs w:val="19"/>
                <w:color w:val="auto"/>
                <w:w w:val="97"/>
              </w:rPr>
              <w:t>11.3%</w:t>
            </w:r>
          </w:p>
        </w:tc>
        <w:tc>
          <w:tcPr>
            <w:tcW w:w="60" w:type="dxa"/>
            <w:vAlign w:val="bottom"/>
            <w:shd w:val="clear" w:color="auto" w:fill="D5D5D5"/>
          </w:tcPr>
          <w:p>
            <w:pPr>
              <w:spacing w:after="0"/>
              <w:rPr>
                <w:sz w:val="24"/>
                <w:szCs w:val="24"/>
                <w:color w:val="auto"/>
              </w:rPr>
            </w:pPr>
          </w:p>
        </w:tc>
      </w:tr>
      <w:tr>
        <w:trPr>
          <w:trHeight w:val="282"/>
        </w:trPr>
        <w:tc>
          <w:tcPr>
            <w:tcW w:w="50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Charter Communications, Inc.</w:t>
            </w:r>
          </w:p>
        </w:tc>
        <w:tc>
          <w:tcPr>
            <w:tcW w:w="15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7.3%</w:t>
            </w:r>
          </w:p>
        </w:tc>
        <w:tc>
          <w:tcPr>
            <w:tcW w:w="1620" w:type="dxa"/>
            <w:vAlign w:val="bottom"/>
            <w:gridSpan w:val="2"/>
          </w:tcPr>
          <w:p>
            <w:pPr>
              <w:jc w:val="center"/>
              <w:ind w:left="4"/>
              <w:spacing w:after="0"/>
              <w:rPr>
                <w:sz w:val="20"/>
                <w:szCs w:val="20"/>
                <w:color w:val="auto"/>
              </w:rPr>
            </w:pPr>
            <w:r>
              <w:rPr>
                <w:rFonts w:ascii="Times New Roman" w:cs="Times New Roman" w:eastAsia="Times New Roman" w:hAnsi="Times New Roman"/>
                <w:sz w:val="19"/>
                <w:szCs w:val="19"/>
                <w:color w:val="auto"/>
              </w:rPr>
              <w:t>4.4%</w:t>
            </w:r>
          </w:p>
        </w:tc>
        <w:tc>
          <w:tcPr>
            <w:tcW w:w="1620" w:type="dxa"/>
            <w:vAlign w:val="bottom"/>
            <w:gridSpan w:val="2"/>
          </w:tcPr>
          <w:p>
            <w:pPr>
              <w:jc w:val="center"/>
              <w:ind w:left="4"/>
              <w:spacing w:after="0"/>
              <w:rPr>
                <w:sz w:val="20"/>
                <w:szCs w:val="20"/>
                <w:color w:val="auto"/>
              </w:rPr>
            </w:pPr>
            <w:r>
              <w:rPr>
                <w:rFonts w:ascii="Times New Roman" w:cs="Times New Roman" w:eastAsia="Times New Roman" w:hAnsi="Times New Roman"/>
                <w:sz w:val="19"/>
                <w:szCs w:val="19"/>
                <w:color w:val="auto"/>
              </w:rPr>
              <w:t>1.8%</w:t>
            </w:r>
          </w:p>
        </w:tc>
        <w:tc>
          <w:tcPr>
            <w:tcW w:w="60" w:type="dxa"/>
            <w:vAlign w:val="bottom"/>
          </w:tcPr>
          <w:p>
            <w:pPr>
              <w:spacing w:after="0"/>
              <w:rPr>
                <w:sz w:val="24"/>
                <w:szCs w:val="24"/>
                <w:color w:val="auto"/>
              </w:rPr>
            </w:pPr>
          </w:p>
        </w:tc>
      </w:tr>
      <w:tr>
        <w:trPr>
          <w:trHeight w:val="294"/>
        </w:trPr>
        <w:tc>
          <w:tcPr>
            <w:tcW w:w="50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Brightspeed</w:t>
            </w:r>
          </w:p>
        </w:tc>
        <w:tc>
          <w:tcPr>
            <w:tcW w:w="1540" w:type="dxa"/>
            <w:vAlign w:val="bottom"/>
            <w:shd w:val="clear" w:color="auto" w:fill="D5D5D5"/>
          </w:tcPr>
          <w:p>
            <w:pPr>
              <w:jc w:val="center"/>
              <w:spacing w:after="0"/>
              <w:rPr>
                <w:sz w:val="20"/>
                <w:szCs w:val="20"/>
                <w:color w:val="auto"/>
              </w:rPr>
            </w:pPr>
            <w:r>
              <w:rPr>
                <w:rFonts w:ascii="Times New Roman" w:cs="Times New Roman" w:eastAsia="Times New Roman" w:hAnsi="Times New Roman"/>
                <w:sz w:val="19"/>
                <w:szCs w:val="19"/>
                <w:color w:val="auto"/>
              </w:rPr>
              <w:t>6.6%</w:t>
            </w:r>
          </w:p>
        </w:tc>
        <w:tc>
          <w:tcPr>
            <w:tcW w:w="1620" w:type="dxa"/>
            <w:vAlign w:val="bottom"/>
            <w:gridSpan w:val="2"/>
            <w:shd w:val="clear" w:color="auto" w:fill="D5D5D5"/>
          </w:tcPr>
          <w:p>
            <w:pPr>
              <w:jc w:val="center"/>
              <w:ind w:left="4"/>
              <w:spacing w:after="0"/>
              <w:rPr>
                <w:sz w:val="20"/>
                <w:szCs w:val="20"/>
                <w:color w:val="auto"/>
              </w:rPr>
            </w:pPr>
            <w:r>
              <w:rPr>
                <w:rFonts w:ascii="Times New Roman" w:cs="Times New Roman" w:eastAsia="Times New Roman" w:hAnsi="Times New Roman"/>
                <w:sz w:val="19"/>
                <w:szCs w:val="19"/>
                <w:color w:val="auto"/>
              </w:rPr>
              <w:t>4.7%</w:t>
            </w:r>
          </w:p>
        </w:tc>
        <w:tc>
          <w:tcPr>
            <w:tcW w:w="1620" w:type="dxa"/>
            <w:vAlign w:val="bottom"/>
            <w:gridSpan w:val="2"/>
            <w:shd w:val="clear" w:color="auto" w:fill="D5D5D5"/>
          </w:tcPr>
          <w:p>
            <w:pPr>
              <w:jc w:val="center"/>
              <w:ind w:left="4"/>
              <w:spacing w:after="0"/>
              <w:rPr>
                <w:sz w:val="20"/>
                <w:szCs w:val="20"/>
                <w:color w:val="auto"/>
              </w:rPr>
            </w:pPr>
            <w:r>
              <w:rPr>
                <w:rFonts w:ascii="Times New Roman" w:cs="Times New Roman" w:eastAsia="Times New Roman" w:hAnsi="Times New Roman"/>
                <w:sz w:val="19"/>
                <w:szCs w:val="19"/>
                <w:color w:val="auto"/>
              </w:rPr>
              <w:t>1.0%</w:t>
            </w:r>
          </w:p>
        </w:tc>
        <w:tc>
          <w:tcPr>
            <w:tcW w:w="60" w:type="dxa"/>
            <w:vAlign w:val="bottom"/>
            <w:shd w:val="clear" w:color="auto" w:fill="D5D5D5"/>
          </w:tcPr>
          <w:p>
            <w:pPr>
              <w:spacing w:after="0"/>
              <w:rPr>
                <w:sz w:val="24"/>
                <w:szCs w:val="24"/>
                <w:color w:val="auto"/>
              </w:rPr>
            </w:pPr>
          </w:p>
        </w:tc>
      </w:tr>
      <w:tr>
        <w:trPr>
          <w:trHeight w:val="282"/>
        </w:trPr>
        <w:tc>
          <w:tcPr>
            <w:tcW w:w="50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Verizon Communications, Inc.</w:t>
            </w:r>
          </w:p>
        </w:tc>
        <w:tc>
          <w:tcPr>
            <w:tcW w:w="15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6.1%</w:t>
            </w:r>
          </w:p>
        </w:tc>
        <w:tc>
          <w:tcPr>
            <w:tcW w:w="1620" w:type="dxa"/>
            <w:vAlign w:val="bottom"/>
            <w:gridSpan w:val="2"/>
          </w:tcPr>
          <w:p>
            <w:pPr>
              <w:jc w:val="center"/>
              <w:ind w:left="4"/>
              <w:spacing w:after="0"/>
              <w:rPr>
                <w:sz w:val="20"/>
                <w:szCs w:val="20"/>
                <w:color w:val="auto"/>
              </w:rPr>
            </w:pPr>
            <w:r>
              <w:rPr>
                <w:rFonts w:ascii="Times New Roman" w:cs="Times New Roman" w:eastAsia="Times New Roman" w:hAnsi="Times New Roman"/>
                <w:sz w:val="19"/>
                <w:szCs w:val="19"/>
                <w:color w:val="auto"/>
              </w:rPr>
              <w:t>9.0%</w:t>
            </w:r>
          </w:p>
        </w:tc>
        <w:tc>
          <w:tcPr>
            <w:tcW w:w="1620" w:type="dxa"/>
            <w:vAlign w:val="bottom"/>
            <w:gridSpan w:val="2"/>
          </w:tcPr>
          <w:p>
            <w:pPr>
              <w:jc w:val="center"/>
              <w:ind w:left="4"/>
              <w:spacing w:after="0"/>
              <w:rPr>
                <w:sz w:val="20"/>
                <w:szCs w:val="20"/>
                <w:color w:val="auto"/>
              </w:rPr>
            </w:pPr>
            <w:r>
              <w:rPr>
                <w:rFonts w:ascii="Times New Roman" w:cs="Times New Roman" w:eastAsia="Times New Roman" w:hAnsi="Times New Roman"/>
                <w:sz w:val="19"/>
                <w:szCs w:val="19"/>
                <w:color w:val="auto"/>
              </w:rPr>
              <w:t>9.1%</w:t>
            </w:r>
          </w:p>
        </w:tc>
        <w:tc>
          <w:tcPr>
            <w:tcW w:w="60" w:type="dxa"/>
            <w:vAlign w:val="bottom"/>
          </w:tcPr>
          <w:p>
            <w:pPr>
              <w:spacing w:after="0"/>
              <w:rPr>
                <w:sz w:val="24"/>
                <w:szCs w:val="24"/>
                <w:color w:val="auto"/>
              </w:rPr>
            </w:pPr>
          </w:p>
        </w:tc>
      </w:tr>
      <w:tr>
        <w:trPr>
          <w:trHeight w:val="294"/>
        </w:trPr>
        <w:tc>
          <w:tcPr>
            <w:tcW w:w="50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Frontier Communications Corporation</w:t>
            </w:r>
          </w:p>
        </w:tc>
        <w:tc>
          <w:tcPr>
            <w:tcW w:w="1540" w:type="dxa"/>
            <w:vAlign w:val="bottom"/>
            <w:shd w:val="clear" w:color="auto" w:fill="D5D5D5"/>
          </w:tcPr>
          <w:p>
            <w:pPr>
              <w:jc w:val="center"/>
              <w:spacing w:after="0"/>
              <w:rPr>
                <w:sz w:val="20"/>
                <w:szCs w:val="20"/>
                <w:color w:val="auto"/>
              </w:rPr>
            </w:pPr>
            <w:r>
              <w:rPr>
                <w:rFonts w:ascii="Times New Roman" w:cs="Times New Roman" w:eastAsia="Times New Roman" w:hAnsi="Times New Roman"/>
                <w:sz w:val="19"/>
                <w:szCs w:val="19"/>
                <w:color w:val="auto"/>
              </w:rPr>
              <w:t>6.0%</w:t>
            </w:r>
          </w:p>
        </w:tc>
        <w:tc>
          <w:tcPr>
            <w:tcW w:w="1620" w:type="dxa"/>
            <w:vAlign w:val="bottom"/>
            <w:gridSpan w:val="2"/>
            <w:shd w:val="clear" w:color="auto" w:fill="D5D5D5"/>
          </w:tcPr>
          <w:p>
            <w:pPr>
              <w:jc w:val="center"/>
              <w:ind w:left="4"/>
              <w:spacing w:after="0"/>
              <w:rPr>
                <w:sz w:val="20"/>
                <w:szCs w:val="20"/>
                <w:color w:val="auto"/>
              </w:rPr>
            </w:pPr>
            <w:r>
              <w:rPr>
                <w:rFonts w:ascii="Times New Roman" w:cs="Times New Roman" w:eastAsia="Times New Roman" w:hAnsi="Times New Roman"/>
                <w:sz w:val="19"/>
                <w:szCs w:val="19"/>
                <w:color w:val="auto"/>
              </w:rPr>
              <w:t>5.1%</w:t>
            </w:r>
          </w:p>
        </w:tc>
        <w:tc>
          <w:tcPr>
            <w:tcW w:w="1620" w:type="dxa"/>
            <w:vAlign w:val="bottom"/>
            <w:gridSpan w:val="2"/>
            <w:shd w:val="clear" w:color="auto" w:fill="D5D5D5"/>
          </w:tcPr>
          <w:p>
            <w:pPr>
              <w:jc w:val="center"/>
              <w:ind w:left="4"/>
              <w:spacing w:after="0"/>
              <w:rPr>
                <w:sz w:val="20"/>
                <w:szCs w:val="20"/>
                <w:color w:val="auto"/>
              </w:rPr>
            </w:pPr>
            <w:r>
              <w:rPr>
                <w:rFonts w:ascii="Times New Roman" w:cs="Times New Roman" w:eastAsia="Times New Roman" w:hAnsi="Times New Roman"/>
                <w:sz w:val="19"/>
                <w:szCs w:val="19"/>
                <w:color w:val="auto"/>
              </w:rPr>
              <w:t>8.5%</w:t>
            </w:r>
          </w:p>
        </w:tc>
        <w:tc>
          <w:tcPr>
            <w:tcW w:w="60" w:type="dxa"/>
            <w:vAlign w:val="bottom"/>
            <w:shd w:val="clear" w:color="auto" w:fill="D5D5D5"/>
          </w:tcPr>
          <w:p>
            <w:pPr>
              <w:spacing w:after="0"/>
              <w:rPr>
                <w:sz w:val="24"/>
                <w:szCs w:val="24"/>
                <w:color w:val="auto"/>
              </w:rPr>
            </w:pPr>
          </w:p>
        </w:tc>
      </w:tr>
    </w:tbl>
    <w:p>
      <w:pPr>
        <w:spacing w:after="0" w:line="285" w:lineRule="exact"/>
        <w:rPr>
          <w:sz w:val="20"/>
          <w:szCs w:val="20"/>
          <w:color w:val="auto"/>
        </w:rPr>
      </w:pPr>
    </w:p>
    <w:p>
      <w:pPr>
        <w:ind w:right="820" w:firstLine="345"/>
        <w:spacing w:after="0" w:line="289" w:lineRule="auto"/>
        <w:rPr>
          <w:sz w:val="20"/>
          <w:szCs w:val="20"/>
          <w:color w:val="auto"/>
        </w:rPr>
      </w:pPr>
      <w:r>
        <w:rPr>
          <w:rFonts w:ascii="Times New Roman" w:cs="Times New Roman" w:eastAsia="Times New Roman" w:hAnsi="Times New Roman"/>
          <w:sz w:val="19"/>
          <w:szCs w:val="19"/>
          <w:color w:val="auto"/>
        </w:rPr>
        <w:t>In addition, another customer contributed 7.4%, 5.5% and 3.7% to our total contract revenues during fiscal 2025, fiscal 2024, and fiscal 2023, respectively.</w:t>
      </w:r>
    </w:p>
    <w:p>
      <w:pPr>
        <w:spacing w:after="0" w:line="165" w:lineRule="exact"/>
        <w:rPr>
          <w:sz w:val="20"/>
          <w:szCs w:val="20"/>
          <w:color w:val="auto"/>
        </w:rPr>
      </w:pPr>
    </w:p>
    <w:p>
      <w:pPr>
        <w:ind w:right="40" w:firstLine="345"/>
        <w:spacing w:after="0" w:line="256" w:lineRule="auto"/>
        <w:rPr>
          <w:sz w:val="20"/>
          <w:szCs w:val="20"/>
          <w:color w:val="auto"/>
        </w:rPr>
      </w:pPr>
      <w:r>
        <w:rPr>
          <w:rFonts w:ascii="Times New Roman" w:cs="Times New Roman" w:eastAsia="Times New Roman" w:hAnsi="Times New Roman"/>
          <w:sz w:val="19"/>
          <w:szCs w:val="19"/>
          <w:color w:val="auto"/>
        </w:rPr>
        <w:t>We perform a majority of our services under master service agreements and other contracts that contain customer-specified service requirements. These agreements include discrete pricing for individual tasks. We generally possess multiple agreements with each of our significant customers. To the extent that such agreements specify exclusivity, there are often exceptions, including the ability of the customer to issue work orders valued above a specified dollar amount to other service providers, the performance of work with the customer’s own employees, and the use of other service providers when jointly placing facilities with another utility. In many cases, a customer may terminate an agreement for convenience. Historically, multi-year master service agreements have been awarded primarily through a competitive bidding process; however, occasionally we are able to negotiate extensions to these agreements. We provide the remainder of our services pursuant to contracts for specific projects. These contracts may be long-term (with terms greater than one year) or short-term (with terms less than one year) and at times include retainage provisions under which the customer may withhold 5% to 10% of the invoiced amounts pending project completion and closeout.</w:t>
      </w:r>
    </w:p>
    <w:p>
      <w:pPr>
        <w:spacing w:after="0" w:line="201" w:lineRule="exact"/>
        <w:rPr>
          <w:sz w:val="20"/>
          <w:szCs w:val="20"/>
          <w:color w:val="auto"/>
        </w:rPr>
      </w:pPr>
    </w:p>
    <w:p>
      <w:pPr>
        <w:ind w:right="420" w:firstLine="345"/>
        <w:spacing w:after="0" w:line="289" w:lineRule="auto"/>
        <w:rPr>
          <w:sz w:val="20"/>
          <w:szCs w:val="20"/>
          <w:color w:val="auto"/>
        </w:rPr>
      </w:pPr>
      <w:r>
        <w:rPr>
          <w:rFonts w:ascii="Times New Roman" w:cs="Times New Roman" w:eastAsia="Times New Roman" w:hAnsi="Times New Roman"/>
          <w:sz w:val="19"/>
          <w:szCs w:val="19"/>
          <w:color w:val="auto"/>
        </w:rPr>
        <w:t>The following table summarizes our contract revenues from multi-year master service agreements and other long-term contracts, as a percentage of contract revenues:</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66"/>
        </w:trPr>
        <w:tc>
          <w:tcPr>
            <w:tcW w:w="5040" w:type="dxa"/>
            <w:vAlign w:val="bottom"/>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Fiscal Year Ended</w:t>
            </w:r>
          </w:p>
        </w:tc>
        <w:tc>
          <w:tcPr>
            <w:tcW w:w="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r>
      <w:tr>
        <w:trPr>
          <w:trHeight w:val="258"/>
        </w:trPr>
        <w:tc>
          <w:tcPr>
            <w:tcW w:w="5040" w:type="dxa"/>
            <w:vAlign w:val="bottom"/>
            <w:tcBorders>
              <w:bottom w:val="single" w:sz="8" w:color="D5D5D5"/>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60" w:type="dxa"/>
            <w:vAlign w:val="bottom"/>
            <w:tcBorders>
              <w:bottom w:val="single" w:sz="8" w:color="D5D5D5"/>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January 27, 2024</w:t>
            </w:r>
          </w:p>
        </w:tc>
        <w:tc>
          <w:tcPr>
            <w:tcW w:w="80" w:type="dxa"/>
            <w:vAlign w:val="bottom"/>
            <w:tcBorders>
              <w:bottom w:val="single" w:sz="8" w:color="D5D5D5"/>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January 28, 2023</w:t>
            </w:r>
          </w:p>
        </w:tc>
      </w:tr>
      <w:tr>
        <w:trPr>
          <w:trHeight w:val="278"/>
        </w:trPr>
        <w:tc>
          <w:tcPr>
            <w:tcW w:w="504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Multi-year master service agreements</w:t>
            </w:r>
          </w:p>
        </w:tc>
        <w:tc>
          <w:tcPr>
            <w:tcW w:w="15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79.3 %</w:t>
            </w:r>
          </w:p>
        </w:tc>
        <w:tc>
          <w:tcPr>
            <w:tcW w:w="160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77.7 %</w:t>
            </w:r>
          </w:p>
        </w:tc>
        <w:tc>
          <w:tcPr>
            <w:tcW w:w="162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79.5 %</w:t>
            </w:r>
          </w:p>
        </w:tc>
      </w:tr>
      <w:tr>
        <w:trPr>
          <w:trHeight w:val="278"/>
        </w:trPr>
        <w:tc>
          <w:tcPr>
            <w:tcW w:w="5040" w:type="dxa"/>
            <w:vAlign w:val="bottom"/>
            <w:tcBorders>
              <w:bottom w:val="single" w:sz="8" w:color="D5D5D5"/>
            </w:tcBorders>
          </w:tcPr>
          <w:p>
            <w:pPr>
              <w:ind w:left="40"/>
              <w:spacing w:after="0"/>
              <w:rPr>
                <w:sz w:val="20"/>
                <w:szCs w:val="20"/>
                <w:color w:val="auto"/>
              </w:rPr>
            </w:pPr>
            <w:r>
              <w:rPr>
                <w:rFonts w:ascii="Times New Roman" w:cs="Times New Roman" w:eastAsia="Times New Roman" w:hAnsi="Times New Roman"/>
                <w:sz w:val="19"/>
                <w:szCs w:val="19"/>
                <w:color w:val="auto"/>
              </w:rPr>
              <w:t>Other long-term contracts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10.0 %</w:t>
            </w:r>
          </w:p>
        </w:tc>
        <w:tc>
          <w:tcPr>
            <w:tcW w:w="60" w:type="dxa"/>
            <w:vAlign w:val="bottom"/>
            <w:tcBorders>
              <w:bottom w:val="single" w:sz="8" w:color="D5D5D5"/>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11.9 %</w:t>
            </w:r>
          </w:p>
        </w:tc>
        <w:tc>
          <w:tcPr>
            <w:tcW w:w="80" w:type="dxa"/>
            <w:vAlign w:val="bottom"/>
            <w:tcBorders>
              <w:bottom w:val="single" w:sz="8" w:color="D5D5D5"/>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10.5 %</w:t>
            </w:r>
          </w:p>
        </w:tc>
      </w:tr>
      <w:tr>
        <w:trPr>
          <w:trHeight w:val="287"/>
        </w:trPr>
        <w:tc>
          <w:tcPr>
            <w:tcW w:w="5040" w:type="dxa"/>
            <w:vAlign w:val="bottom"/>
            <w:tcBorders>
              <w:bottom w:val="single" w:sz="8" w:color="D5D5D5"/>
            </w:tcBorders>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Total long-term contracts</w:t>
            </w:r>
          </w:p>
        </w:tc>
        <w:tc>
          <w:tcPr>
            <w:tcW w:w="154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89.3 %</w:t>
            </w:r>
          </w:p>
        </w:tc>
        <w:tc>
          <w:tcPr>
            <w:tcW w:w="60" w:type="dxa"/>
            <w:vAlign w:val="bottom"/>
            <w:tcBorders>
              <w:bottom w:val="single" w:sz="8" w:color="D5D5D5"/>
            </w:tcBorders>
            <w:shd w:val="clear" w:color="auto" w:fill="D5D5D5"/>
          </w:tcPr>
          <w:p>
            <w:pPr>
              <w:spacing w:after="0"/>
              <w:rPr>
                <w:sz w:val="24"/>
                <w:szCs w:val="24"/>
                <w:color w:val="auto"/>
              </w:rPr>
            </w:pPr>
          </w:p>
        </w:tc>
        <w:tc>
          <w:tcPr>
            <w:tcW w:w="154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89.6 %</w:t>
            </w:r>
          </w:p>
        </w:tc>
        <w:tc>
          <w:tcPr>
            <w:tcW w:w="80" w:type="dxa"/>
            <w:vAlign w:val="bottom"/>
            <w:tcBorders>
              <w:bottom w:val="single" w:sz="8" w:color="D5D5D5"/>
            </w:tcBorders>
            <w:shd w:val="clear" w:color="auto" w:fill="D5D5D5"/>
          </w:tcPr>
          <w:p>
            <w:pPr>
              <w:spacing w:after="0"/>
              <w:rPr>
                <w:sz w:val="24"/>
                <w:szCs w:val="24"/>
                <w:color w:val="auto"/>
              </w:rPr>
            </w:pPr>
          </w:p>
        </w:tc>
        <w:tc>
          <w:tcPr>
            <w:tcW w:w="154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90.0 %</w:t>
            </w:r>
          </w:p>
        </w:tc>
      </w:tr>
    </w:tbl>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Acquisitions</w:t>
      </w:r>
    </w:p>
    <w:p>
      <w:pPr>
        <w:spacing w:after="0" w:line="250" w:lineRule="exact"/>
        <w:rPr>
          <w:sz w:val="20"/>
          <w:szCs w:val="20"/>
          <w:color w:val="auto"/>
        </w:rPr>
      </w:pPr>
    </w:p>
    <w:p>
      <w:pPr>
        <w:ind w:right="80" w:firstLine="345"/>
        <w:spacing w:after="0" w:line="265" w:lineRule="auto"/>
        <w:rPr>
          <w:sz w:val="20"/>
          <w:szCs w:val="20"/>
          <w:color w:val="auto"/>
        </w:rPr>
      </w:pPr>
      <w:r>
        <w:rPr>
          <w:rFonts w:ascii="Times New Roman" w:cs="Times New Roman" w:eastAsia="Times New Roman" w:hAnsi="Times New Roman"/>
          <w:sz w:val="19"/>
          <w:szCs w:val="19"/>
          <w:color w:val="auto"/>
        </w:rPr>
        <w:t>As part of our growth strategy, we may acquire companies that expand, complement, or diversify our business. We regularly review opportunities and periodically engage in discussions regarding possible acquisitions. Our ability to sustain our growth and maintain our competitive position may be affected by our ability to identify, acquire, and successfully integrate companies.</w:t>
      </w:r>
    </w:p>
    <w:p>
      <w:pPr>
        <w:spacing w:after="0" w:line="184" w:lineRule="exact"/>
        <w:rPr>
          <w:sz w:val="20"/>
          <w:szCs w:val="20"/>
          <w:color w:val="auto"/>
        </w:rPr>
      </w:pPr>
    </w:p>
    <w:p>
      <w:pPr>
        <w:ind w:right="420" w:firstLine="345"/>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 xml:space="preserve">Fiscal 2025. </w:t>
      </w:r>
      <w:r>
        <w:rPr>
          <w:rFonts w:ascii="Times New Roman" w:cs="Times New Roman" w:eastAsia="Times New Roman" w:hAnsi="Times New Roman"/>
          <w:sz w:val="19"/>
          <w:szCs w:val="19"/>
          <w:color w:val="auto"/>
        </w:rPr>
        <w:t>During the third quarter of fiscal 2025, we acquired certain assets and assumed certain liabilities of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telecommunications construction contractor for a cash purchase price of $150.7 million. The acquired business provides wireless construction services for telecommunications providers in various states. This acquisition expands our geographic presence within our existing customer base.</w:t>
      </w:r>
    </w:p>
    <w:p>
      <w:pPr>
        <w:spacing w:after="0" w:line="186" w:lineRule="exact"/>
        <w:rPr>
          <w:sz w:val="20"/>
          <w:szCs w:val="20"/>
          <w:color w:val="auto"/>
        </w:rPr>
      </w:pPr>
    </w:p>
    <w:p>
      <w:pPr>
        <w:ind w:right="40" w:firstLine="345"/>
        <w:spacing w:after="0" w:line="265" w:lineRule="auto"/>
        <w:rPr>
          <w:sz w:val="20"/>
          <w:szCs w:val="20"/>
          <w:color w:val="auto"/>
        </w:rPr>
      </w:pPr>
      <w:r>
        <w:rPr>
          <w:rFonts w:ascii="Times New Roman" w:cs="Times New Roman" w:eastAsia="Times New Roman" w:hAnsi="Times New Roman"/>
          <w:sz w:val="19"/>
          <w:szCs w:val="19"/>
          <w:color w:val="auto"/>
        </w:rPr>
        <w:t>During the second quarter of fiscal 2025, we acquired a telecommunications construction contractor for a total purchase price of $24.5 million ($20.4 million purchase price plus cash acquired of $4.1 million). The acquired company is located in the northwestern United States and provides construction and maintenance services to telecommunications providers, with the majority of its revenues generated in Alaska. This acquisition expands our geographic presence and our customer base.</w:t>
      </w:r>
    </w:p>
    <w:p>
      <w:pPr>
        <w:sectPr>
          <w:pgSz w:w="11880" w:h="15480" w:orient="portrait"/>
          <w:cols w:equalWidth="0" w:num="1">
            <w:col w:w="9840"/>
          </w:cols>
          <w:pgMar w:left="1000" w:top="89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254000</wp:posOffset>
            </wp:positionV>
            <wp:extent cx="76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8">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254000</wp:posOffset>
            </wp:positionV>
            <wp:extent cx="76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9">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40"/>
          </w:cols>
          <w:pgMar w:left="1000" w:top="897" w:right="1040" w:bottom="0" w:gutter="0" w:footer="0" w:header="0"/>
          <w:type w:val="continuous"/>
        </w:sectPr>
      </w:pPr>
    </w:p>
    <w:bookmarkStart w:id="31" w:name="page32"/>
    <w:bookmarkEnd w:id="31"/>
    <w:p>
      <w:pPr>
        <w:ind w:right="680" w:firstLine="345"/>
        <w:spacing w:after="0" w:line="265" w:lineRule="auto"/>
        <w:rPr>
          <w:sz w:val="20"/>
          <w:szCs w:val="20"/>
          <w:color w:val="auto"/>
        </w:rPr>
      </w:pPr>
      <w:r>
        <w:rPr>
          <w:rFonts w:ascii="Times New Roman" w:cs="Times New Roman" w:eastAsia="Times New Roman" w:hAnsi="Times New Roman"/>
          <w:sz w:val="19"/>
          <w:szCs w:val="19"/>
          <w:color w:val="auto"/>
        </w:rPr>
        <w:t>During the first quarter of fiscal 2025, we acquired a telecommunications construction contractor for $16.0 million ($12.8 million purchase price, plus cash acquired of $3.2 million). The acquired company provides construction and maintenance services for telecommunications providers in the midwestern United States. This acquisition expands our geographic presence within our existing customer base.</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Fiscal 2024. </w:t>
      </w:r>
      <w:r>
        <w:rPr>
          <w:rFonts w:ascii="Times New Roman" w:cs="Times New Roman" w:eastAsia="Times New Roman" w:hAnsi="Times New Roman"/>
          <w:sz w:val="19"/>
          <w:szCs w:val="19"/>
          <w:color w:val="auto"/>
        </w:rPr>
        <w:t>During August 2023, we acquired Bigham Cable Construction, Inc. (“Bigham”), for $131.2 million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($127.0 million fixed purchase price, plus cash acquired of $8.3 million, less indebtedness of $4.1 million). Bigham provides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construction and maintenance services for telecommunications providers in the southeastern United States. This acquisition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expands our geographic presence within our existing customer base</w:t>
      </w:r>
    </w:p>
    <w:p>
      <w:pPr>
        <w:spacing w:after="0" w:line="239" w:lineRule="exact"/>
        <w:rPr>
          <w:sz w:val="20"/>
          <w:szCs w:val="20"/>
          <w:color w:val="auto"/>
        </w:rPr>
      </w:pPr>
    </w:p>
    <w:p>
      <w:pPr>
        <w:ind w:right="700" w:firstLine="345"/>
        <w:spacing w:after="0" w:line="292" w:lineRule="auto"/>
        <w:rPr>
          <w:sz w:val="20"/>
          <w:szCs w:val="20"/>
          <w:color w:val="auto"/>
        </w:rPr>
      </w:pPr>
      <w:r>
        <w:rPr>
          <w:rFonts w:ascii="Times New Roman" w:cs="Times New Roman" w:eastAsia="Times New Roman" w:hAnsi="Times New Roman"/>
          <w:sz w:val="19"/>
          <w:szCs w:val="19"/>
          <w:b w:val="1"/>
          <w:bCs w:val="1"/>
          <w:i w:val="1"/>
          <w:iCs w:val="1"/>
          <w:color w:val="auto"/>
        </w:rPr>
        <w:t xml:space="preserve">Fiscal 2023. </w:t>
      </w:r>
      <w:r>
        <w:rPr>
          <w:rFonts w:ascii="Times New Roman" w:cs="Times New Roman" w:eastAsia="Times New Roman" w:hAnsi="Times New Roman"/>
          <w:sz w:val="19"/>
          <w:szCs w:val="19"/>
          <w:color w:val="auto"/>
        </w:rPr>
        <w:t>During the fourth quarter of fiscal 2023, we acquired the assets of a telecommunications construction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company for $0.4 million.</w:t>
      </w:r>
    </w:p>
    <w:p>
      <w:pPr>
        <w:spacing w:after="0" w:line="162" w:lineRule="exact"/>
        <w:rPr>
          <w:sz w:val="20"/>
          <w:szCs w:val="20"/>
          <w:color w:val="auto"/>
        </w:rPr>
      </w:pPr>
    </w:p>
    <w:p>
      <w:pPr>
        <w:ind w:right="20" w:firstLine="345"/>
        <w:spacing w:after="0" w:line="265" w:lineRule="auto"/>
        <w:rPr>
          <w:sz w:val="20"/>
          <w:szCs w:val="20"/>
          <w:color w:val="auto"/>
        </w:rPr>
      </w:pPr>
      <w:r>
        <w:rPr>
          <w:rFonts w:ascii="Times New Roman" w:cs="Times New Roman" w:eastAsia="Times New Roman" w:hAnsi="Times New Roman"/>
          <w:sz w:val="19"/>
          <w:szCs w:val="19"/>
          <w:color w:val="auto"/>
        </w:rPr>
        <w:t>Results of the businesses acquired are included in our consolidated financial statements from their respective dates of acquisition. The purchase price allocations of the companies acquired in fiscal 2025 are preliminary and will be completed when valuations for intangible assets and other amounts are finalized within the 12-month measurement period from the date of acquisition.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Understanding Our Results of Operations</w:t>
      </w:r>
    </w:p>
    <w:p>
      <w:pPr>
        <w:spacing w:after="0" w:line="250" w:lineRule="exact"/>
        <w:rPr>
          <w:sz w:val="20"/>
          <w:szCs w:val="20"/>
          <w:color w:val="auto"/>
        </w:rPr>
      </w:pPr>
    </w:p>
    <w:p>
      <w:pPr>
        <w:ind w:right="260" w:firstLine="345"/>
        <w:spacing w:after="0" w:line="265" w:lineRule="auto"/>
        <w:rPr>
          <w:sz w:val="20"/>
          <w:szCs w:val="20"/>
          <w:color w:val="auto"/>
        </w:rPr>
      </w:pPr>
      <w:r>
        <w:rPr>
          <w:rFonts w:ascii="Times New Roman" w:cs="Times New Roman" w:eastAsia="Times New Roman" w:hAnsi="Times New Roman"/>
          <w:sz w:val="19"/>
          <w:szCs w:val="19"/>
          <w:color w:val="auto"/>
        </w:rPr>
        <w:t xml:space="preserve">The following information is presented so that the reader may better understand certain factors impacting our results of operations, and should be read in conjunction with </w:t>
      </w:r>
      <w:r>
        <w:rPr>
          <w:rFonts w:ascii="Times New Roman" w:cs="Times New Roman" w:eastAsia="Times New Roman" w:hAnsi="Times New Roman"/>
          <w:sz w:val="19"/>
          <w:szCs w:val="19"/>
          <w:b w:val="1"/>
          <w:bCs w:val="1"/>
          <w:i w:val="1"/>
          <w:iCs w:val="1"/>
          <w:color w:val="auto"/>
        </w:rPr>
        <w:t>Critical Accounting Policies and Estimates</w:t>
      </w:r>
      <w:r>
        <w:rPr>
          <w:rFonts w:ascii="Times New Roman" w:cs="Times New Roman" w:eastAsia="Times New Roman" w:hAnsi="Times New Roman"/>
          <w:sz w:val="19"/>
          <w:szCs w:val="19"/>
          <w:color w:val="auto"/>
        </w:rPr>
        <w:t xml:space="preserve"> below, as well as Note 2, </w:t>
      </w:r>
      <w:r>
        <w:rPr>
          <w:rFonts w:ascii="Times New Roman" w:cs="Times New Roman" w:eastAsia="Times New Roman" w:hAnsi="Times New Roman"/>
          <w:sz w:val="19"/>
          <w:szCs w:val="19"/>
          <w:b w:val="1"/>
          <w:bCs w:val="1"/>
          <w:i w:val="1"/>
          <w:iCs w:val="1"/>
          <w:color w:val="auto"/>
        </w:rPr>
        <w:t>Significant Accounting Policies &amp; Estimates</w:t>
      </w:r>
      <w:r>
        <w:rPr>
          <w:rFonts w:ascii="Times New Roman" w:cs="Times New Roman" w:eastAsia="Times New Roman" w:hAnsi="Times New Roman"/>
          <w:sz w:val="19"/>
          <w:szCs w:val="19"/>
          <w:color w:val="auto"/>
        </w:rPr>
        <w:t>, in the Notes to the Consolidated Financial Statements in this Annual Report 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Form 10-K.</w:t>
      </w:r>
    </w:p>
    <w:p>
      <w:pPr>
        <w:spacing w:after="0" w:line="184" w:lineRule="exact"/>
        <w:rPr>
          <w:sz w:val="20"/>
          <w:szCs w:val="20"/>
          <w:color w:val="auto"/>
        </w:rPr>
      </w:pPr>
    </w:p>
    <w:p>
      <w:pPr>
        <w:ind w:firstLine="345"/>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Contract Revenues. </w:t>
      </w:r>
      <w:r>
        <w:rPr>
          <w:rFonts w:ascii="Times New Roman" w:cs="Times New Roman" w:eastAsia="Times New Roman" w:hAnsi="Times New Roman"/>
          <w:sz w:val="19"/>
          <w:szCs w:val="19"/>
          <w:color w:val="auto"/>
        </w:rPr>
        <w:t>We perform a significant amount of our services under master service agreements and other contracts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that contain customer-specified service requirements. These agreements include discrete pricing for individual tasks including, for example, the placement of underground or aerial fiber, directional boring, and fiber splicing, each based on a specific unit of measure. Contract revenue is recognized over time as services are performed and customers simultaneously receive and consume the benefits we provide. Output measures, such as units delivered, are utilized to assess progress against specific contractual performance obligations for the majority of our services. For certain contracts, we use the cost-to-cost measure of progress as more fully described within </w:t>
      </w:r>
      <w:r>
        <w:rPr>
          <w:rFonts w:ascii="Times New Roman" w:cs="Times New Roman" w:eastAsia="Times New Roman" w:hAnsi="Times New Roman"/>
          <w:sz w:val="19"/>
          <w:szCs w:val="19"/>
          <w:b w:val="1"/>
          <w:bCs w:val="1"/>
          <w:i w:val="1"/>
          <w:iCs w:val="1"/>
          <w:color w:val="auto"/>
        </w:rPr>
        <w:t>Critical Accounting Policies and Estimates</w:t>
      </w:r>
      <w:r>
        <w:rPr>
          <w:rFonts w:ascii="Times New Roman" w:cs="Times New Roman" w:eastAsia="Times New Roman" w:hAnsi="Times New Roman"/>
          <w:sz w:val="19"/>
          <w:szCs w:val="19"/>
          <w:color w:val="auto"/>
        </w:rPr>
        <w:t xml:space="preserve"> below.</w:t>
      </w:r>
    </w:p>
    <w:p>
      <w:pPr>
        <w:spacing w:after="0" w:line="193" w:lineRule="exact"/>
        <w:rPr>
          <w:sz w:val="20"/>
          <w:szCs w:val="20"/>
          <w:color w:val="auto"/>
        </w:rPr>
      </w:pPr>
    </w:p>
    <w:p>
      <w:pPr>
        <w:ind w:right="100" w:firstLine="345"/>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Costs of Earned Revenues. </w:t>
      </w:r>
      <w:r>
        <w:rPr>
          <w:rFonts w:ascii="Times New Roman" w:cs="Times New Roman" w:eastAsia="Times New Roman" w:hAnsi="Times New Roman"/>
          <w:sz w:val="19"/>
          <w:szCs w:val="19"/>
          <w:color w:val="auto"/>
        </w:rPr>
        <w:t>Costs of earned revenues includes all direct costs of providing services under our contracts,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including costs for direct labor provided by employees, services by subcontractors, operation of capital equipment (excluding depreciation), direct materials, costs of insuring our risks, and other direct costs. Under our insurance program, we retain the risk of loss, up to certain limits, for matters related to automobile liability, general liability (including damages associated with underground facility locating services), workers’ compensation, and employee group health.</w:t>
      </w:r>
    </w:p>
    <w:p>
      <w:pPr>
        <w:spacing w:after="0" w:line="190" w:lineRule="exact"/>
        <w:rPr>
          <w:sz w:val="20"/>
          <w:szCs w:val="20"/>
          <w:color w:val="auto"/>
        </w:rPr>
      </w:pPr>
    </w:p>
    <w:p>
      <w:pPr>
        <w:ind w:right="40" w:firstLine="345"/>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General and Administrative Expenses. </w:t>
      </w:r>
      <w:r>
        <w:rPr>
          <w:rFonts w:ascii="Times New Roman" w:cs="Times New Roman" w:eastAsia="Times New Roman" w:hAnsi="Times New Roman"/>
          <w:sz w:val="19"/>
          <w:szCs w:val="19"/>
          <w:color w:val="auto"/>
        </w:rPr>
        <w:t>General and administrative expenses primarily consist of employee compensation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related expenses, including performance-based compensation and stock-based compensation, legal, consulting and professional fees, information technology and development costs, amortization of implementation costs associated with cloud computing arrangements, provision for or recoveries of bad debt expense, acquisition and integration costs of businesses acquired, and other costs not directly related to the provision of our services under customer contracts. Our provision for bad debt expense is determined by evaluating specific accounts receivable and contract asset balances based on historical collection trends, the age of outstanding receivables, and the creditworthiness of our customers. We incur information technology and development costs primarily to support and enhance our operating efficiency. Our executive management team and the senior management of our subsidiaries perform substantially all of our sales and marketing functions as part of their management responsibilities.</w:t>
      </w:r>
    </w:p>
    <w:p>
      <w:pPr>
        <w:spacing w:after="0" w:line="196" w:lineRule="exact"/>
        <w:rPr>
          <w:sz w:val="20"/>
          <w:szCs w:val="20"/>
          <w:color w:val="auto"/>
        </w:rPr>
      </w:pPr>
    </w:p>
    <w:p>
      <w:pPr>
        <w:ind w:right="60" w:firstLine="345"/>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Depreciation and Amortization. </w:t>
      </w:r>
      <w:r>
        <w:rPr>
          <w:rFonts w:ascii="Times New Roman" w:cs="Times New Roman" w:eastAsia="Times New Roman" w:hAnsi="Times New Roman"/>
          <w:sz w:val="19"/>
          <w:szCs w:val="19"/>
          <w:color w:val="auto"/>
        </w:rPr>
        <w:t>Our property and equipment primarily consist of vehicles, equipment and machinery,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computer hardware and software. We depreciate property and equipment on a straight-line basis over the estimated useful lives of the assets. In addition, we have intangible assets, including customer relationships, trade names, and non-compete intangibles, which we amortize over their estimated useful lives. We recognize amortization of customer relationship intangibles on an accelerated basis as a function of the expected economic benefit and amortization of other finite-lived intangibles on a straight-line basis over their estimated useful lives.</w:t>
      </w:r>
    </w:p>
    <w:p>
      <w:pPr>
        <w:sectPr>
          <w:pgSz w:w="11880" w:h="15480" w:orient="portrait"/>
          <w:cols w:equalWidth="0" w:num="1">
            <w:col w:w="9820"/>
          </w:cols>
          <w:pgMar w:left="1000" w:top="897"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26</w:t>
      </w:r>
    </w:p>
    <w:p>
      <w:pPr>
        <w:spacing w:after="0" w:line="20" w:lineRule="exact"/>
        <w:rPr>
          <w:sz w:val="20"/>
          <w:szCs w:val="20"/>
          <w:color w:val="auto"/>
        </w:rPr>
      </w:pPr>
    </w:p>
    <w:p>
      <w:pPr>
        <w:sectPr>
          <w:pgSz w:w="11880" w:h="15480" w:orient="portrait"/>
          <w:cols w:equalWidth="0" w:num="1">
            <w:col w:w="9820"/>
          </w:cols>
          <w:pgMar w:left="1000" w:top="897" w:right="1060" w:bottom="0" w:gutter="0" w:footer="0" w:header="0"/>
          <w:type w:val="continuous"/>
        </w:sectPr>
      </w:pPr>
    </w:p>
    <w:bookmarkStart w:id="32" w:name="page33"/>
    <w:bookmarkEnd w:id="32"/>
    <w:p>
      <w:pPr>
        <w:ind w:firstLine="345"/>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Interest Expense, Net. </w:t>
      </w:r>
      <w:r>
        <w:rPr>
          <w:rFonts w:ascii="Times New Roman" w:cs="Times New Roman" w:eastAsia="Times New Roman" w:hAnsi="Times New Roman"/>
          <w:sz w:val="19"/>
          <w:szCs w:val="19"/>
          <w:color w:val="auto"/>
        </w:rPr>
        <w:t>Interest expense, net, consists of interest incurred on outstanding variable rate and fixed rate debt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certain other obligations and the amortization of debt issuance costs. See Note 14, </w:t>
      </w:r>
      <w:r>
        <w:rPr>
          <w:rFonts w:ascii="Times New Roman" w:cs="Times New Roman" w:eastAsia="Times New Roman" w:hAnsi="Times New Roman"/>
          <w:sz w:val="19"/>
          <w:szCs w:val="19"/>
          <w:b w:val="1"/>
          <w:bCs w:val="1"/>
          <w:i w:val="1"/>
          <w:iCs w:val="1"/>
          <w:color w:val="auto"/>
        </w:rPr>
        <w:t>Debt</w:t>
      </w:r>
      <w:r>
        <w:rPr>
          <w:rFonts w:ascii="Times New Roman" w:cs="Times New Roman" w:eastAsia="Times New Roman" w:hAnsi="Times New Roman"/>
          <w:sz w:val="19"/>
          <w:szCs w:val="19"/>
          <w:color w:val="auto"/>
        </w:rPr>
        <w:t>, in the notes to the consolidated financial statements in this Annual Report on Form 10-K for information on debt issuance costs.</w:t>
      </w:r>
    </w:p>
    <w:p>
      <w:pPr>
        <w:spacing w:after="0" w:line="179" w:lineRule="exact"/>
        <w:rPr>
          <w:sz w:val="20"/>
          <w:szCs w:val="20"/>
          <w:color w:val="auto"/>
        </w:rPr>
      </w:pPr>
    </w:p>
    <w:p>
      <w:pPr>
        <w:ind w:right="680" w:firstLine="345"/>
        <w:spacing w:after="0" w:line="292" w:lineRule="auto"/>
        <w:rPr>
          <w:sz w:val="20"/>
          <w:szCs w:val="20"/>
          <w:color w:val="auto"/>
        </w:rPr>
      </w:pPr>
      <w:r>
        <w:rPr>
          <w:rFonts w:ascii="Times New Roman" w:cs="Times New Roman" w:eastAsia="Times New Roman" w:hAnsi="Times New Roman"/>
          <w:sz w:val="19"/>
          <w:szCs w:val="19"/>
          <w:b w:val="1"/>
          <w:bCs w:val="1"/>
          <w:i w:val="1"/>
          <w:iCs w:val="1"/>
          <w:color w:val="auto"/>
        </w:rPr>
        <w:t xml:space="preserve">Loss on Debt Extinguishment. </w:t>
      </w:r>
      <w:r>
        <w:rPr>
          <w:rFonts w:ascii="Times New Roman" w:cs="Times New Roman" w:eastAsia="Times New Roman" w:hAnsi="Times New Roman"/>
          <w:sz w:val="19"/>
          <w:szCs w:val="19"/>
          <w:color w:val="auto"/>
        </w:rPr>
        <w:t>Loss on debt extinguishment for fiscal 2025 of $1.0 million includes the write-off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deferred debt issuance costs in connection with the Credit Agreement amendment.</w:t>
      </w:r>
    </w:p>
    <w:p>
      <w:pPr>
        <w:spacing w:after="0" w:line="160" w:lineRule="exact"/>
        <w:rPr>
          <w:sz w:val="20"/>
          <w:szCs w:val="20"/>
          <w:color w:val="auto"/>
        </w:rPr>
      </w:pPr>
    </w:p>
    <w:p>
      <w:pPr>
        <w:jc w:val="both"/>
        <w:ind w:right="300" w:firstLine="345"/>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 xml:space="preserve">Other Income, Net. </w:t>
      </w:r>
      <w:r>
        <w:rPr>
          <w:rFonts w:ascii="Times New Roman" w:cs="Times New Roman" w:eastAsia="Times New Roman" w:hAnsi="Times New Roman"/>
          <w:sz w:val="19"/>
          <w:szCs w:val="19"/>
          <w:color w:val="auto"/>
        </w:rPr>
        <w:t>Other income, net, primarily consists of gains or losses from sales of fixed assets. Other income, net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also includes discount fee expense associated with the collection of accounts receivable under a customer-sponsored vendor payment program.</w:t>
      </w:r>
    </w:p>
    <w:p>
      <w:pPr>
        <w:spacing w:after="0" w:line="179" w:lineRule="exact"/>
        <w:rPr>
          <w:sz w:val="20"/>
          <w:szCs w:val="20"/>
          <w:color w:val="auto"/>
        </w:rPr>
      </w:pPr>
    </w:p>
    <w:p>
      <w:pPr>
        <w:ind w:right="20" w:firstLine="345"/>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 xml:space="preserve">Seasonality and Fluctuations in Operating Results. </w:t>
      </w:r>
      <w:r>
        <w:rPr>
          <w:rFonts w:ascii="Times New Roman" w:cs="Times New Roman" w:eastAsia="Times New Roman" w:hAnsi="Times New Roman"/>
          <w:sz w:val="19"/>
          <w:szCs w:val="19"/>
          <w:color w:val="auto"/>
        </w:rPr>
        <w:t>Our contract revenues and results of operations exhibit seasonality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are impacted by adverse weather changes as we perform a significant portion of our work outdoors. Consequently, adverse weather, which is more likely to occur with greater frequency, severity, and duration during the winter, as well as reduced daylight hours, impact our operations during the fiscal quarters ending in January and April. Additionally, extreme weather conditions such as major or extended winter storms, droughts and tornados, wildfires, and natural disasters, such as floods, hurricanes, tropical storms, whether as a result of climate change or otherwise, could also impact the demand for our services, or impact our ability to perform our services. Also, several holidays fall within the fiscal quarter ending in January, which decreases the number of available workdays in this fiscal quarter. Because of these factors, we are most likely to experience reduced revenue and profitability or losses during the fiscal quarters ending in January and April compared to the fiscal quarters ending in July and October.</w:t>
      </w:r>
    </w:p>
    <w:p>
      <w:pPr>
        <w:spacing w:after="0" w:line="198" w:lineRule="exact"/>
        <w:rPr>
          <w:sz w:val="20"/>
          <w:szCs w:val="20"/>
          <w:color w:val="auto"/>
        </w:rPr>
      </w:pPr>
    </w:p>
    <w:p>
      <w:pPr>
        <w:ind w:right="40" w:firstLine="345"/>
        <w:spacing w:after="0" w:line="260" w:lineRule="auto"/>
        <w:rPr>
          <w:sz w:val="20"/>
          <w:szCs w:val="20"/>
          <w:color w:val="auto"/>
        </w:rPr>
      </w:pPr>
      <w:r>
        <w:rPr>
          <w:rFonts w:ascii="Times New Roman" w:cs="Times New Roman" w:eastAsia="Times New Roman" w:hAnsi="Times New Roman"/>
          <w:sz w:val="19"/>
          <w:szCs w:val="19"/>
          <w:color w:val="auto"/>
        </w:rPr>
        <w:t>We may also experience variations in our profitability driven by a number of factors. These factors include variations and fluctuations in contract revenues, job specific costs, insurance claims, the allowance for credit losses, accruals for contingencies, stock-based compensation expense for performance-based stock awards, the fair value of reporting units for the goodwill impairment analysis, the valuation of intangibles and other long-lived assets, gains or losses on the sale of fixed assets from the timing and levels of capital assets sold, the employer portion of payroll taxes as a result of reaching statutory limits, and our effective tax rate.</w:t>
      </w:r>
    </w:p>
    <w:p>
      <w:pPr>
        <w:spacing w:after="0" w:line="193" w:lineRule="exact"/>
        <w:rPr>
          <w:sz w:val="20"/>
          <w:szCs w:val="20"/>
          <w:color w:val="auto"/>
        </w:rPr>
      </w:pPr>
    </w:p>
    <w:p>
      <w:pPr>
        <w:ind w:right="660" w:firstLine="345"/>
        <w:spacing w:after="0" w:line="289" w:lineRule="auto"/>
        <w:rPr>
          <w:sz w:val="20"/>
          <w:szCs w:val="20"/>
          <w:color w:val="auto"/>
        </w:rPr>
      </w:pPr>
      <w:r>
        <w:rPr>
          <w:rFonts w:ascii="Times New Roman" w:cs="Times New Roman" w:eastAsia="Times New Roman" w:hAnsi="Times New Roman"/>
          <w:sz w:val="19"/>
          <w:szCs w:val="19"/>
          <w:color w:val="auto"/>
        </w:rPr>
        <w:t>Accordingly, operating results for any fiscal period are not necessarily indicative of results we may achieve for any subsequent fiscal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Accounting Policies and Estimates</w:t>
      </w:r>
    </w:p>
    <w:p>
      <w:pPr>
        <w:spacing w:after="0" w:line="249" w:lineRule="exact"/>
        <w:rPr>
          <w:sz w:val="20"/>
          <w:szCs w:val="20"/>
          <w:color w:val="auto"/>
        </w:rPr>
      </w:pPr>
    </w:p>
    <w:p>
      <w:pPr>
        <w:ind w:right="100" w:firstLine="345"/>
        <w:spacing w:after="0" w:line="260" w:lineRule="auto"/>
        <w:rPr>
          <w:sz w:val="20"/>
          <w:szCs w:val="20"/>
          <w:color w:val="auto"/>
        </w:rPr>
      </w:pPr>
      <w:r>
        <w:rPr>
          <w:rFonts w:ascii="Times New Roman" w:cs="Times New Roman" w:eastAsia="Times New Roman" w:hAnsi="Times New Roman"/>
          <w:sz w:val="19"/>
          <w:szCs w:val="19"/>
          <w:color w:val="auto"/>
        </w:rPr>
        <w:t>The discussion and analysis of our financial condition and results of operations is based on our consolidated financial statements. These statements have been prepared in accordance with accounting principles generally accepted in the United States of America (“GAAP”). In conformity with GAAP, the preparation of financial statements requires management to make estimates and assumptions that affect the amounts reported in these consolidated financial statements and accompanying notes. These estimates and assumptions require the use of judgment as to the likelihood of various future outcomes and, as a result, actual results could differ materially from these estimates.</w:t>
      </w:r>
    </w:p>
    <w:p>
      <w:pPr>
        <w:spacing w:after="0" w:line="193" w:lineRule="exact"/>
        <w:rPr>
          <w:sz w:val="20"/>
          <w:szCs w:val="20"/>
          <w:color w:val="auto"/>
        </w:rPr>
      </w:pPr>
    </w:p>
    <w:p>
      <w:pPr>
        <w:ind w:firstLine="345"/>
        <w:spacing w:after="0" w:line="260" w:lineRule="auto"/>
        <w:rPr>
          <w:sz w:val="20"/>
          <w:szCs w:val="20"/>
          <w:color w:val="auto"/>
        </w:rPr>
      </w:pPr>
      <w:r>
        <w:rPr>
          <w:rFonts w:ascii="Times New Roman" w:cs="Times New Roman" w:eastAsia="Times New Roman" w:hAnsi="Times New Roman"/>
          <w:sz w:val="19"/>
          <w:szCs w:val="19"/>
          <w:color w:val="auto"/>
        </w:rPr>
        <w:t>Below, we have identified those accounting policies that are critical to the accounting of our business operations and the understanding of our results of operations. These accounting policies require making significant judgments and estimates that are used in the preparation of our consolidated financial statements. The impact of these policies affects our reported and expected financial results. We have discussed the development, selection and application of our critical accounting policies with the Audit Committee of our Board of Directors, and the Audit Committee has reviewed the disclosure relating to our critical accounting policies herein.</w:t>
      </w:r>
    </w:p>
    <w:p>
      <w:pPr>
        <w:spacing w:after="0" w:line="193" w:lineRule="exact"/>
        <w:rPr>
          <w:sz w:val="20"/>
          <w:szCs w:val="20"/>
          <w:color w:val="auto"/>
        </w:rPr>
      </w:pPr>
    </w:p>
    <w:p>
      <w:pPr>
        <w:ind w:right="100" w:firstLine="345"/>
        <w:spacing w:after="0" w:line="265" w:lineRule="auto"/>
        <w:rPr>
          <w:sz w:val="20"/>
          <w:szCs w:val="20"/>
          <w:color w:val="auto"/>
        </w:rPr>
      </w:pPr>
      <w:r>
        <w:rPr>
          <w:rFonts w:ascii="Times New Roman" w:cs="Times New Roman" w:eastAsia="Times New Roman" w:hAnsi="Times New Roman"/>
          <w:sz w:val="19"/>
          <w:szCs w:val="19"/>
          <w:color w:val="auto"/>
        </w:rPr>
        <w:t>Other significant accounting policies, primarily those with lower levels of uncertainty than those discussed below, are also important to understanding our consolidated financial statements. The notes to the consolidated financial statements in this Annual Report on Form 10-K contain additional information related to our accounting policies and should be read in conjunction with this discussion.</w:t>
      </w:r>
    </w:p>
    <w:p>
      <w:pPr>
        <w:spacing w:after="0" w:line="184" w:lineRule="exact"/>
        <w:rPr>
          <w:sz w:val="20"/>
          <w:szCs w:val="20"/>
          <w:color w:val="auto"/>
        </w:rPr>
      </w:pPr>
    </w:p>
    <w:p>
      <w:pPr>
        <w:ind w:right="80" w:firstLine="345"/>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Revenue Recognition. </w:t>
      </w:r>
      <w:r>
        <w:rPr>
          <w:rFonts w:ascii="Times New Roman" w:cs="Times New Roman" w:eastAsia="Times New Roman" w:hAnsi="Times New Roman"/>
          <w:sz w:val="19"/>
          <w:szCs w:val="19"/>
          <w:color w:val="auto"/>
        </w:rPr>
        <w:t>We perform a significant amount of our services under master service agreements and other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contracts that contain customer-specified service requirements. These agreements include discrete pricing for individual tasks including, for example, the placement of underground or aerial fiber, directional boring, and fiber splicing, each based on a specific unit of measure. A contractual agreement exists when each party involved approves and commits to the agreement, the rights of the parties and payment terms are identified, the agreement has commercial substance, and collectability of consideration is probable. Our services are performed for the sole benefit of our customers, whereby the assets being created or</w:t>
      </w:r>
    </w:p>
    <w:p>
      <w:pPr>
        <w:sectPr>
          <w:pgSz w:w="11880" w:h="15480" w:orient="portrait"/>
          <w:cols w:equalWidth="0" w:num="1">
            <w:col w:w="9840"/>
          </w:cols>
          <w:pgMar w:left="1000" w:top="894" w:right="1040" w:bottom="0" w:gutter="0" w:footer="0" w:header="0"/>
        </w:sectPr>
      </w:pPr>
    </w:p>
    <w:p>
      <w:pPr>
        <w:spacing w:after="0" w:line="3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27</w:t>
      </w:r>
    </w:p>
    <w:p>
      <w:pPr>
        <w:spacing w:after="0" w:line="20" w:lineRule="exact"/>
        <w:rPr>
          <w:sz w:val="20"/>
          <w:szCs w:val="20"/>
          <w:color w:val="auto"/>
        </w:rPr>
      </w:pPr>
    </w:p>
    <w:p>
      <w:pPr>
        <w:sectPr>
          <w:pgSz w:w="11880" w:h="15480" w:orient="portrait"/>
          <w:cols w:equalWidth="0" w:num="1">
            <w:col w:w="9840"/>
          </w:cols>
          <w:pgMar w:left="1000" w:top="894" w:right="1040" w:bottom="0" w:gutter="0" w:footer="0" w:header="0"/>
          <w:type w:val="continuous"/>
        </w:sectPr>
      </w:pPr>
    </w:p>
    <w:bookmarkStart w:id="33" w:name="page34"/>
    <w:bookmarkEnd w:id="33"/>
    <w:p>
      <w:pPr>
        <w:spacing w:after="0" w:line="256" w:lineRule="auto"/>
        <w:rPr>
          <w:sz w:val="20"/>
          <w:szCs w:val="20"/>
          <w:color w:val="auto"/>
        </w:rPr>
      </w:pPr>
      <w:r>
        <w:rPr>
          <w:rFonts w:ascii="Times New Roman" w:cs="Times New Roman" w:eastAsia="Times New Roman" w:hAnsi="Times New Roman"/>
          <w:sz w:val="19"/>
          <w:szCs w:val="19"/>
          <w:color w:val="auto"/>
        </w:rPr>
        <w:t>maintained are controlled by the customer and the services we perform do not have alternative benefits for us. Contract revenue is recognized over time as services are performed and customers simultaneously receive and consume the benefits we provide. Output measures, such as units, delivered are utilized to assess progress against specific contractual performance obligations for the majority of our services. The selection of the method to measure progress towards completion requires judgment and is based on the nature of the services to be provided. For us, the output method using units delivered best represents the measure of progress against the performance obligations incorporated within the contractual agreements. This method captures the amount of units delivered pursuant to contracts and is used only when our performance does not produce significant amounts of work in process prior to complete satisfaction of the performance obligation. For a portion of contract items, units to be completed consist of multiple tasks. For these items, the transaction price is allocated to each task based on relative standalone measurements, such as selling prices for similar tasks, or in the alternative, the cost to perform the tasks. Contract revenue is recognized as the tasks are completed as a measurement of progress in the satisfaction of the corresponding performance obligation.</w:t>
      </w:r>
    </w:p>
    <w:p>
      <w:pPr>
        <w:spacing w:after="0" w:line="199" w:lineRule="exact"/>
        <w:rPr>
          <w:sz w:val="20"/>
          <w:szCs w:val="20"/>
          <w:color w:val="auto"/>
        </w:rPr>
      </w:pPr>
    </w:p>
    <w:p>
      <w:pPr>
        <w:ind w:right="80" w:firstLine="345"/>
        <w:spacing w:after="0" w:line="259" w:lineRule="auto"/>
        <w:rPr>
          <w:sz w:val="20"/>
          <w:szCs w:val="20"/>
          <w:color w:val="auto"/>
        </w:rPr>
      </w:pPr>
      <w:r>
        <w:rPr>
          <w:rFonts w:ascii="Times New Roman" w:cs="Times New Roman" w:eastAsia="Times New Roman" w:hAnsi="Times New Roman"/>
          <w:sz w:val="19"/>
          <w:szCs w:val="19"/>
          <w:color w:val="auto"/>
        </w:rPr>
        <w:t>For certain contracts, representing less than 5% of contract revenues during fiscal 2025, fiscal 2024, and fiscal 2023, we use the cost-to-cost measure of progress. These contracts are generally projects that are completed over a period of less than 12 months and for which payment is received in a lump sum at the end of the project. Under the cost-to-cost measure of progress, the extent of progress toward completion is measured based on the ratio of costs incurred to date to the total estimated costs. Contract costs include direct labor, direct materials, and subcontractor costs, as well as an allocation of indirect costs. Contract revenues are recorded as costs are incurred. We accrue the entire amount of a contract loss, if any, at the time the loss is determined to be probable and can be reasonably estimated.</w:t>
      </w:r>
    </w:p>
    <w:p>
      <w:pPr>
        <w:spacing w:after="0" w:line="193" w:lineRule="exact"/>
        <w:rPr>
          <w:sz w:val="20"/>
          <w:szCs w:val="20"/>
          <w:color w:val="auto"/>
        </w:rPr>
      </w:pPr>
    </w:p>
    <w:p>
      <w:pPr>
        <w:ind w:right="320" w:firstLine="345"/>
        <w:spacing w:after="0" w:line="289" w:lineRule="auto"/>
        <w:rPr>
          <w:sz w:val="20"/>
          <w:szCs w:val="20"/>
          <w:color w:val="auto"/>
        </w:rPr>
      </w:pPr>
      <w:r>
        <w:rPr>
          <w:rFonts w:ascii="Times New Roman" w:cs="Times New Roman" w:eastAsia="Times New Roman" w:hAnsi="Times New Roman"/>
          <w:sz w:val="19"/>
          <w:szCs w:val="19"/>
          <w:color w:val="auto"/>
        </w:rPr>
        <w:t>There were no material amounts of unapproved change orders or claims recognized during fiscal 2025, fiscal 2024, and fiscal 2023.</w:t>
      </w:r>
    </w:p>
    <w:p>
      <w:pPr>
        <w:spacing w:after="0" w:line="162" w:lineRule="exact"/>
        <w:rPr>
          <w:sz w:val="20"/>
          <w:szCs w:val="20"/>
          <w:color w:val="auto"/>
        </w:rPr>
      </w:pPr>
    </w:p>
    <w:p>
      <w:pPr>
        <w:ind w:right="80" w:firstLine="345"/>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 xml:space="preserve">Accounts Receivable, net. </w:t>
      </w:r>
      <w:r>
        <w:rPr>
          <w:rFonts w:ascii="Times New Roman" w:cs="Times New Roman" w:eastAsia="Times New Roman" w:hAnsi="Times New Roman"/>
          <w:sz w:val="19"/>
          <w:szCs w:val="19"/>
          <w:color w:val="auto"/>
        </w:rPr>
        <w:t>We grant credit to our customers, generally without collateral, under normal payment terms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(typically 30 to 90 days after invoicing). Generally, invoicing occurs within 45 days after the related services are performed. Accounts receivable represents an unconditional right to consideration arising from our performance under contracts with customers. Accounts receivable include billed accounts receivable, unbilled accounts receivable, and retainage. The carrying value of such receivables, net of the allowance for credit losses, represents their estimated realizable value. Unbilled accounts receivable represent amounts we have an unconditional right to receive payment for that will be billed at a later date due to administrative requirements in the billing processes specified by our customers. Certain of our contracts contain retainage provisions whereby a portion of the revenue earned is withheld from payment as a form of security until contractual provisions are satisfied. The collectability of retainage is included in our overall assessment of the collectability of accounts receivable. We expect to collect the outstanding balance of current accounts receivable, net (including trade accounts receivable, unbilled accounts receivable, and retainage) within the next 12 months. We estimate our allowance for credit losses by evaluating specific accounts receivable balances based on historical collection trends, the age of outstanding receivables, and the credit worthiness of our customers.</w:t>
      </w:r>
    </w:p>
    <w:p>
      <w:pPr>
        <w:spacing w:after="0" w:line="199" w:lineRule="exact"/>
        <w:rPr>
          <w:sz w:val="20"/>
          <w:szCs w:val="20"/>
          <w:color w:val="auto"/>
        </w:rPr>
      </w:pPr>
    </w:p>
    <w:p>
      <w:pPr>
        <w:ind w:firstLine="345"/>
        <w:spacing w:after="0" w:line="262" w:lineRule="auto"/>
        <w:rPr>
          <w:sz w:val="20"/>
          <w:szCs w:val="20"/>
          <w:color w:val="auto"/>
        </w:rPr>
      </w:pPr>
      <w:r>
        <w:rPr>
          <w:rFonts w:ascii="Times New Roman" w:cs="Times New Roman" w:eastAsia="Times New Roman" w:hAnsi="Times New Roman"/>
          <w:sz w:val="19"/>
          <w:szCs w:val="19"/>
          <w:color w:val="auto"/>
        </w:rPr>
        <w:t>We participate in a customer-sponsored vendor payment program for one of our customers. All eligible accounts receivable from this customer are included in the program and payment is received pursuant to a non-recourse sale to a bank partner of the customer. This program effectively reduces the time to collect these receivables as compared to that customer’s standard payment terms. We incur a discount fee to the bank on the payments received that is reflected as an expense component in other income, net, in the consolidated statements of operations.</w:t>
      </w:r>
    </w:p>
    <w:p>
      <w:pPr>
        <w:spacing w:after="0" w:line="187" w:lineRule="exact"/>
        <w:rPr>
          <w:sz w:val="20"/>
          <w:szCs w:val="20"/>
          <w:color w:val="auto"/>
        </w:rPr>
      </w:pPr>
    </w:p>
    <w:p>
      <w:pPr>
        <w:jc w:val="center"/>
        <w:ind w:right="300"/>
        <w:spacing w:after="0" w:line="292"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Contract assets. </w:t>
      </w:r>
      <w:r>
        <w:rPr>
          <w:rFonts w:ascii="Times New Roman" w:cs="Times New Roman" w:eastAsia="Times New Roman" w:hAnsi="Times New Roman"/>
          <w:sz w:val="19"/>
          <w:szCs w:val="19"/>
          <w:color w:val="auto"/>
        </w:rPr>
        <w:t>Contract assets include unbilled amounts typically resulting from arrangements whereby complete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satisfaction of a performance obligation and the right to payment are conditioned on completing additional tasks or services.</w:t>
      </w:r>
    </w:p>
    <w:p>
      <w:pPr>
        <w:spacing w:after="0" w:line="160" w:lineRule="exact"/>
        <w:rPr>
          <w:sz w:val="20"/>
          <w:szCs w:val="20"/>
          <w:color w:val="auto"/>
        </w:rPr>
      </w:pPr>
    </w:p>
    <w:p>
      <w:pPr>
        <w:ind w:firstLine="345"/>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Contract liabilities. </w:t>
      </w:r>
      <w:r>
        <w:rPr>
          <w:rFonts w:ascii="Times New Roman" w:cs="Times New Roman" w:eastAsia="Times New Roman" w:hAnsi="Times New Roman"/>
          <w:sz w:val="19"/>
          <w:szCs w:val="19"/>
          <w:color w:val="auto"/>
        </w:rPr>
        <w:t>Contract liabilities consist of amounts invoiced to customers in excess of revenue recognized. Our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contract assets and liabilities are reported in a net position on a contract by contract basis at the end of each reporting period. As of January 25, 2025 and January 27, 2024, the contract liabilities balance is classified as current based on the timing of when we expect to complete the tasks required for the recognition of revenue.</w:t>
      </w:r>
    </w:p>
    <w:p>
      <w:pPr>
        <w:spacing w:after="0" w:line="183" w:lineRule="exact"/>
        <w:rPr>
          <w:sz w:val="20"/>
          <w:szCs w:val="20"/>
          <w:color w:val="auto"/>
        </w:rPr>
      </w:pPr>
    </w:p>
    <w:p>
      <w:pPr>
        <w:ind w:right="200" w:firstLine="345"/>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Leases. </w:t>
      </w:r>
      <w:r>
        <w:rPr>
          <w:rFonts w:ascii="Times New Roman" w:cs="Times New Roman" w:eastAsia="Times New Roman" w:hAnsi="Times New Roman"/>
          <w:sz w:val="19"/>
          <w:szCs w:val="19"/>
          <w:color w:val="auto"/>
        </w:rPr>
        <w:t>Our leases are accounted for as operating leases, with lease expense recognized on a straight-line basis over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lease term. The lease term may include options to extend or terminate the lease when it is reasonably certain that we will exercise that option. For leases with initial terms greater than 12 months, we record operating lease right-of-use assets and corresponding operating lease liabilities. Operating lease right-of-use assets represent our right to use the underlying asset for the lease term and operating lease liabilities represent our obligation to make the related lease payments. These assets and liabilities are recognized at the commencement date based on the present value of lease payments over the lease term. As our leases do not provide an implicit rate, we use our incremental borrowing rate based on the information available at the</w:t>
      </w:r>
    </w:p>
    <w:p>
      <w:pPr>
        <w:sectPr>
          <w:pgSz w:w="11880" w:h="15480" w:orient="portrait"/>
          <w:cols w:equalWidth="0" w:num="1">
            <w:col w:w="9820"/>
          </w:cols>
          <w:pgMar w:left="1000" w:top="897" w:right="1060" w:bottom="0" w:gutter="0" w:footer="0" w:header="0"/>
        </w:sectPr>
      </w:pP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28</w:t>
      </w:r>
    </w:p>
    <w:p>
      <w:pPr>
        <w:spacing w:after="0" w:line="20" w:lineRule="exact"/>
        <w:rPr>
          <w:sz w:val="20"/>
          <w:szCs w:val="20"/>
          <w:color w:val="auto"/>
        </w:rPr>
      </w:pPr>
    </w:p>
    <w:p>
      <w:pPr>
        <w:sectPr>
          <w:pgSz w:w="11880" w:h="15480" w:orient="portrait"/>
          <w:cols w:equalWidth="0" w:num="1">
            <w:col w:w="9820"/>
          </w:cols>
          <w:pgMar w:left="1000" w:top="897" w:right="1060" w:bottom="0" w:gutter="0" w:footer="0" w:header="0"/>
          <w:type w:val="continuous"/>
        </w:sectPr>
      </w:pPr>
    </w:p>
    <w:bookmarkStart w:id="34" w:name="page35"/>
    <w:bookmarkEnd w:id="34"/>
    <w:p>
      <w:pPr>
        <w:ind w:right="20"/>
        <w:spacing w:after="0" w:line="289" w:lineRule="auto"/>
        <w:rPr>
          <w:sz w:val="20"/>
          <w:szCs w:val="20"/>
          <w:color w:val="auto"/>
        </w:rPr>
      </w:pPr>
      <w:r>
        <w:rPr>
          <w:rFonts w:ascii="Times New Roman" w:cs="Times New Roman" w:eastAsia="Times New Roman" w:hAnsi="Times New Roman"/>
          <w:sz w:val="19"/>
          <w:szCs w:val="19"/>
          <w:color w:val="auto"/>
        </w:rPr>
        <w:t>commencement date in determining the present value of lease payments. Leases with an initial term of 12 months or less are not recorded on our consolidated balance sheet.</w:t>
      </w:r>
    </w:p>
    <w:p>
      <w:pPr>
        <w:spacing w:after="0" w:line="162" w:lineRule="exact"/>
        <w:rPr>
          <w:sz w:val="20"/>
          <w:szCs w:val="20"/>
          <w:color w:val="auto"/>
        </w:rPr>
      </w:pPr>
    </w:p>
    <w:p>
      <w:pPr>
        <w:ind w:right="20" w:firstLine="345"/>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Goodwill and Intangible Assets. </w:t>
      </w:r>
      <w:r>
        <w:rPr>
          <w:rFonts w:ascii="Times New Roman" w:cs="Times New Roman" w:eastAsia="Times New Roman" w:hAnsi="Times New Roman"/>
          <w:sz w:val="19"/>
          <w:szCs w:val="19"/>
          <w:color w:val="auto"/>
        </w:rPr>
        <w:t>Goodwill and other indefinite-lived intangible assets are assessed for impairment annually,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or more frequently, if events occur that would indicate a potential reduction in the fair value of a reporting unit below its carrying value. We perform our annual impairment review of goodwill at the reporting unit level. Each of our operating segments with goodwill represents a reporting unit for the purpose of assessing impairment. If we determine the fair value of the reporting unit’s goodwill or other indefinite-lived intangible assets is less than their carrying value as a result of an annual or interim test, an impairment loss is recognized and reflected in operating income or loss in the consolidated statements of operations during the period incurred.</w:t>
      </w:r>
    </w:p>
    <w:p>
      <w:pPr>
        <w:spacing w:after="0" w:line="196" w:lineRule="exact"/>
        <w:rPr>
          <w:sz w:val="20"/>
          <w:szCs w:val="20"/>
          <w:color w:val="auto"/>
        </w:rPr>
      </w:pPr>
    </w:p>
    <w:p>
      <w:pPr>
        <w:ind w:right="180" w:firstLine="345"/>
        <w:spacing w:after="0" w:line="260" w:lineRule="auto"/>
        <w:rPr>
          <w:sz w:val="20"/>
          <w:szCs w:val="20"/>
          <w:color w:val="auto"/>
        </w:rPr>
      </w:pPr>
      <w:r>
        <w:rPr>
          <w:rFonts w:ascii="Times New Roman" w:cs="Times New Roman" w:eastAsia="Times New Roman" w:hAnsi="Times New Roman"/>
          <w:sz w:val="19"/>
          <w:szCs w:val="19"/>
          <w:color w:val="auto"/>
        </w:rPr>
        <w:t>We review finite-lived intangible assets for impairment whenever an event occurs or circumstances change that indicate that the carrying amount of such assets may not be fully recoverable. Recoverability is determined based on an estimate of undiscounted future cash flows resulting from the use of an asset and its eventual disposition. Should an asset not be recoverable, an impairment loss is measured by comparing the fair value of the asset to its carrying value. If we determine the fair value of an asset is less than the carrying value, an impairment loss is recognized in operating income or loss in the consolidated statements of operations during the period incurred.</w:t>
      </w:r>
    </w:p>
    <w:p>
      <w:pPr>
        <w:spacing w:after="0" w:line="193" w:lineRule="exact"/>
        <w:rPr>
          <w:sz w:val="20"/>
          <w:szCs w:val="20"/>
          <w:color w:val="auto"/>
        </w:rPr>
      </w:pPr>
    </w:p>
    <w:p>
      <w:pPr>
        <w:ind w:firstLine="345"/>
        <w:spacing w:after="0" w:line="258" w:lineRule="auto"/>
        <w:rPr>
          <w:sz w:val="20"/>
          <w:szCs w:val="20"/>
          <w:color w:val="auto"/>
        </w:rPr>
      </w:pPr>
      <w:r>
        <w:rPr>
          <w:rFonts w:ascii="Times New Roman" w:cs="Times New Roman" w:eastAsia="Times New Roman" w:hAnsi="Times New Roman"/>
          <w:sz w:val="19"/>
          <w:szCs w:val="19"/>
          <w:color w:val="auto"/>
        </w:rPr>
        <w:t>We use judgment in assessing whether goodwill and intangible assets are impaired. Estimates of fair value are based on our projection of revenues, operating costs, and cash flows taking into consideration historical and anticipated future results, general economic and market conditions, as well as the impact of planned business or operational strategies. We determine the fair value of our reporting units using an equal weighting of fair values derived from the income approach and market approach valuation methodologies. The income approach uses the discounted cash flow method and the market approach uses the guideline company method. Changes in our judgments and projections could result in significantly different estimates of fair value, potentially resulting in impairments of goodwill and other intangible assets. The inputs used for fair value measurements of the reporting units and other related indefinite-lived intangible assets are the lowest level (Level 3) inputs.</w:t>
      </w:r>
    </w:p>
    <w:p>
      <w:pPr>
        <w:spacing w:after="0" w:line="195" w:lineRule="exact"/>
        <w:rPr>
          <w:sz w:val="20"/>
          <w:szCs w:val="20"/>
          <w:color w:val="auto"/>
        </w:rPr>
      </w:pPr>
    </w:p>
    <w:p>
      <w:pPr>
        <w:ind w:firstLine="345"/>
        <w:spacing w:after="0" w:line="255" w:lineRule="auto"/>
        <w:rPr>
          <w:sz w:val="20"/>
          <w:szCs w:val="20"/>
          <w:color w:val="auto"/>
        </w:rPr>
      </w:pPr>
      <w:r>
        <w:rPr>
          <w:rFonts w:ascii="Times New Roman" w:cs="Times New Roman" w:eastAsia="Times New Roman" w:hAnsi="Times New Roman"/>
          <w:sz w:val="19"/>
          <w:szCs w:val="19"/>
          <w:color w:val="auto"/>
        </w:rPr>
        <w:t>The Company’s goodwill arising from acquisitions resides in multiple reporting units and primarily relates to the value of expected synergies, anticipated expansion of its geographic presence, and the strengthening of the customer base. Goodwill and other indefinite-lived intangible assets are assessed for impairment annually, or more frequently if events occur that would indicate a potential reduction in the fair value of a reporting unit below its carrying value. The profitability of individual reporting units may suffer periodically due to downturns in customer demand, reduced revenues from the termination of contracts or the termination or delay of services under a contract or the loss of a customer, increased costs of providing services, and the level of overall economic activity. The individual reporting unit’s customers may also reduce capital expenditures and defer or cancel pending projects due to changes in technology, a slowing or uncertain economy, merger or acquisition activity, a decision to allocate resources to other areas of their business, or other reasons. The profitability of reporting units may also suffer if actual costs of providing services exceed the costs anticipated when the reporting unit enters into contracts. Additionally, adverse economic conditions and future volatility in the equity and credit markets could impact the valuation of the Company’s reporting units. The cyclical nature of the reporting unit’s business, the high level of competition existing within its industry, and the concentration of its revenues from a limited number of customers may also cause results to vary. These factors may affect individual reporting units disproportionately, relative to the Company as a whole. As a result, the performance of one or more of the reporting units could decline, resulting in an impairment of goodwill or intangible assets.</w:t>
      </w:r>
    </w:p>
    <w:p>
      <w:pPr>
        <w:spacing w:after="0" w:line="204" w:lineRule="exact"/>
        <w:rPr>
          <w:sz w:val="20"/>
          <w:szCs w:val="20"/>
          <w:color w:val="auto"/>
        </w:rPr>
      </w:pPr>
    </w:p>
    <w:p>
      <w:pPr>
        <w:ind w:right="20" w:firstLine="393"/>
        <w:spacing w:after="0" w:line="271" w:lineRule="auto"/>
        <w:rPr>
          <w:sz w:val="20"/>
          <w:szCs w:val="20"/>
          <w:color w:val="auto"/>
        </w:rPr>
      </w:pPr>
      <w:r>
        <w:rPr>
          <w:rFonts w:ascii="Times New Roman" w:cs="Times New Roman" w:eastAsia="Times New Roman" w:hAnsi="Times New Roman"/>
          <w:sz w:val="19"/>
          <w:szCs w:val="19"/>
          <w:color w:val="auto"/>
        </w:rPr>
        <w:t>The Company performs its annual goodwill assessment as of the first day of the fourth fiscal quarter of each fiscal year. Goodwill and indefinite lived intangible assets are required to be tested for impairment between annual tests if events occur that would indicate a potential reduction in the fair value of a reporting unit below its carrying value.</w:t>
      </w:r>
    </w:p>
    <w:p>
      <w:pPr>
        <w:spacing w:after="0" w:line="181" w:lineRule="exact"/>
        <w:rPr>
          <w:sz w:val="20"/>
          <w:szCs w:val="20"/>
          <w:color w:val="auto"/>
        </w:rPr>
      </w:pPr>
    </w:p>
    <w:p>
      <w:pPr>
        <w:ind w:firstLine="345"/>
        <w:spacing w:after="0" w:line="256" w:lineRule="auto"/>
        <w:rPr>
          <w:sz w:val="20"/>
          <w:szCs w:val="20"/>
          <w:color w:val="auto"/>
        </w:rPr>
      </w:pPr>
      <w:r>
        <w:rPr>
          <w:rFonts w:ascii="Times New Roman" w:cs="Times New Roman" w:eastAsia="Times New Roman" w:hAnsi="Times New Roman"/>
          <w:sz w:val="19"/>
          <w:szCs w:val="19"/>
          <w:color w:val="auto"/>
        </w:rPr>
        <w:t>We performed our annual impairment assessment for fiscal 2025, fiscal 2024, and fiscal 2023, and concluded that no impairment of goodwill or the indefinite-lived intangible asset was indicated at any reporting unit for any of the periods. In each of these periods, qualitative assessments were performed on reporting units that comprise a significant portion of our consolidated goodwill balance. For the Company’s indefinite-lived intangible asset we performed a qualitative assessment for fiscal 2025 and 2024 and a quantitative analysis for fiscal 2023. A qualitative assessment includes evaluating all identified events and circumstances that could affect the significant inputs used to determine the fair value of a reporting unit or indefinite-lived intangible asset for the purpose of determining whether it is more likely than not that these assets are impaired. We consider various factors while performing qualitative assessments, including macroeconomic conditions, industry and market conditions, financial performance of the reporting units, changes in market capitalization, and any other specific reporting unit considerations. These qualitative assessments indicated that it was more likely than not that the fair value exceeded carrying value for those reporting units. For the remaining reporting units, we performed the quantitative analysis described in ASC Topic 350 in each of these periods. When performing the quantitative analysis, we determine the fair value of</w:t>
      </w:r>
    </w:p>
    <w:p>
      <w:pPr>
        <w:sectPr>
          <w:pgSz w:w="11880" w:h="15480" w:orient="portrait"/>
          <w:cols w:equalWidth="0" w:num="1">
            <w:col w:w="9840"/>
          </w:cols>
          <w:pgMar w:left="1000" w:top="897" w:right="1040" w:bottom="0" w:gutter="0" w:footer="0" w:header="0"/>
        </w:sect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29</w:t>
      </w:r>
    </w:p>
    <w:p>
      <w:pPr>
        <w:spacing w:after="0" w:line="20" w:lineRule="exact"/>
        <w:rPr>
          <w:sz w:val="20"/>
          <w:szCs w:val="20"/>
          <w:color w:val="auto"/>
        </w:rPr>
      </w:pPr>
    </w:p>
    <w:p>
      <w:pPr>
        <w:sectPr>
          <w:pgSz w:w="11880" w:h="15480" w:orient="portrait"/>
          <w:cols w:equalWidth="0" w:num="1">
            <w:col w:w="9840"/>
          </w:cols>
          <w:pgMar w:left="1000" w:top="897" w:right="1040" w:bottom="0" w:gutter="0" w:footer="0" w:header="0"/>
          <w:type w:val="continuous"/>
        </w:sectPr>
      </w:pPr>
    </w:p>
    <w:bookmarkStart w:id="35" w:name="page36"/>
    <w:bookmarkEnd w:id="35"/>
    <w:p>
      <w:pPr>
        <w:ind w:right="160"/>
        <w:spacing w:after="0" w:line="260"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t>our reporting units using an equal weighting of fair values derived from the income approach and market approach valuation methodologies. Under the income approach, the key valuation assumptions used in determining the fair value estimates of our reporting units for each annual test were: (a) expected cash flow for a period of seven years based on our best estimate of revenue growth rates and projected operating margins; (b) terminal value based upon terminal growth rates; and (c) a discount rate based on the Company’s best estimate of the weighted average cost of capital adjusted for certain risks for the reporting units.</w:t>
      </w:r>
    </w:p>
    <w:p>
      <w:pPr>
        <w:spacing w:after="0" w:line="193" w:lineRule="exact"/>
        <w:rPr>
          <w:sz w:val="20"/>
          <w:szCs w:val="20"/>
          <w:color w:val="auto"/>
        </w:rPr>
      </w:pPr>
    </w:p>
    <w:p>
      <w:pPr>
        <w:ind w:right="780" w:firstLine="345"/>
        <w:spacing w:after="0" w:line="289" w:lineRule="auto"/>
        <w:rPr>
          <w:sz w:val="20"/>
          <w:szCs w:val="20"/>
          <w:color w:val="auto"/>
        </w:rPr>
      </w:pPr>
      <w:r>
        <w:rPr>
          <w:rFonts w:ascii="Times New Roman" w:cs="Times New Roman" w:eastAsia="Times New Roman" w:hAnsi="Times New Roman"/>
          <w:sz w:val="19"/>
          <w:szCs w:val="19"/>
          <w:color w:val="auto"/>
        </w:rPr>
        <w:t>The table below outlines certain assumptions used in our annual quantitative impairment analyses for fiscal 2025, fiscal 2024, and fiscal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000" w:type="dxa"/>
            <w:vAlign w:val="bottom"/>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Fiscal Year Ended</w:t>
            </w:r>
          </w:p>
        </w:tc>
        <w:tc>
          <w:tcPr>
            <w:tcW w:w="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254"/>
        </w:trPr>
        <w:tc>
          <w:tcPr>
            <w:tcW w:w="5000" w:type="dxa"/>
            <w:vAlign w:val="bottom"/>
            <w:tcBorders>
              <w:bottom w:val="single" w:sz="8" w:color="D5D5D5"/>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January 25,</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Borders>
              <w:bottom w:val="single" w:sz="8" w:color="D5D5D5"/>
            </w:tcBorders>
          </w:tcPr>
          <w:p>
            <w:pPr>
              <w:spacing w:after="0"/>
              <w:rPr>
                <w:sz w:val="22"/>
                <w:szCs w:val="22"/>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January 27, 2024</w:t>
            </w:r>
          </w:p>
        </w:tc>
        <w:tc>
          <w:tcPr>
            <w:tcW w:w="80" w:type="dxa"/>
            <w:vAlign w:val="bottom"/>
            <w:tcBorders>
              <w:bottom w:val="single" w:sz="8" w:color="D5D5D5"/>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January 28,</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w w:val="99"/>
              </w:rPr>
              <w:t>2023</w:t>
            </w:r>
          </w:p>
        </w:tc>
        <w:tc>
          <w:tcPr>
            <w:tcW w:w="60" w:type="dxa"/>
            <w:vAlign w:val="bottom"/>
            <w:tcBorders>
              <w:bottom w:val="single" w:sz="8" w:color="D5D5D5"/>
            </w:tcBorders>
          </w:tcPr>
          <w:p>
            <w:pPr>
              <w:spacing w:after="0"/>
              <w:rPr>
                <w:sz w:val="22"/>
                <w:szCs w:val="22"/>
                <w:color w:val="auto"/>
              </w:rPr>
            </w:pPr>
          </w:p>
        </w:tc>
      </w:tr>
      <w:tr>
        <w:trPr>
          <w:trHeight w:val="269"/>
        </w:trPr>
        <w:tc>
          <w:tcPr>
            <w:tcW w:w="50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Terminal Growth Rate</w:t>
            </w:r>
          </w:p>
        </w:tc>
        <w:tc>
          <w:tcPr>
            <w:tcW w:w="1540" w:type="dxa"/>
            <w:vAlign w:val="bottom"/>
            <w:gridSpan w:val="2"/>
            <w:shd w:val="clear" w:color="auto" w:fill="D5D5D5"/>
          </w:tcPr>
          <w:p>
            <w:pPr>
              <w:jc w:val="right"/>
              <w:ind w:right="324"/>
              <w:spacing w:after="0"/>
              <w:rPr>
                <w:sz w:val="20"/>
                <w:szCs w:val="20"/>
                <w:color w:val="auto"/>
              </w:rPr>
            </w:pPr>
            <w:r>
              <w:rPr>
                <w:rFonts w:ascii="Times New Roman" w:cs="Times New Roman" w:eastAsia="Times New Roman" w:hAnsi="Times New Roman"/>
                <w:sz w:val="19"/>
                <w:szCs w:val="19"/>
                <w:color w:val="auto"/>
              </w:rPr>
              <w:t>2% - 3%</w:t>
            </w:r>
          </w:p>
        </w:tc>
        <w:tc>
          <w:tcPr>
            <w:tcW w:w="1620" w:type="dxa"/>
            <w:vAlign w:val="bottom"/>
            <w:gridSpan w:val="2"/>
            <w:shd w:val="clear" w:color="auto" w:fill="D5D5D5"/>
          </w:tcPr>
          <w:p>
            <w:pPr>
              <w:jc w:val="right"/>
              <w:ind w:right="464"/>
              <w:spacing w:after="0"/>
              <w:rPr>
                <w:sz w:val="20"/>
                <w:szCs w:val="20"/>
                <w:color w:val="auto"/>
              </w:rPr>
            </w:pPr>
            <w:r>
              <w:rPr>
                <w:rFonts w:ascii="Times New Roman" w:cs="Times New Roman" w:eastAsia="Times New Roman" w:hAnsi="Times New Roman"/>
                <w:sz w:val="19"/>
                <w:szCs w:val="19"/>
                <w:color w:val="auto"/>
              </w:rPr>
              <w:t>2.5%</w:t>
            </w:r>
          </w:p>
        </w:tc>
        <w:tc>
          <w:tcPr>
            <w:tcW w:w="1620" w:type="dxa"/>
            <w:vAlign w:val="bottom"/>
            <w:gridSpan w:val="3"/>
            <w:shd w:val="clear" w:color="auto" w:fill="D5D5D5"/>
          </w:tcPr>
          <w:p>
            <w:pPr>
              <w:jc w:val="right"/>
              <w:ind w:right="344"/>
              <w:spacing w:after="0"/>
              <w:rPr>
                <w:sz w:val="20"/>
                <w:szCs w:val="20"/>
                <w:color w:val="auto"/>
              </w:rPr>
            </w:pPr>
            <w:r>
              <w:rPr>
                <w:rFonts w:ascii="Times New Roman" w:cs="Times New Roman" w:eastAsia="Times New Roman" w:hAnsi="Times New Roman"/>
                <w:sz w:val="19"/>
                <w:szCs w:val="19"/>
                <w:color w:val="auto"/>
              </w:rPr>
              <w:t>2% - 3%</w:t>
            </w:r>
          </w:p>
        </w:tc>
        <w:tc>
          <w:tcPr>
            <w:tcW w:w="60" w:type="dxa"/>
            <w:vAlign w:val="bottom"/>
            <w:shd w:val="clear" w:color="auto" w:fill="D5D5D5"/>
          </w:tcPr>
          <w:p>
            <w:pPr>
              <w:spacing w:after="0"/>
              <w:rPr>
                <w:sz w:val="23"/>
                <w:szCs w:val="23"/>
                <w:color w:val="auto"/>
              </w:rPr>
            </w:pPr>
          </w:p>
        </w:tc>
      </w:tr>
      <w:tr>
        <w:trPr>
          <w:trHeight w:val="276"/>
        </w:trPr>
        <w:tc>
          <w:tcPr>
            <w:tcW w:w="50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Discount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w:t>
            </w:r>
          </w:p>
        </w:tc>
        <w:tc>
          <w:tcPr>
            <w:tcW w:w="480" w:type="dxa"/>
            <w:vAlign w:val="bottom"/>
          </w:tcPr>
          <w:p>
            <w:pPr>
              <w:spacing w:after="0"/>
              <w:rPr>
                <w:sz w:val="23"/>
                <w:szCs w:val="23"/>
                <w:color w:val="auto"/>
              </w:rPr>
            </w:pPr>
          </w:p>
        </w:tc>
        <w:tc>
          <w:tcPr>
            <w:tcW w:w="1620" w:type="dxa"/>
            <w:vAlign w:val="bottom"/>
            <w:gridSpan w:val="2"/>
          </w:tcPr>
          <w:p>
            <w:pPr>
              <w:jc w:val="right"/>
              <w:ind w:right="404"/>
              <w:spacing w:after="0"/>
              <w:rPr>
                <w:sz w:val="20"/>
                <w:szCs w:val="20"/>
                <w:color w:val="auto"/>
              </w:rPr>
            </w:pPr>
            <w:r>
              <w:rPr>
                <w:rFonts w:ascii="Times New Roman" w:cs="Times New Roman" w:eastAsia="Times New Roman" w:hAnsi="Times New Roman"/>
                <w:sz w:val="19"/>
                <w:szCs w:val="19"/>
                <w:color w:val="auto"/>
              </w:rPr>
              <w:t>10.5%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11.5%</w:t>
            </w: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r>
    </w:tbl>
    <w:p>
      <w:pPr>
        <w:spacing w:after="0" w:line="317" w:lineRule="exact"/>
        <w:rPr>
          <w:sz w:val="20"/>
          <w:szCs w:val="20"/>
          <w:color w:val="auto"/>
        </w:rPr>
      </w:pPr>
    </w:p>
    <w:p>
      <w:pPr>
        <w:ind w:right="80" w:firstLine="345"/>
        <w:spacing w:after="0" w:line="256" w:lineRule="auto"/>
        <w:rPr>
          <w:sz w:val="20"/>
          <w:szCs w:val="20"/>
          <w:color w:val="auto"/>
        </w:rPr>
      </w:pPr>
      <w:r>
        <w:rPr>
          <w:rFonts w:ascii="Times New Roman" w:cs="Times New Roman" w:eastAsia="Times New Roman" w:hAnsi="Times New Roman"/>
          <w:sz w:val="19"/>
          <w:szCs w:val="19"/>
          <w:color w:val="auto"/>
        </w:rPr>
        <w:t>The discount rate reflects risks inherent within each reporting unit operating individually. These risks are greater than the risks inherent in the Company as a whole. Determination of discount rates included consideration of market inputs such as the risk-free rate, equity risk premium, industry premium, and cost of debt, among other assumptions. The discount rate for fiscal 2025 is consistent with the rate used in fiscal 2024. While the cost of debt decreased, there was a decrease in the market participant debt-to-capital ratios which resulted in the same weighted average cost of capital as prior year. The decrease in the discount rate for fiscal 2024 from fiscal 2023 was largely due to lower cost of equity capital and an increase in the market participant debt-to-capital ratios which results in more allocation to the cost of debt, which is lower than the cost of equity. We believe the assumptions used in the impairment analysis each year are reflective of the risks inherent in the business models of our reporting units and our industry. Under the market approach, the guideline company method develops valuation multiples by comparing our reporting units to similar publicly traded companies. Key valuation assumptions used in determining the fair value estimates of our reporting units rely on: (a) the selection of similar companies and (b) the selection of valuation multiples as they apply to the reporting unit characteristics.</w:t>
      </w:r>
    </w:p>
    <w:p>
      <w:pPr>
        <w:spacing w:after="0" w:line="199" w:lineRule="exact"/>
        <w:rPr>
          <w:sz w:val="20"/>
          <w:szCs w:val="20"/>
          <w:color w:val="auto"/>
        </w:rPr>
      </w:pPr>
    </w:p>
    <w:p>
      <w:pPr>
        <w:ind w:right="40" w:firstLine="345"/>
        <w:spacing w:after="0" w:line="255" w:lineRule="auto"/>
        <w:rPr>
          <w:sz w:val="20"/>
          <w:szCs w:val="20"/>
          <w:color w:val="auto"/>
        </w:rPr>
      </w:pPr>
      <w:r>
        <w:rPr>
          <w:rFonts w:ascii="Times New Roman" w:cs="Times New Roman" w:eastAsia="Times New Roman" w:hAnsi="Times New Roman"/>
          <w:sz w:val="19"/>
          <w:szCs w:val="19"/>
          <w:color w:val="auto"/>
        </w:rPr>
        <w:t>We determined that the fair values of each of the reporting units were in excess of their carrying values in the fiscal 2025 assessment. Management determined that significant changes were not likely in the factors considered to estimate fair value, and analyzed the impact of such changes were they to occur. Specifically, if the discount rate applied in the fiscal 2025 impairment analysis had been 100 basis points higher than estimated for each of the reporting units, and all other assumptions were held constant, the conclusion of the assessment would remain unchanged and there would be no impairment of goodwill. Additionally, if there was a 25% decrease in the fair value of any of the reporting units due to a decline in their discounted cash flows resulting from lower operating performance, the conclusion of the assessment would remain unchanged for all reporting units. Recent operating performance, along with assumptions for specific customer and industry opportunities, were considered in the key assumptions used during the fiscal 2025 impairment analysis. Management has determined the goodwill of the Company may have an increased likelihood of impairment if a prolonged downturn in customer demand were to occur, or if the reporting units were not able to execute against customer opportunities, and the long-term outlook for their cash flows were adversely impacted. Furthermore, changes in the long-term outlook may result in a change to other valuation assumptions. Factors monitored by management which could result in a change to the reporting units’ estimates include the outcome of customer requests for proposals and subsequent awards, strategies of competitors, labor market conditions and levels of overall economic activity.</w:t>
      </w:r>
    </w:p>
    <w:p>
      <w:pPr>
        <w:spacing w:after="0" w:line="204" w:lineRule="exact"/>
        <w:rPr>
          <w:sz w:val="20"/>
          <w:szCs w:val="20"/>
          <w:color w:val="auto"/>
        </w:rPr>
      </w:pPr>
    </w:p>
    <w:p>
      <w:pPr>
        <w:ind w:right="100" w:firstLine="345"/>
        <w:spacing w:after="0" w:line="258" w:lineRule="auto"/>
        <w:rPr>
          <w:sz w:val="20"/>
          <w:szCs w:val="20"/>
          <w:color w:val="auto"/>
        </w:rPr>
      </w:pPr>
      <w:r>
        <w:rPr>
          <w:rFonts w:ascii="Times New Roman" w:cs="Times New Roman" w:eastAsia="Times New Roman" w:hAnsi="Times New Roman"/>
          <w:sz w:val="19"/>
          <w:szCs w:val="19"/>
          <w:color w:val="auto"/>
        </w:rPr>
        <w:t>The Company determined that there were no events or changes in circumstances for the other reporting units or indefinite lived intangible assets during fiscal 2025 that would indicate a potential reduction in their fair value below their carrying amounts. As of January 25, 2025, the Company continues to believe the remaining goodwill and the indefinite-lived intangible asset are recoverable for all of its reporting units</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 xml:space="preserve"> However, if adverse events were to occur or circumstances were to change indicating that the carrying amount of such assets may not be fully recoverable, the assets would be reviewed for impairment and could be impaired. There can be no assurances that goodwill or the indefinite-lived intangible asset may not be impaired in future periods.</w:t>
      </w:r>
    </w:p>
    <w:p>
      <w:pPr>
        <w:spacing w:after="0" w:line="195" w:lineRule="exact"/>
        <w:rPr>
          <w:sz w:val="20"/>
          <w:szCs w:val="20"/>
          <w:color w:val="auto"/>
        </w:rPr>
      </w:pPr>
    </w:p>
    <w:p>
      <w:pPr>
        <w:ind w:right="60" w:firstLine="345"/>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Implementation Costs – Cloud Computing Arrangements. </w:t>
      </w:r>
      <w:r>
        <w:rPr>
          <w:rFonts w:ascii="Times New Roman" w:cs="Times New Roman" w:eastAsia="Times New Roman" w:hAnsi="Times New Roman"/>
          <w:sz w:val="19"/>
          <w:szCs w:val="19"/>
          <w:color w:val="auto"/>
        </w:rPr>
        <w:t>In accordance with ASU 2018-15, Customer’s Accounting for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Implementation Costs Incurred in a Cloud Computing Arrangement That Is a Service Contract, which amends ASC 350-40, Internal-Use Software, to the extent costs incurred in a cloud computing arrangement are capitalizable, the corresponding costs are recorded in other assets and the related amortization is included in general and administrative expense in the consolidated statements of operations. The amount of capitalized cloud computing implementation costs included in other non-current assets</w:t>
      </w:r>
    </w:p>
    <w:p>
      <w:pPr>
        <w:sectPr>
          <w:pgSz w:w="11880" w:h="15480" w:orient="portrait"/>
          <w:cols w:equalWidth="0" w:num="1">
            <w:col w:w="9840"/>
          </w:cols>
          <w:pgMar w:left="1000" w:top="89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254000</wp:posOffset>
            </wp:positionV>
            <wp:extent cx="76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2">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254000</wp:posOffset>
            </wp:positionV>
            <wp:extent cx="76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3">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40"/>
          </w:cols>
          <w:pgMar w:left="1000" w:top="897" w:right="1040" w:bottom="0" w:gutter="0" w:footer="0" w:header="0"/>
          <w:type w:val="continuous"/>
        </w:sectPr>
      </w:pPr>
    </w:p>
    <w:bookmarkStart w:id="36" w:name="page37"/>
    <w:bookmarkEnd w:id="36"/>
    <w:p>
      <w:pPr>
        <w:jc w:val="both"/>
        <w:ind w:right="100"/>
        <w:spacing w:after="0" w:line="289"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t>was $29.8 million and $7.2 million as of January 25, 2025 and January 27, 2024, respectively. The amortization of capitalized implementation costs related to cloud computing arrangements was not material during fiscal 2025, fiscal 2024, or fiscal 2023.</w:t>
      </w:r>
    </w:p>
    <w:p>
      <w:pPr>
        <w:spacing w:after="0" w:line="162" w:lineRule="exact"/>
        <w:rPr>
          <w:sz w:val="20"/>
          <w:szCs w:val="20"/>
          <w:color w:val="auto"/>
        </w:rPr>
      </w:pPr>
    </w:p>
    <w:p>
      <w:pPr>
        <w:ind w:right="80" w:firstLine="345"/>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 xml:space="preserve">Accrued Insurance Claims. </w:t>
      </w:r>
      <w:r>
        <w:rPr>
          <w:rFonts w:ascii="Times New Roman" w:cs="Times New Roman" w:eastAsia="Times New Roman" w:hAnsi="Times New Roman"/>
          <w:sz w:val="19"/>
          <w:szCs w:val="19"/>
          <w:color w:val="auto"/>
        </w:rPr>
        <w:t>For claims within our insurance program, we retain the risk of loss, up to certain annual stop-loss limits, for matters related to automobile liability, general liability (including damages associated with underground facility locating services), workers’ compensation, and employee group health. Losses for claims beyond our retained risk of loss are covered by insurance up to our coverage limits.</w:t>
      </w:r>
    </w:p>
    <w:p>
      <w:pPr>
        <w:spacing w:after="0" w:line="186" w:lineRule="exact"/>
        <w:rPr>
          <w:sz w:val="20"/>
          <w:szCs w:val="20"/>
          <w:color w:val="auto"/>
        </w:rPr>
      </w:pPr>
    </w:p>
    <w:p>
      <w:pPr>
        <w:ind w:right="180" w:firstLine="345"/>
        <w:spacing w:after="0" w:line="271" w:lineRule="auto"/>
        <w:rPr>
          <w:sz w:val="20"/>
          <w:szCs w:val="20"/>
          <w:color w:val="auto"/>
        </w:rPr>
      </w:pPr>
      <w:r>
        <w:rPr>
          <w:rFonts w:ascii="Times New Roman" w:cs="Times New Roman" w:eastAsia="Times New Roman" w:hAnsi="Times New Roman"/>
          <w:sz w:val="19"/>
          <w:szCs w:val="19"/>
          <w:color w:val="auto"/>
        </w:rPr>
        <w:t>For workers’ compensation losses during fiscal 2025, 2024, and 2023, we retained the risk of loss up to $1.0 million on a per occurrence basis. This retention amount is applicable to all of the states in which we operate, except with respect to workers’ compensation insurance in two states in which we participate in state-sponsored insurance funds.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For automobile liability and general liability losses during fiscal 2025 and 2024, we retained the risk of loss up to</w:t>
      </w:r>
    </w:p>
    <w:p>
      <w:pPr>
        <w:spacing w:after="0" w:line="1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9"/>
          <w:szCs w:val="19"/>
          <w:color w:val="auto"/>
        </w:rPr>
        <w:t>$1.0 million on a per-occurrence basis for the first $5.0 million of insurance coverage. We also retained the risk of loss for the next $10.0 million on a per-occurrence basis for losses between $5.0 million and $15.0 million, if any. Additionally, during fiscal 2024 we retained $10.0 million risk of loss on a per occurrence basis for losses between $30.0 million and $40.0 million, if any.</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For automobile liability and general liability losses during fiscal 2023, we retained the risk of loss up to $1.0 million on 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per-occurrence basis for the first $5.0 million of insurance coverage. We also retained the risk of loss for the next $5.0 million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 a per-occurrence basis with aggregate stop loss limits of $11.5 million within this layer of retention for the period of fiscal</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2023. Additionally, we retained $5.0 million risk of loss on a per occurrence basis for losses between $5.0 million and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$15.0 million, if any, and we retained $10.0 million risk of loss on a per occurrence basis for losses between $30.0 million and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$40.0 million, if any.</w:t>
      </w:r>
    </w:p>
    <w:p>
      <w:pPr>
        <w:spacing w:after="0" w:line="242" w:lineRule="exact"/>
        <w:rPr>
          <w:sz w:val="20"/>
          <w:szCs w:val="20"/>
          <w:color w:val="auto"/>
        </w:rPr>
      </w:pPr>
    </w:p>
    <w:p>
      <w:pPr>
        <w:ind w:right="160" w:firstLine="345"/>
        <w:spacing w:after="0" w:line="271" w:lineRule="auto"/>
        <w:rPr>
          <w:sz w:val="20"/>
          <w:szCs w:val="20"/>
          <w:color w:val="auto"/>
        </w:rPr>
      </w:pPr>
      <w:r>
        <w:rPr>
          <w:rFonts w:ascii="Times New Roman" w:cs="Times New Roman" w:eastAsia="Times New Roman" w:hAnsi="Times New Roman"/>
          <w:sz w:val="19"/>
          <w:szCs w:val="19"/>
          <w:color w:val="auto"/>
        </w:rPr>
        <w:t>We are party to a stop-loss agreement for losses under our employee group health plan. For calendar year 2025, we retain the risk of loss on an annual basis, up to the first $750,000 of claims per participant. In calendar years 2024 and 2023, we retained the risk of loss on an annual basis, up to the first $700,000 and $600,000, respectively, of claims per participant.</w:t>
      </w:r>
    </w:p>
    <w:p>
      <w:pPr>
        <w:spacing w:after="0" w:line="181" w:lineRule="exact"/>
        <w:rPr>
          <w:sz w:val="20"/>
          <w:szCs w:val="20"/>
          <w:color w:val="auto"/>
        </w:rPr>
      </w:pPr>
    </w:p>
    <w:p>
      <w:pPr>
        <w:ind w:right="40" w:firstLine="345"/>
        <w:spacing w:after="0" w:line="262" w:lineRule="auto"/>
        <w:rPr>
          <w:sz w:val="20"/>
          <w:szCs w:val="20"/>
          <w:color w:val="auto"/>
        </w:rPr>
      </w:pPr>
      <w:r>
        <w:rPr>
          <w:rFonts w:ascii="Times New Roman" w:cs="Times New Roman" w:eastAsia="Times New Roman" w:hAnsi="Times New Roman"/>
          <w:sz w:val="19"/>
          <w:szCs w:val="19"/>
          <w:color w:val="auto"/>
        </w:rPr>
        <w:t>We have established reserves that we believe to be adequate based on current evaluations and our experience with these types of claims. A liability for unpaid claims and the associated claim expenses, including incurred but not reported losses, is determined with the assistance of an actuary and reflected in the consolidated financial statements as accrued insurance claims. The effect on our financial statements is generally limited to the amount needed to satisfy our insurance deductibles or retentions. Amounts for total accrued insurance claims and insurance recoveries/receivables are as follows (dollars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380" w:type="dxa"/>
            <w:vAlign w:val="bottom"/>
            <w:tcBorders>
              <w:bottom w:val="single" w:sz="8" w:color="D5D5D5"/>
            </w:tcBorders>
          </w:tcPr>
          <w:p>
            <w:pPr>
              <w:spacing w:after="0"/>
              <w:rPr>
                <w:sz w:val="23"/>
                <w:szCs w:val="23"/>
                <w:color w:val="auto"/>
              </w:rPr>
            </w:pPr>
          </w:p>
        </w:tc>
        <w:tc>
          <w:tcPr>
            <w:tcW w:w="1680" w:type="dxa"/>
            <w:vAlign w:val="bottom"/>
            <w:tcBorders>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80" w:type="dxa"/>
            <w:vAlign w:val="bottom"/>
            <w:tcBorders>
              <w:bottom w:val="single" w:sz="8" w:color="D5D5D5"/>
            </w:tcBorders>
          </w:tcPr>
          <w:p>
            <w:pPr>
              <w:spacing w:after="0"/>
              <w:rPr>
                <w:sz w:val="23"/>
                <w:szCs w:val="23"/>
                <w:color w:val="auto"/>
              </w:rPr>
            </w:pPr>
          </w:p>
        </w:tc>
        <w:tc>
          <w:tcPr>
            <w:tcW w:w="1680" w:type="dxa"/>
            <w:vAlign w:val="bottom"/>
            <w:tcBorders>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January 27, 2024</w:t>
            </w:r>
          </w:p>
        </w:tc>
      </w:tr>
      <w:tr>
        <w:trPr>
          <w:trHeight w:val="269"/>
        </w:trPr>
        <w:tc>
          <w:tcPr>
            <w:tcW w:w="638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Accrued insurance claims - current</w:t>
            </w:r>
          </w:p>
        </w:tc>
        <w:tc>
          <w:tcPr>
            <w:tcW w:w="600" w:type="dxa"/>
            <w:vAlign w:val="bottom"/>
            <w:shd w:val="clear" w:color="auto" w:fill="D5D5D5"/>
          </w:tcPr>
          <w:p>
            <w:pPr>
              <w:jc w:val="right"/>
              <w:ind w:right="364"/>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46,686</w:t>
            </w:r>
          </w:p>
        </w:tc>
        <w:tc>
          <w:tcPr>
            <w:tcW w:w="680" w:type="dxa"/>
            <w:vAlign w:val="bottom"/>
            <w:gridSpan w:val="2"/>
            <w:shd w:val="clear" w:color="auto" w:fill="D5D5D5"/>
          </w:tcPr>
          <w:p>
            <w:pPr>
              <w:jc w:val="right"/>
              <w:ind w:right="364"/>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44,466</w:t>
            </w:r>
          </w:p>
        </w:tc>
      </w:tr>
      <w:tr>
        <w:trPr>
          <w:trHeight w:val="278"/>
        </w:trPr>
        <w:tc>
          <w:tcPr>
            <w:tcW w:w="6380" w:type="dxa"/>
            <w:vAlign w:val="bottom"/>
            <w:tcBorders>
              <w:bottom w:val="single" w:sz="8" w:color="D5D5D5"/>
            </w:tcBorders>
          </w:tcPr>
          <w:p>
            <w:pPr>
              <w:ind w:left="40"/>
              <w:spacing w:after="0"/>
              <w:rPr>
                <w:sz w:val="20"/>
                <w:szCs w:val="20"/>
                <w:color w:val="auto"/>
              </w:rPr>
            </w:pPr>
            <w:r>
              <w:rPr>
                <w:rFonts w:ascii="Times New Roman" w:cs="Times New Roman" w:eastAsia="Times New Roman" w:hAnsi="Times New Roman"/>
                <w:sz w:val="19"/>
                <w:szCs w:val="19"/>
                <w:color w:val="auto"/>
              </w:rPr>
              <w:t>Accrued insurance claims - non-current</w:t>
            </w:r>
          </w:p>
        </w:tc>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49,836</w:t>
            </w:r>
          </w:p>
        </w:tc>
        <w:tc>
          <w:tcPr>
            <w:tcW w:w="80" w:type="dxa"/>
            <w:vAlign w:val="bottom"/>
            <w:tcBorders>
              <w:bottom w:val="single" w:sz="8" w:color="D5D5D5"/>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49,447</w:t>
            </w:r>
          </w:p>
        </w:tc>
      </w:tr>
      <w:tr>
        <w:trPr>
          <w:trHeight w:val="287"/>
        </w:trPr>
        <w:tc>
          <w:tcPr>
            <w:tcW w:w="638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Accrued insurance claims</w:t>
            </w:r>
          </w:p>
        </w:tc>
        <w:tc>
          <w:tcPr>
            <w:tcW w:w="600" w:type="dxa"/>
            <w:vAlign w:val="bottom"/>
            <w:shd w:val="clear" w:color="auto" w:fill="D5D5D5"/>
          </w:tcPr>
          <w:p>
            <w:pPr>
              <w:jc w:val="right"/>
              <w:ind w:right="364"/>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96,522</w:t>
            </w:r>
          </w:p>
        </w:tc>
        <w:tc>
          <w:tcPr>
            <w:tcW w:w="680" w:type="dxa"/>
            <w:vAlign w:val="bottom"/>
            <w:gridSpan w:val="2"/>
            <w:shd w:val="clear" w:color="auto" w:fill="D5D5D5"/>
          </w:tcPr>
          <w:p>
            <w:pPr>
              <w:jc w:val="right"/>
              <w:ind w:right="364"/>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93,913</w:t>
            </w:r>
          </w:p>
        </w:tc>
      </w:tr>
      <w:tr>
        <w:trPr>
          <w:trHeight w:val="541"/>
        </w:trPr>
        <w:tc>
          <w:tcPr>
            <w:tcW w:w="6380" w:type="dxa"/>
            <w:vAlign w:val="bottom"/>
            <w:tcBorders>
              <w:top w:val="single" w:sz="8" w:color="D5D5D5"/>
            </w:tcBorders>
          </w:tcPr>
          <w:p>
            <w:pPr>
              <w:ind w:left="40"/>
              <w:spacing w:after="0"/>
              <w:rPr>
                <w:sz w:val="20"/>
                <w:szCs w:val="20"/>
                <w:color w:val="auto"/>
              </w:rPr>
            </w:pPr>
            <w:r>
              <w:rPr>
                <w:rFonts w:ascii="Times New Roman" w:cs="Times New Roman" w:eastAsia="Times New Roman" w:hAnsi="Times New Roman"/>
                <w:sz w:val="19"/>
                <w:szCs w:val="19"/>
                <w:color w:val="auto"/>
              </w:rPr>
              <w:t>Insurance recoveries/receivables:</w:t>
            </w:r>
          </w:p>
        </w:tc>
        <w:tc>
          <w:tcPr>
            <w:tcW w:w="6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D5D5D5"/>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84"/>
        </w:trPr>
        <w:tc>
          <w:tcPr>
            <w:tcW w:w="6380" w:type="dxa"/>
            <w:vAlign w:val="bottom"/>
            <w:tcBorders>
              <w:bottom w:val="single" w:sz="8" w:color="D5D5D5"/>
            </w:tcBorders>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Non-current (included in Other assets)</w:t>
            </w:r>
          </w:p>
        </w:tc>
        <w:tc>
          <w:tcPr>
            <w:tcW w:w="600" w:type="dxa"/>
            <w:vAlign w:val="bottom"/>
            <w:tcBorders>
              <w:bottom w:val="single" w:sz="8" w:color="auto"/>
            </w:tcBorders>
            <w:shd w:val="clear" w:color="auto" w:fill="D5D5D5"/>
          </w:tcPr>
          <w:p>
            <w:pPr>
              <w:spacing w:after="0"/>
              <w:rPr>
                <w:sz w:val="24"/>
                <w:szCs w:val="24"/>
                <w:color w:val="auto"/>
              </w:rPr>
            </w:pPr>
          </w:p>
        </w:tc>
        <w:tc>
          <w:tcPr>
            <w:tcW w:w="10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3,343</w:t>
            </w:r>
          </w:p>
        </w:tc>
        <w:tc>
          <w:tcPr>
            <w:tcW w:w="80" w:type="dxa"/>
            <w:vAlign w:val="bottom"/>
            <w:tcBorders>
              <w:bottom w:val="single" w:sz="8" w:color="D5D5D5"/>
            </w:tcBorders>
            <w:shd w:val="clear" w:color="auto" w:fill="D5D5D5"/>
          </w:tcPr>
          <w:p>
            <w:pPr>
              <w:spacing w:after="0"/>
              <w:rPr>
                <w:sz w:val="24"/>
                <w:szCs w:val="24"/>
                <w:color w:val="auto"/>
              </w:rPr>
            </w:pPr>
          </w:p>
        </w:tc>
        <w:tc>
          <w:tcPr>
            <w:tcW w:w="600" w:type="dxa"/>
            <w:vAlign w:val="bottom"/>
            <w:tcBorders>
              <w:bottom w:val="single" w:sz="8" w:color="auto"/>
            </w:tcBorders>
            <w:shd w:val="clear" w:color="auto" w:fill="D5D5D5"/>
          </w:tcPr>
          <w:p>
            <w:pPr>
              <w:spacing w:after="0"/>
              <w:rPr>
                <w:sz w:val="24"/>
                <w:szCs w:val="24"/>
                <w:color w:val="auto"/>
              </w:rPr>
            </w:pPr>
          </w:p>
        </w:tc>
        <w:tc>
          <w:tcPr>
            <w:tcW w:w="10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4,760</w:t>
            </w:r>
          </w:p>
        </w:tc>
      </w:tr>
      <w:tr>
        <w:trPr>
          <w:trHeight w:val="250"/>
        </w:trPr>
        <w:tc>
          <w:tcPr>
            <w:tcW w:w="63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Insurance recoveries/receivables</w:t>
            </w:r>
          </w:p>
        </w:tc>
        <w:tc>
          <w:tcPr>
            <w:tcW w:w="600" w:type="dxa"/>
            <w:vAlign w:val="bottom"/>
          </w:tcPr>
          <w:p>
            <w:pPr>
              <w:jc w:val="right"/>
              <w:ind w:right="364"/>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3,343</w:t>
            </w:r>
          </w:p>
        </w:tc>
        <w:tc>
          <w:tcPr>
            <w:tcW w:w="680" w:type="dxa"/>
            <w:vAlign w:val="bottom"/>
            <w:gridSpan w:val="2"/>
          </w:tcPr>
          <w:p>
            <w:pPr>
              <w:jc w:val="right"/>
              <w:ind w:right="364"/>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4,760</w:t>
            </w:r>
          </w:p>
        </w:tc>
      </w:tr>
      <w:tr>
        <w:trPr>
          <w:trHeight w:val="20"/>
        </w:trPr>
        <w:tc>
          <w:tcPr>
            <w:tcW w:w="6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right="280" w:firstLine="345"/>
        <w:spacing w:after="0" w:line="289" w:lineRule="auto"/>
        <w:rPr>
          <w:sz w:val="20"/>
          <w:szCs w:val="20"/>
          <w:color w:val="auto"/>
        </w:rPr>
      </w:pPr>
      <w:r>
        <w:rPr>
          <w:rFonts w:ascii="Times New Roman" w:cs="Times New Roman" w:eastAsia="Times New Roman" w:hAnsi="Times New Roman"/>
          <w:sz w:val="19"/>
          <w:szCs w:val="19"/>
          <w:color w:val="auto"/>
        </w:rPr>
        <w:t>The liability for total accrued insurance claims included incurred but not reported losses of approximately $47.9 million and $47.2 million as of January 25, 2025 and January 27, 2024, respectively.</w:t>
      </w:r>
    </w:p>
    <w:p>
      <w:pPr>
        <w:spacing w:after="0" w:line="165" w:lineRule="exact"/>
        <w:rPr>
          <w:sz w:val="20"/>
          <w:szCs w:val="20"/>
          <w:color w:val="auto"/>
        </w:rPr>
      </w:pPr>
    </w:p>
    <w:p>
      <w:pPr>
        <w:ind w:right="180" w:firstLine="345"/>
        <w:spacing w:after="0" w:line="262" w:lineRule="auto"/>
        <w:rPr>
          <w:sz w:val="20"/>
          <w:szCs w:val="20"/>
          <w:color w:val="auto"/>
        </w:rPr>
      </w:pPr>
      <w:r>
        <w:rPr>
          <w:rFonts w:ascii="Times New Roman" w:cs="Times New Roman" w:eastAsia="Times New Roman" w:hAnsi="Times New Roman"/>
          <w:sz w:val="19"/>
          <w:szCs w:val="19"/>
          <w:color w:val="auto"/>
        </w:rPr>
        <w:t>We estimate the liability for claims based on facts, circumstances, and historical experience. Recorded loss reserves are settled over time and are not discounted. Factors affecting the determination of the expected cost for existing and incurred but not reported claims include, but are not limited to, the magnitude and quantity of future claims, the payment pattern of claims which have been incurred, changes in the medical condition of claimants, and other factors such as inflation, tort reform or other legislative changes, unfavorable jury decisions, and court interpretations.</w:t>
      </w:r>
    </w:p>
    <w:p>
      <w:pPr>
        <w:spacing w:after="0" w:line="187" w:lineRule="exact"/>
        <w:rPr>
          <w:sz w:val="20"/>
          <w:szCs w:val="20"/>
          <w:color w:val="auto"/>
        </w:rPr>
      </w:pPr>
    </w:p>
    <w:p>
      <w:pPr>
        <w:ind w:right="40" w:firstLine="345"/>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Income Taxes. </w:t>
      </w:r>
      <w:r>
        <w:rPr>
          <w:rFonts w:ascii="Times New Roman" w:cs="Times New Roman" w:eastAsia="Times New Roman" w:hAnsi="Times New Roman"/>
          <w:sz w:val="19"/>
          <w:szCs w:val="19"/>
          <w:color w:val="auto"/>
        </w:rPr>
        <w:t>We account for income taxes under the asset and liability method. This approach requires the recognition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deferred tax assets and liabilities for the expected future tax consequences of temporary differences between the carrying amounts and the tax bases of assets and liabilities.</w:t>
      </w:r>
    </w:p>
    <w:p>
      <w:pPr>
        <w:sectPr>
          <w:pgSz w:w="11880" w:h="15480" w:orient="portrait"/>
          <w:cols w:equalWidth="0" w:num="1">
            <w:col w:w="9820"/>
          </w:cols>
          <w:pgMar w:left="1000" w:top="897" w:right="1060"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254000</wp:posOffset>
            </wp:positionV>
            <wp:extent cx="76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6">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254000</wp:posOffset>
            </wp:positionV>
            <wp:extent cx="76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7">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20"/>
          </w:cols>
          <w:pgMar w:left="1000" w:top="897" w:right="1060" w:bottom="0" w:gutter="0" w:footer="0" w:header="0"/>
          <w:type w:val="continuous"/>
        </w:sectPr>
      </w:pPr>
    </w:p>
    <w:bookmarkStart w:id="37" w:name="page38"/>
    <w:bookmarkEnd w:id="37"/>
    <w:p>
      <w:pPr>
        <w:ind w:right="120" w:firstLine="346"/>
        <w:spacing w:after="0" w:line="259" w:lineRule="auto"/>
        <w:rPr>
          <w:sz w:val="20"/>
          <w:szCs w:val="20"/>
          <w:color w:val="auto"/>
        </w:rPr>
      </w:pPr>
      <w:r>
        <w:rPr>
          <w:rFonts w:ascii="Times New Roman" w:cs="Times New Roman" w:eastAsia="Times New Roman" w:hAnsi="Times New Roman"/>
          <w:sz w:val="19"/>
          <w:szCs w:val="19"/>
          <w:color w:val="auto"/>
        </w:rPr>
        <w:t>Measurement of our tax position is based on the applicable statutes, federal and state case law, and our interpretations of tax regulations. The effect of a change in tax rates on deferred tax assets and liabilities is recognized in income during the period that includes the enactment date. We record net deferred tax assets to the extent we believe these assets will more likely than not be realized. In making such determination, we consider all relevant factors, including future reversals of existing taxable temporary differences, projected future taxable income, tax planning strategies, and recent financial operations. In the event we determine that we would be able to realize deferred income tax assets in excess of their net recorded amount, we would adjust the valuation allowance, which would reduce the provision for income taxes.</w:t>
      </w:r>
    </w:p>
    <w:p>
      <w:pPr>
        <w:spacing w:after="0" w:line="193" w:lineRule="exact"/>
        <w:rPr>
          <w:sz w:val="20"/>
          <w:szCs w:val="20"/>
          <w:color w:val="auto"/>
        </w:rPr>
      </w:pPr>
    </w:p>
    <w:p>
      <w:pPr>
        <w:ind w:firstLine="346"/>
        <w:spacing w:after="0" w:line="262" w:lineRule="auto"/>
        <w:rPr>
          <w:sz w:val="20"/>
          <w:szCs w:val="20"/>
          <w:color w:val="auto"/>
        </w:rPr>
      </w:pPr>
      <w:r>
        <w:rPr>
          <w:rFonts w:ascii="Times New Roman" w:cs="Times New Roman" w:eastAsia="Times New Roman" w:hAnsi="Times New Roman"/>
          <w:sz w:val="19"/>
          <w:szCs w:val="19"/>
          <w:color w:val="auto"/>
        </w:rPr>
        <w:t>We recognize tax benefits in the amount that we deem more likely than not will be realized upon ultimate settlement of any tax uncertainty. Tax positions that fail to qualify for recognition are recognized during the period in which the more-likely-than-not standard has been reached, when the tax positions are resolved with the respective taxing authority, or when the statute of limitations for tax examination has expired. We recognize applicable interest related to tax amounts in interest expense and penalties within general and administrative expenses.</w:t>
      </w:r>
    </w:p>
    <w:p>
      <w:pPr>
        <w:spacing w:after="0" w:line="190" w:lineRule="exact"/>
        <w:rPr>
          <w:sz w:val="20"/>
          <w:szCs w:val="20"/>
          <w:color w:val="auto"/>
        </w:rPr>
      </w:pPr>
    </w:p>
    <w:p>
      <w:pPr>
        <w:jc w:val="both"/>
        <w:ind w:right="20" w:firstLine="346"/>
        <w:spacing w:after="0" w:line="271" w:lineRule="auto"/>
        <w:rPr>
          <w:sz w:val="20"/>
          <w:szCs w:val="20"/>
          <w:color w:val="auto"/>
        </w:rPr>
      </w:pPr>
      <w:r>
        <w:rPr>
          <w:rFonts w:ascii="Times New Roman" w:cs="Times New Roman" w:eastAsia="Times New Roman" w:hAnsi="Times New Roman"/>
          <w:sz w:val="19"/>
          <w:szCs w:val="19"/>
          <w:color w:val="auto"/>
        </w:rPr>
        <w:t>Fluctuations in our effective income tax rate were attributable to the difference in income tax rates from state to state where work was performed, non-deductible and non-taxable items, tax credits recognized, the tax effects of the vesting and exercise of share-based awards, impacts of tax filings for prior years, and changes in unrecognized tax benefits.</w:t>
      </w:r>
    </w:p>
    <w:p>
      <w:pPr>
        <w:spacing w:after="0" w:line="179" w:lineRule="exact"/>
        <w:rPr>
          <w:sz w:val="20"/>
          <w:szCs w:val="20"/>
          <w:color w:val="auto"/>
        </w:rPr>
      </w:pPr>
    </w:p>
    <w:p>
      <w:pPr>
        <w:ind w:right="20" w:firstLine="346"/>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Stock-Based Compensation. </w:t>
      </w:r>
      <w:r>
        <w:rPr>
          <w:rFonts w:ascii="Times New Roman" w:cs="Times New Roman" w:eastAsia="Times New Roman" w:hAnsi="Times New Roman"/>
          <w:sz w:val="19"/>
          <w:szCs w:val="19"/>
          <w:color w:val="auto"/>
        </w:rPr>
        <w:t>We have stock-based compensation plans under which we grant stock-based awards, including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stock options, time-based restricted share units (“RSUs”), and performance-based restricted share units (“Performance RSUs”) to attract, retain, and reward talented employees, officers, and directors, and to align stockholder and employee interests. The resulting compensation expense is recognized on a straight-line basis over the vesting period, net of actual forfeitures, and is included in general and administrative expenses in the consolidated statements of operations. This expense fluctuates over time as a function of the duration of vesting periods of the stock-based awards and the Company’s performance, as measured by criteria set forth in performance-based awards.</w:t>
      </w:r>
    </w:p>
    <w:p>
      <w:pPr>
        <w:spacing w:after="0" w:line="196" w:lineRule="exact"/>
        <w:rPr>
          <w:sz w:val="20"/>
          <w:szCs w:val="20"/>
          <w:color w:val="auto"/>
        </w:rPr>
      </w:pPr>
    </w:p>
    <w:p>
      <w:pPr>
        <w:ind w:right="20" w:firstLine="346"/>
        <w:spacing w:after="0" w:line="257" w:lineRule="auto"/>
        <w:rPr>
          <w:sz w:val="20"/>
          <w:szCs w:val="20"/>
          <w:color w:val="auto"/>
        </w:rPr>
      </w:pPr>
      <w:r>
        <w:rPr>
          <w:rFonts w:ascii="Times New Roman" w:cs="Times New Roman" w:eastAsia="Times New Roman" w:hAnsi="Times New Roman"/>
          <w:sz w:val="19"/>
          <w:szCs w:val="19"/>
          <w:color w:val="auto"/>
        </w:rPr>
        <w:t>Compensation expense for stock-based awards is based on fair value at the measurement date. The fair value of RSUs and Performance RSUs is estimated on the date of grant and is equal to the closing market price per share of our common stock on that date. RSUs generally vest ratably over a four-year period. Performance RSUs vest ratably over a three-year period, if certain performance measures are achieved. Each RSU and Performance RSU is settled in one share of our common stock upon vesting. The fair value of stock options is estimated on the date of grant using the Black-Scholes option pricing model. This valuation is affected by the Company’s stock price as well as other inputs, including the expected common stock price volatility over the expected life of the options, the expected term of the stock option, risk-free interest rates, and expected dividends, if any. Our outstanding stock options generally vest ratably over a four-year period and are generally exercisable over a period of up to ten years.</w:t>
      </w:r>
    </w:p>
    <w:p>
      <w:pPr>
        <w:spacing w:after="0" w:line="198" w:lineRule="exact"/>
        <w:rPr>
          <w:sz w:val="20"/>
          <w:szCs w:val="20"/>
          <w:color w:val="auto"/>
        </w:rPr>
      </w:pPr>
    </w:p>
    <w:p>
      <w:pPr>
        <w:ind w:right="40" w:firstLine="346"/>
        <w:spacing w:after="0" w:line="256" w:lineRule="auto"/>
        <w:rPr>
          <w:sz w:val="20"/>
          <w:szCs w:val="20"/>
          <w:color w:val="auto"/>
        </w:rPr>
      </w:pPr>
      <w:r>
        <w:rPr>
          <w:rFonts w:ascii="Times New Roman" w:cs="Times New Roman" w:eastAsia="Times New Roman" w:hAnsi="Times New Roman"/>
          <w:sz w:val="19"/>
          <w:szCs w:val="19"/>
          <w:color w:val="auto"/>
        </w:rPr>
        <w:t xml:space="preserve">For Performance RSUs, we evaluate compensation expense quarterly and recognize expense only if we determine it is probable that the performance measures for the awards will be met. The performance measures for target awards are based on our operating earnings (adjusted for certain amounts) as a percentage of contract revenues and our operating cash flow level (adjusted for certain amounts) for the applicable four-quarter performance period. Additionally, certain awards include three-year performance measures that are more difficult to achieve than those required to earn target awards and, if met, result in supplemental shares awarded. The performance measures for supplemental awards are based on three-year cumulative operating earnings (adjusted for certain amounts) as a percentage of contract revenues and three-year cumulative operating cash flow level (adjusted for certain amounts). If we determine it is no longer probable that we will achieve certain performance measures for the awards, we reverse the stock-based compensation expense that we had previously recognized associated with the portion of Performance RSUs that are no longer expected to vest. The amount of the expense ultimately recognized depends on the number of awards that actually vest. Accordingly, stock-based compensation expense may vary from period to period. For additional information on our stock-based compensation plans, stock options, RSUs, and Performance RSUs, see Note 19, </w:t>
      </w:r>
      <w:r>
        <w:rPr>
          <w:rFonts w:ascii="Times New Roman" w:cs="Times New Roman" w:eastAsia="Times New Roman" w:hAnsi="Times New Roman"/>
          <w:sz w:val="19"/>
          <w:szCs w:val="19"/>
          <w:b w:val="1"/>
          <w:bCs w:val="1"/>
          <w:i w:val="1"/>
          <w:iCs w:val="1"/>
          <w:color w:val="auto"/>
        </w:rPr>
        <w:t>Stock-Based Awards</w:t>
      </w:r>
      <w:r>
        <w:rPr>
          <w:rFonts w:ascii="Times New Roman" w:cs="Times New Roman" w:eastAsia="Times New Roman" w:hAnsi="Times New Roman"/>
          <w:sz w:val="19"/>
          <w:szCs w:val="19"/>
          <w:color w:val="auto"/>
        </w:rPr>
        <w:t>, in the notes to the consolidated financial statements in this Annual Report on Form 10-K.</w:t>
      </w:r>
    </w:p>
    <w:p>
      <w:pPr>
        <w:spacing w:after="0" w:line="193" w:lineRule="exact"/>
        <w:rPr>
          <w:sz w:val="20"/>
          <w:szCs w:val="20"/>
          <w:color w:val="auto"/>
        </w:rPr>
      </w:pPr>
    </w:p>
    <w:p>
      <w:pPr>
        <w:ind w:right="20" w:firstLine="346"/>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Contingencies and Litigation. </w:t>
      </w:r>
      <w:r>
        <w:rPr>
          <w:rFonts w:ascii="Times New Roman" w:cs="Times New Roman" w:eastAsia="Times New Roman" w:hAnsi="Times New Roman"/>
          <w:sz w:val="19"/>
          <w:szCs w:val="19"/>
          <w:color w:val="auto"/>
        </w:rPr>
        <w:t>In the ordinary course of our business, we are involved in certain legal proceedings and other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claims, including claims for indemnification by our customers. In determining whether a loss should be accrued, we evaluate, among other factors, the probability of an unfavorable outcome and the ability to make a reasonable estimate of the amount of loss. If only a range of probable loss can be determined, we accrue for our best estimate within the range for the contingency. In those cases where none of the estimates within the range is better than another, we accrue for the amount representing the low end of the range. As additional information becomes available, we reassess the potential liability related to our pending litigation and other contingencies and revise our estimates as applicable. Revisions of our estimates of the potential liability</w:t>
      </w:r>
    </w:p>
    <w:p>
      <w:pPr>
        <w:sectPr>
          <w:pgSz w:w="11880" w:h="15480" w:orient="portrait"/>
          <w:cols w:equalWidth="0" w:num="1">
            <w:col w:w="9840"/>
          </w:cols>
          <w:pgMar w:left="980" w:top="87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32</w:t>
      </w:r>
    </w:p>
    <w:p>
      <w:pPr>
        <w:spacing w:after="0" w:line="20" w:lineRule="exact"/>
        <w:rPr>
          <w:sz w:val="20"/>
          <w:szCs w:val="20"/>
          <w:color w:val="auto"/>
        </w:rPr>
      </w:pPr>
    </w:p>
    <w:p>
      <w:pPr>
        <w:sectPr>
          <w:pgSz w:w="11880" w:h="15480" w:orient="portrait"/>
          <w:cols w:equalWidth="0" w:num="1">
            <w:col w:w="9840"/>
          </w:cols>
          <w:pgMar w:left="980" w:top="873" w:right="1060" w:bottom="0" w:gutter="0" w:footer="0" w:header="0"/>
          <w:type w:val="continuous"/>
        </w:sectPr>
      </w:pPr>
    </w:p>
    <w:bookmarkStart w:id="38" w:name="page39"/>
    <w:bookmarkEnd w:id="38"/>
    <w:p>
      <w:pPr>
        <w:ind w:right="100"/>
        <w:spacing w:after="0" w:line="289"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t>could materially impact our results of operations. Additionally, if the final outcome of such litigation and contingencies differs adversely from that currently expected, it would result in a charge to operating results when determined.</w:t>
      </w:r>
    </w:p>
    <w:p>
      <w:pPr>
        <w:spacing w:after="0" w:line="162" w:lineRule="exact"/>
        <w:rPr>
          <w:sz w:val="20"/>
          <w:szCs w:val="20"/>
          <w:color w:val="auto"/>
        </w:rPr>
      </w:pPr>
    </w:p>
    <w:p>
      <w:pPr>
        <w:ind w:firstLine="345"/>
        <w:spacing w:after="0" w:line="255" w:lineRule="auto"/>
        <w:rPr>
          <w:sz w:val="20"/>
          <w:szCs w:val="20"/>
          <w:color w:val="auto"/>
        </w:rPr>
      </w:pPr>
      <w:r>
        <w:rPr>
          <w:rFonts w:ascii="Times New Roman" w:cs="Times New Roman" w:eastAsia="Times New Roman" w:hAnsi="Times New Roman"/>
          <w:sz w:val="19"/>
          <w:szCs w:val="19"/>
          <w:b w:val="1"/>
          <w:bCs w:val="1"/>
          <w:i w:val="1"/>
          <w:iCs w:val="1"/>
          <w:color w:val="auto"/>
        </w:rPr>
        <w:t>Business Combinations</w:t>
      </w:r>
      <w:r>
        <w:rPr>
          <w:rFonts w:ascii="Times New Roman" w:cs="Times New Roman" w:eastAsia="Times New Roman" w:hAnsi="Times New Roman"/>
          <w:sz w:val="19"/>
          <w:szCs w:val="19"/>
          <w:color w:val="auto"/>
        </w:rPr>
        <w:t>. We account for business combinations under the acquisition method of accounting. The purchase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price of each business acquired is allocated to the tangible and intangible assets acquired and the liabilities assumed based on information regarding their respective fair values on the date of acquisition. Any excess of the purchase price over the fair value of the separately identifiable assets acquired and liabilities assumed is allocated to goodwill. We determine the fair values used in purchase price allocations for intangible assets based on historical data, estimated discounted future cash flows, expected royalty rates for trademarks and trade names, as well as other information. The valuation of assets acquired and liabilities assumed requires a number of judgments and is subject to revision as additional information about the fair value of assets and liabilities becomes available. Additional information, which existed as of the acquisition date but unknown to us at that time, may become known during the remainder of the measurement period. This measurement period may not exceed 12 months from the acquisition date. The Company will recognize any adjustments to provisional amounts that are identified during the measurement period in the reporting period in which the adjustments are determined. Additionally, in the same period in which adjustments are recognized, the Company will record the effect on earnings of changes in depreciation, amortization, or other income effects, if any, as a result of any change to the provisional amounts, calculated as if the accounting adjustment had been completed at the acquisition date. Acquisition costs are expensed as incurred. The results of operations of businesses acquired are included in the consolidated financial statements from their dates of acquisition.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Results of Operations</w:t>
      </w:r>
    </w:p>
    <w:p>
      <w:pPr>
        <w:spacing w:after="0" w:line="249" w:lineRule="exact"/>
        <w:rPr>
          <w:sz w:val="20"/>
          <w:szCs w:val="20"/>
          <w:color w:val="auto"/>
        </w:rPr>
      </w:pPr>
    </w:p>
    <w:p>
      <w:pPr>
        <w:ind w:right="420" w:firstLine="345"/>
        <w:spacing w:after="0" w:line="289" w:lineRule="auto"/>
        <w:rPr>
          <w:sz w:val="20"/>
          <w:szCs w:val="20"/>
          <w:color w:val="auto"/>
        </w:rPr>
      </w:pPr>
      <w:r>
        <w:rPr>
          <w:rFonts w:ascii="Times New Roman" w:cs="Times New Roman" w:eastAsia="Times New Roman" w:hAnsi="Times New Roman"/>
          <w:sz w:val="19"/>
          <w:szCs w:val="19"/>
          <w:color w:val="auto"/>
        </w:rPr>
        <w:t>The following table sets forth our consolidated statements of operations for the periods indicated and the amounts as a percentage of contract revenues (totals may not add due to rounding) (dollars in millions):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3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gridSpan w:val="4"/>
          </w:tcPr>
          <w:p>
            <w:pPr>
              <w:jc w:val="right"/>
              <w:ind w:right="224"/>
              <w:spacing w:after="0"/>
              <w:rPr>
                <w:sz w:val="20"/>
                <w:szCs w:val="20"/>
                <w:color w:val="auto"/>
              </w:rPr>
            </w:pPr>
            <w:r>
              <w:rPr>
                <w:rFonts w:ascii="Times New Roman" w:cs="Times New Roman" w:eastAsia="Times New Roman" w:hAnsi="Times New Roman"/>
                <w:sz w:val="19"/>
                <w:szCs w:val="19"/>
                <w:b w:val="1"/>
                <w:bCs w:val="1"/>
                <w:color w:val="auto"/>
              </w:rPr>
              <w:t>Fiscal Year Ended</w:t>
            </w:r>
          </w:p>
        </w:tc>
        <w:tc>
          <w:tcPr>
            <w:tcW w:w="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r>
      <w:tr>
        <w:trPr>
          <w:trHeight w:val="268"/>
        </w:trPr>
        <w:tc>
          <w:tcPr>
            <w:tcW w:w="5360" w:type="dxa"/>
            <w:vAlign w:val="bottom"/>
            <w:tcBorders>
              <w:bottom w:val="single" w:sz="8" w:color="D5D5D5"/>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gridSpan w:val="3"/>
          </w:tcPr>
          <w:p>
            <w:pPr>
              <w:jc w:val="right"/>
              <w:ind w:right="284"/>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80" w:type="dxa"/>
            <w:vAlign w:val="bottom"/>
            <w:tcBorders>
              <w:bottom w:val="single" w:sz="8" w:color="D5D5D5"/>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gridSpan w:val="3"/>
          </w:tcPr>
          <w:p>
            <w:pPr>
              <w:jc w:val="right"/>
              <w:ind w:right="284"/>
              <w:spacing w:after="0"/>
              <w:rPr>
                <w:sz w:val="20"/>
                <w:szCs w:val="20"/>
                <w:color w:val="auto"/>
              </w:rPr>
            </w:pPr>
            <w:r>
              <w:rPr>
                <w:rFonts w:ascii="Times New Roman" w:cs="Times New Roman" w:eastAsia="Times New Roman" w:hAnsi="Times New Roman"/>
                <w:sz w:val="19"/>
                <w:szCs w:val="19"/>
                <w:b w:val="1"/>
                <w:bCs w:val="1"/>
                <w:color w:val="auto"/>
              </w:rPr>
              <w:t>January 27, 2024</w:t>
            </w:r>
          </w:p>
        </w:tc>
      </w:tr>
      <w:tr>
        <w:trPr>
          <w:trHeight w:val="278"/>
        </w:trPr>
        <w:tc>
          <w:tcPr>
            <w:tcW w:w="536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Contract revenues</w:t>
            </w:r>
          </w:p>
        </w:tc>
        <w:tc>
          <w:tcPr>
            <w:tcW w:w="280" w:type="dxa"/>
            <w:vAlign w:val="bottom"/>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4,702.0</w:t>
            </w:r>
          </w:p>
        </w:tc>
        <w:tc>
          <w:tcPr>
            <w:tcW w:w="112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100.0 %</w:t>
            </w:r>
          </w:p>
        </w:tc>
        <w:tc>
          <w:tcPr>
            <w:tcW w:w="340" w:type="dxa"/>
            <w:vAlign w:val="bottom"/>
            <w:gridSpan w:val="2"/>
            <w:shd w:val="clear" w:color="auto" w:fill="D5D5D5"/>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4,175.6</w:t>
            </w:r>
          </w:p>
        </w:tc>
        <w:tc>
          <w:tcPr>
            <w:tcW w:w="112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100.0 %</w:t>
            </w:r>
          </w:p>
        </w:tc>
      </w:tr>
      <w:tr>
        <w:trPr>
          <w:trHeight w:val="253"/>
        </w:trPr>
        <w:tc>
          <w:tcPr>
            <w:tcW w:w="5360" w:type="dxa"/>
            <w:vAlign w:val="bottom"/>
            <w:tcBorders>
              <w:top w:val="single" w:sz="8" w:color="D5D5D5"/>
            </w:tcBorders>
          </w:tcPr>
          <w:p>
            <w:pPr>
              <w:ind w:left="40"/>
              <w:spacing w:after="0"/>
              <w:rPr>
                <w:sz w:val="20"/>
                <w:szCs w:val="20"/>
                <w:color w:val="auto"/>
              </w:rPr>
            </w:pPr>
            <w:r>
              <w:rPr>
                <w:rFonts w:ascii="Times New Roman" w:cs="Times New Roman" w:eastAsia="Times New Roman" w:hAnsi="Times New Roman"/>
                <w:sz w:val="19"/>
                <w:szCs w:val="19"/>
                <w:color w:val="auto"/>
              </w:rPr>
              <w:t>Expenses:</w:t>
            </w:r>
          </w:p>
        </w:tc>
        <w:tc>
          <w:tcPr>
            <w:tcW w:w="2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60" w:type="dxa"/>
            <w:vAlign w:val="bottom"/>
            <w:tcBorders>
              <w:top w:val="single" w:sz="8" w:color="D5D5D5"/>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Borders>
              <w:top w:val="single" w:sz="8" w:color="D5D5D5"/>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80" w:type="dxa"/>
            <w:vAlign w:val="bottom"/>
            <w:tcBorders>
              <w:top w:val="single" w:sz="8" w:color="D5D5D5"/>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94"/>
        </w:trPr>
        <w:tc>
          <w:tcPr>
            <w:tcW w:w="536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Costs of earned revenues, excluding depreciation and amortization</w:t>
            </w:r>
          </w:p>
        </w:tc>
        <w:tc>
          <w:tcPr>
            <w:tcW w:w="280" w:type="dxa"/>
            <w:vAlign w:val="bottom"/>
            <w:shd w:val="clear" w:color="auto" w:fill="D5D5D5"/>
          </w:tcPr>
          <w:p>
            <w:pPr>
              <w:spacing w:after="0"/>
              <w:rPr>
                <w:sz w:val="24"/>
                <w:szCs w:val="24"/>
                <w:color w:val="auto"/>
              </w:rPr>
            </w:pPr>
          </w:p>
        </w:tc>
        <w:tc>
          <w:tcPr>
            <w:tcW w:w="7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3,769.9</w:t>
            </w:r>
          </w:p>
        </w:tc>
        <w:tc>
          <w:tcPr>
            <w:tcW w:w="1120" w:type="dxa"/>
            <w:vAlign w:val="bottom"/>
            <w:gridSpan w:val="2"/>
            <w:shd w:val="clear" w:color="auto" w:fill="D5D5D5"/>
          </w:tcPr>
          <w:p>
            <w:pPr>
              <w:jc w:val="right"/>
              <w:ind w:right="144"/>
              <w:spacing w:after="0"/>
              <w:rPr>
                <w:sz w:val="20"/>
                <w:szCs w:val="20"/>
                <w:color w:val="auto"/>
              </w:rPr>
            </w:pPr>
            <w:r>
              <w:rPr>
                <w:rFonts w:ascii="Times New Roman" w:cs="Times New Roman" w:eastAsia="Times New Roman" w:hAnsi="Times New Roman"/>
                <w:sz w:val="19"/>
                <w:szCs w:val="19"/>
                <w:color w:val="auto"/>
              </w:rPr>
              <w:t>80.2</w:t>
            </w:r>
          </w:p>
        </w:tc>
        <w:tc>
          <w:tcPr>
            <w:tcW w:w="80" w:type="dxa"/>
            <w:vAlign w:val="bottom"/>
            <w:shd w:val="clear" w:color="auto" w:fill="D5D5D5"/>
          </w:tcPr>
          <w:p>
            <w:pPr>
              <w:spacing w:after="0"/>
              <w:rPr>
                <w:sz w:val="24"/>
                <w:szCs w:val="24"/>
                <w:color w:val="auto"/>
              </w:rPr>
            </w:pPr>
          </w:p>
        </w:tc>
        <w:tc>
          <w:tcPr>
            <w:tcW w:w="260" w:type="dxa"/>
            <w:vAlign w:val="bottom"/>
            <w:shd w:val="clear" w:color="auto" w:fill="D5D5D5"/>
          </w:tcPr>
          <w:p>
            <w:pPr>
              <w:spacing w:after="0"/>
              <w:rPr>
                <w:sz w:val="24"/>
                <w:szCs w:val="24"/>
                <w:color w:val="auto"/>
              </w:rPr>
            </w:pPr>
          </w:p>
        </w:tc>
        <w:tc>
          <w:tcPr>
            <w:tcW w:w="7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3,361.8</w:t>
            </w:r>
          </w:p>
        </w:tc>
        <w:tc>
          <w:tcPr>
            <w:tcW w:w="1120" w:type="dxa"/>
            <w:vAlign w:val="bottom"/>
            <w:gridSpan w:val="2"/>
            <w:shd w:val="clear" w:color="auto" w:fill="D5D5D5"/>
          </w:tcPr>
          <w:p>
            <w:pPr>
              <w:jc w:val="right"/>
              <w:ind w:right="144"/>
              <w:spacing w:after="0"/>
              <w:rPr>
                <w:sz w:val="20"/>
                <w:szCs w:val="20"/>
                <w:color w:val="auto"/>
              </w:rPr>
            </w:pPr>
            <w:r>
              <w:rPr>
                <w:rFonts w:ascii="Times New Roman" w:cs="Times New Roman" w:eastAsia="Times New Roman" w:hAnsi="Times New Roman"/>
                <w:sz w:val="19"/>
                <w:szCs w:val="19"/>
                <w:color w:val="auto"/>
              </w:rPr>
              <w:t>80.5</w:t>
            </w:r>
          </w:p>
        </w:tc>
      </w:tr>
      <w:tr>
        <w:trPr>
          <w:trHeight w:val="282"/>
        </w:trPr>
        <w:tc>
          <w:tcPr>
            <w:tcW w:w="53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General and administrative</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393.0</w:t>
            </w:r>
          </w:p>
        </w:tc>
        <w:tc>
          <w:tcPr>
            <w:tcW w:w="1120" w:type="dxa"/>
            <w:vAlign w:val="bottom"/>
            <w:gridSpan w:val="2"/>
          </w:tcPr>
          <w:p>
            <w:pPr>
              <w:jc w:val="right"/>
              <w:ind w:right="144"/>
              <w:spacing w:after="0"/>
              <w:rPr>
                <w:sz w:val="20"/>
                <w:szCs w:val="20"/>
                <w:color w:val="auto"/>
              </w:rPr>
            </w:pPr>
            <w:r>
              <w:rPr>
                <w:rFonts w:ascii="Times New Roman" w:cs="Times New Roman" w:eastAsia="Times New Roman" w:hAnsi="Times New Roman"/>
                <w:sz w:val="19"/>
                <w:szCs w:val="19"/>
                <w:color w:val="auto"/>
              </w:rPr>
              <w:t>8.4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327.7</w:t>
            </w:r>
          </w:p>
        </w:tc>
        <w:tc>
          <w:tcPr>
            <w:tcW w:w="1120" w:type="dxa"/>
            <w:vAlign w:val="bottom"/>
            <w:gridSpan w:val="2"/>
          </w:tcPr>
          <w:p>
            <w:pPr>
              <w:jc w:val="right"/>
              <w:ind w:right="144"/>
              <w:spacing w:after="0"/>
              <w:rPr>
                <w:sz w:val="20"/>
                <w:szCs w:val="20"/>
                <w:color w:val="auto"/>
              </w:rPr>
            </w:pPr>
            <w:r>
              <w:rPr>
                <w:rFonts w:ascii="Times New Roman" w:cs="Times New Roman" w:eastAsia="Times New Roman" w:hAnsi="Times New Roman"/>
                <w:sz w:val="19"/>
                <w:szCs w:val="19"/>
                <w:color w:val="auto"/>
              </w:rPr>
              <w:t>7.8</w:t>
            </w:r>
          </w:p>
        </w:tc>
      </w:tr>
      <w:tr>
        <w:trPr>
          <w:trHeight w:val="284"/>
        </w:trPr>
        <w:tc>
          <w:tcPr>
            <w:tcW w:w="5360" w:type="dxa"/>
            <w:vAlign w:val="bottom"/>
            <w:tcBorders>
              <w:bottom w:val="single" w:sz="8" w:color="D5D5D5"/>
            </w:tcBorders>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Depreciation and amortization</w:t>
            </w:r>
          </w:p>
        </w:tc>
        <w:tc>
          <w:tcPr>
            <w:tcW w:w="280" w:type="dxa"/>
            <w:vAlign w:val="bottom"/>
            <w:tcBorders>
              <w:bottom w:val="single" w:sz="8" w:color="auto"/>
            </w:tcBorders>
            <w:shd w:val="clear" w:color="auto" w:fill="D5D5D5"/>
          </w:tcPr>
          <w:p>
            <w:pPr>
              <w:spacing w:after="0"/>
              <w:rPr>
                <w:sz w:val="24"/>
                <w:szCs w:val="24"/>
                <w:color w:val="auto"/>
              </w:rPr>
            </w:pPr>
          </w:p>
        </w:tc>
        <w:tc>
          <w:tcPr>
            <w:tcW w:w="7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198.6</w:t>
            </w:r>
          </w:p>
        </w:tc>
        <w:tc>
          <w:tcPr>
            <w:tcW w:w="60" w:type="dxa"/>
            <w:vAlign w:val="bottom"/>
            <w:tcBorders>
              <w:bottom w:val="single" w:sz="8" w:color="D5D5D5"/>
            </w:tcBorders>
            <w:shd w:val="clear" w:color="auto" w:fill="D5D5D5"/>
          </w:tcPr>
          <w:p>
            <w:pPr>
              <w:spacing w:after="0"/>
              <w:rPr>
                <w:sz w:val="24"/>
                <w:szCs w:val="24"/>
                <w:color w:val="auto"/>
              </w:rPr>
            </w:pPr>
          </w:p>
        </w:tc>
        <w:tc>
          <w:tcPr>
            <w:tcW w:w="1060" w:type="dxa"/>
            <w:vAlign w:val="bottom"/>
            <w:tcBorders>
              <w:bottom w:val="single" w:sz="8" w:color="auto"/>
            </w:tcBorders>
            <w:shd w:val="clear" w:color="auto" w:fill="D5D5D5"/>
          </w:tcPr>
          <w:p>
            <w:pPr>
              <w:jc w:val="right"/>
              <w:ind w:right="144"/>
              <w:spacing w:after="0"/>
              <w:rPr>
                <w:sz w:val="20"/>
                <w:szCs w:val="20"/>
                <w:color w:val="auto"/>
              </w:rPr>
            </w:pPr>
            <w:r>
              <w:rPr>
                <w:rFonts w:ascii="Times New Roman" w:cs="Times New Roman" w:eastAsia="Times New Roman" w:hAnsi="Times New Roman"/>
                <w:sz w:val="19"/>
                <w:szCs w:val="19"/>
                <w:color w:val="auto"/>
              </w:rPr>
              <w:t>4.2</w:t>
            </w:r>
          </w:p>
        </w:tc>
        <w:tc>
          <w:tcPr>
            <w:tcW w:w="80" w:type="dxa"/>
            <w:vAlign w:val="bottom"/>
            <w:tcBorders>
              <w:bottom w:val="single" w:sz="8" w:color="D5D5D5"/>
            </w:tcBorders>
            <w:shd w:val="clear" w:color="auto" w:fill="D5D5D5"/>
          </w:tcPr>
          <w:p>
            <w:pPr>
              <w:spacing w:after="0"/>
              <w:rPr>
                <w:sz w:val="24"/>
                <w:szCs w:val="24"/>
                <w:color w:val="auto"/>
              </w:rPr>
            </w:pPr>
          </w:p>
        </w:tc>
        <w:tc>
          <w:tcPr>
            <w:tcW w:w="260" w:type="dxa"/>
            <w:vAlign w:val="bottom"/>
            <w:tcBorders>
              <w:bottom w:val="single" w:sz="8" w:color="auto"/>
            </w:tcBorders>
            <w:shd w:val="clear" w:color="auto" w:fill="D5D5D5"/>
          </w:tcPr>
          <w:p>
            <w:pPr>
              <w:spacing w:after="0"/>
              <w:rPr>
                <w:sz w:val="24"/>
                <w:szCs w:val="24"/>
                <w:color w:val="auto"/>
              </w:rPr>
            </w:pPr>
          </w:p>
        </w:tc>
        <w:tc>
          <w:tcPr>
            <w:tcW w:w="7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163.1</w:t>
            </w:r>
          </w:p>
        </w:tc>
        <w:tc>
          <w:tcPr>
            <w:tcW w:w="80" w:type="dxa"/>
            <w:vAlign w:val="bottom"/>
            <w:tcBorders>
              <w:bottom w:val="single" w:sz="8" w:color="D5D5D5"/>
            </w:tcBorders>
            <w:shd w:val="clear" w:color="auto" w:fill="D5D5D5"/>
          </w:tcPr>
          <w:p>
            <w:pPr>
              <w:spacing w:after="0"/>
              <w:rPr>
                <w:sz w:val="24"/>
                <w:szCs w:val="24"/>
                <w:color w:val="auto"/>
              </w:rPr>
            </w:pPr>
          </w:p>
        </w:tc>
        <w:tc>
          <w:tcPr>
            <w:tcW w:w="1040" w:type="dxa"/>
            <w:vAlign w:val="bottom"/>
            <w:tcBorders>
              <w:bottom w:val="single" w:sz="8" w:color="auto"/>
            </w:tcBorders>
            <w:shd w:val="clear" w:color="auto" w:fill="D5D5D5"/>
          </w:tcPr>
          <w:p>
            <w:pPr>
              <w:jc w:val="right"/>
              <w:ind w:right="144"/>
              <w:spacing w:after="0"/>
              <w:rPr>
                <w:sz w:val="20"/>
                <w:szCs w:val="20"/>
                <w:color w:val="auto"/>
              </w:rPr>
            </w:pPr>
            <w:r>
              <w:rPr>
                <w:rFonts w:ascii="Times New Roman" w:cs="Times New Roman" w:eastAsia="Times New Roman" w:hAnsi="Times New Roman"/>
                <w:sz w:val="19"/>
                <w:szCs w:val="19"/>
                <w:color w:val="auto"/>
              </w:rPr>
              <w:t>3.9</w:t>
            </w:r>
          </w:p>
        </w:tc>
      </w:tr>
      <w:tr>
        <w:trPr>
          <w:trHeight w:val="268"/>
        </w:trPr>
        <w:tc>
          <w:tcPr>
            <w:tcW w:w="5360" w:type="dxa"/>
            <w:vAlign w:val="bottom"/>
            <w:tcBorders>
              <w:bottom w:val="single" w:sz="8" w:color="D5D5D5"/>
            </w:tcBorders>
          </w:tcPr>
          <w:p>
            <w:pPr>
              <w:ind w:left="400"/>
              <w:spacing w:after="0"/>
              <w:rPr>
                <w:sz w:val="20"/>
                <w:szCs w:val="20"/>
                <w:color w:val="auto"/>
              </w:rPr>
            </w:pPr>
            <w:r>
              <w:rPr>
                <w:rFonts w:ascii="Times New Roman" w:cs="Times New Roman" w:eastAsia="Times New Roman" w:hAnsi="Times New Roman"/>
                <w:sz w:val="19"/>
                <w:szCs w:val="19"/>
                <w:color w:val="auto"/>
              </w:rPr>
              <w:t>Total</w:t>
            </w:r>
          </w:p>
        </w:tc>
        <w:tc>
          <w:tcPr>
            <w:tcW w:w="2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4,361.5</w:t>
            </w:r>
          </w:p>
        </w:tc>
        <w:tc>
          <w:tcPr>
            <w:tcW w:w="60" w:type="dxa"/>
            <w:vAlign w:val="bottom"/>
            <w:tcBorders>
              <w:bottom w:val="single" w:sz="8" w:color="D5D5D5"/>
            </w:tcBorders>
          </w:tcPr>
          <w:p>
            <w:pPr>
              <w:spacing w:after="0"/>
              <w:rPr>
                <w:sz w:val="23"/>
                <w:szCs w:val="23"/>
                <w:color w:val="auto"/>
              </w:rPr>
            </w:pPr>
          </w:p>
        </w:tc>
        <w:tc>
          <w:tcPr>
            <w:tcW w:w="10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9"/>
                <w:szCs w:val="19"/>
                <w:color w:val="auto"/>
              </w:rPr>
              <w:t>92.8</w:t>
            </w:r>
          </w:p>
        </w:tc>
        <w:tc>
          <w:tcPr>
            <w:tcW w:w="80" w:type="dxa"/>
            <w:vAlign w:val="bottom"/>
            <w:tcBorders>
              <w:bottom w:val="single" w:sz="8" w:color="D5D5D5"/>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3,852.6</w:t>
            </w:r>
          </w:p>
        </w:tc>
        <w:tc>
          <w:tcPr>
            <w:tcW w:w="80" w:type="dxa"/>
            <w:vAlign w:val="bottom"/>
            <w:tcBorders>
              <w:bottom w:val="single" w:sz="8" w:color="D5D5D5"/>
            </w:tcBorders>
          </w:tcPr>
          <w:p>
            <w:pPr>
              <w:spacing w:after="0"/>
              <w:rPr>
                <w:sz w:val="23"/>
                <w:szCs w:val="23"/>
                <w:color w:val="auto"/>
              </w:rPr>
            </w:pPr>
          </w:p>
        </w:tc>
        <w:tc>
          <w:tcPr>
            <w:tcW w:w="10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9"/>
                <w:szCs w:val="19"/>
                <w:color w:val="auto"/>
              </w:rPr>
              <w:t>92.3</w:t>
            </w:r>
          </w:p>
        </w:tc>
      </w:tr>
      <w:tr>
        <w:trPr>
          <w:trHeight w:val="278"/>
        </w:trPr>
        <w:tc>
          <w:tcPr>
            <w:tcW w:w="536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Interest expense, net</w:t>
            </w:r>
          </w:p>
        </w:tc>
        <w:tc>
          <w:tcPr>
            <w:tcW w:w="280" w:type="dxa"/>
            <w:vAlign w:val="bottom"/>
            <w:shd w:val="clear" w:color="auto" w:fill="D5D5D5"/>
          </w:tcPr>
          <w:p>
            <w:pPr>
              <w:spacing w:after="0"/>
              <w:rPr>
                <w:sz w:val="24"/>
                <w:szCs w:val="24"/>
                <w:color w:val="auto"/>
              </w:rPr>
            </w:pPr>
          </w:p>
        </w:tc>
        <w:tc>
          <w:tcPr>
            <w:tcW w:w="7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(61.0)</w:t>
            </w:r>
          </w:p>
        </w:tc>
        <w:tc>
          <w:tcPr>
            <w:tcW w:w="1120" w:type="dxa"/>
            <w:vAlign w:val="bottom"/>
            <w:gridSpan w:val="2"/>
            <w:shd w:val="clear" w:color="auto" w:fill="D5D5D5"/>
          </w:tcPr>
          <w:p>
            <w:pPr>
              <w:jc w:val="right"/>
              <w:ind w:right="84"/>
              <w:spacing w:after="0"/>
              <w:rPr>
                <w:sz w:val="20"/>
                <w:szCs w:val="20"/>
                <w:color w:val="auto"/>
              </w:rPr>
            </w:pPr>
            <w:r>
              <w:rPr>
                <w:rFonts w:ascii="Times New Roman" w:cs="Times New Roman" w:eastAsia="Times New Roman" w:hAnsi="Times New Roman"/>
                <w:sz w:val="19"/>
                <w:szCs w:val="19"/>
                <w:color w:val="auto"/>
              </w:rPr>
              <w:t>(1.3)</w:t>
            </w:r>
          </w:p>
        </w:tc>
        <w:tc>
          <w:tcPr>
            <w:tcW w:w="80" w:type="dxa"/>
            <w:vAlign w:val="bottom"/>
            <w:shd w:val="clear" w:color="auto" w:fill="D5D5D5"/>
          </w:tcPr>
          <w:p>
            <w:pPr>
              <w:spacing w:after="0"/>
              <w:rPr>
                <w:sz w:val="24"/>
                <w:szCs w:val="24"/>
                <w:color w:val="auto"/>
              </w:rPr>
            </w:pPr>
          </w:p>
        </w:tc>
        <w:tc>
          <w:tcPr>
            <w:tcW w:w="260" w:type="dxa"/>
            <w:vAlign w:val="bottom"/>
            <w:shd w:val="clear" w:color="auto" w:fill="D5D5D5"/>
          </w:tcPr>
          <w:p>
            <w:pPr>
              <w:spacing w:after="0"/>
              <w:rPr>
                <w:sz w:val="24"/>
                <w:szCs w:val="24"/>
                <w:color w:val="auto"/>
              </w:rPr>
            </w:pPr>
          </w:p>
        </w:tc>
        <w:tc>
          <w:tcPr>
            <w:tcW w:w="7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(52.6)</w:t>
            </w:r>
          </w:p>
        </w:tc>
        <w:tc>
          <w:tcPr>
            <w:tcW w:w="1120" w:type="dxa"/>
            <w:vAlign w:val="bottom"/>
            <w:gridSpan w:val="2"/>
            <w:shd w:val="clear" w:color="auto" w:fill="D5D5D5"/>
          </w:tcPr>
          <w:p>
            <w:pPr>
              <w:jc w:val="right"/>
              <w:ind w:right="64"/>
              <w:spacing w:after="0"/>
              <w:rPr>
                <w:sz w:val="20"/>
                <w:szCs w:val="20"/>
                <w:color w:val="auto"/>
              </w:rPr>
            </w:pPr>
            <w:r>
              <w:rPr>
                <w:rFonts w:ascii="Times New Roman" w:cs="Times New Roman" w:eastAsia="Times New Roman" w:hAnsi="Times New Roman"/>
                <w:sz w:val="19"/>
                <w:szCs w:val="19"/>
                <w:color w:val="auto"/>
              </w:rPr>
              <w:t>(1.3)</w:t>
            </w:r>
          </w:p>
        </w:tc>
      </w:tr>
      <w:tr>
        <w:trPr>
          <w:trHeight w:val="282"/>
        </w:trPr>
        <w:tc>
          <w:tcPr>
            <w:tcW w:w="53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Loss on debt extinguishment</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w:t>
            </w:r>
          </w:p>
        </w:tc>
        <w:tc>
          <w:tcPr>
            <w:tcW w:w="60" w:type="dxa"/>
            <w:vAlign w:val="bottom"/>
          </w:tcPr>
          <w:p>
            <w:pPr>
              <w:spacing w:after="0"/>
              <w:rPr>
                <w:sz w:val="24"/>
                <w:szCs w:val="24"/>
                <w:color w:val="auto"/>
              </w:rPr>
            </w:pPr>
          </w:p>
        </w:tc>
        <w:tc>
          <w:tcPr>
            <w:tcW w:w="106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10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w:t>
            </w:r>
          </w:p>
        </w:tc>
      </w:tr>
      <w:tr>
        <w:trPr>
          <w:trHeight w:val="284"/>
        </w:trPr>
        <w:tc>
          <w:tcPr>
            <w:tcW w:w="5360" w:type="dxa"/>
            <w:vAlign w:val="bottom"/>
            <w:tcBorders>
              <w:bottom w:val="single" w:sz="8" w:color="D5D5D5"/>
            </w:tcBorders>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Other income, net</w:t>
            </w:r>
          </w:p>
        </w:tc>
        <w:tc>
          <w:tcPr>
            <w:tcW w:w="280" w:type="dxa"/>
            <w:vAlign w:val="bottom"/>
            <w:tcBorders>
              <w:bottom w:val="single" w:sz="8" w:color="auto"/>
            </w:tcBorders>
            <w:shd w:val="clear" w:color="auto" w:fill="D5D5D5"/>
          </w:tcPr>
          <w:p>
            <w:pPr>
              <w:spacing w:after="0"/>
              <w:rPr>
                <w:sz w:val="24"/>
                <w:szCs w:val="24"/>
                <w:color w:val="auto"/>
              </w:rPr>
            </w:pPr>
          </w:p>
        </w:tc>
        <w:tc>
          <w:tcPr>
            <w:tcW w:w="7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29.2</w:t>
            </w:r>
          </w:p>
        </w:tc>
        <w:tc>
          <w:tcPr>
            <w:tcW w:w="60" w:type="dxa"/>
            <w:vAlign w:val="bottom"/>
            <w:tcBorders>
              <w:bottom w:val="single" w:sz="8" w:color="D5D5D5"/>
            </w:tcBorders>
            <w:shd w:val="clear" w:color="auto" w:fill="D5D5D5"/>
          </w:tcPr>
          <w:p>
            <w:pPr>
              <w:spacing w:after="0"/>
              <w:rPr>
                <w:sz w:val="24"/>
                <w:szCs w:val="24"/>
                <w:color w:val="auto"/>
              </w:rPr>
            </w:pPr>
          </w:p>
        </w:tc>
        <w:tc>
          <w:tcPr>
            <w:tcW w:w="1060" w:type="dxa"/>
            <w:vAlign w:val="bottom"/>
            <w:tcBorders>
              <w:bottom w:val="single" w:sz="8" w:color="auto"/>
            </w:tcBorders>
            <w:shd w:val="clear" w:color="auto" w:fill="D5D5D5"/>
          </w:tcPr>
          <w:p>
            <w:pPr>
              <w:jc w:val="right"/>
              <w:ind w:right="144"/>
              <w:spacing w:after="0"/>
              <w:rPr>
                <w:sz w:val="20"/>
                <w:szCs w:val="20"/>
                <w:color w:val="auto"/>
              </w:rPr>
            </w:pPr>
            <w:r>
              <w:rPr>
                <w:rFonts w:ascii="Times New Roman" w:cs="Times New Roman" w:eastAsia="Times New Roman" w:hAnsi="Times New Roman"/>
                <w:sz w:val="19"/>
                <w:szCs w:val="19"/>
                <w:color w:val="auto"/>
              </w:rPr>
              <w:t>0.6</w:t>
            </w:r>
          </w:p>
        </w:tc>
        <w:tc>
          <w:tcPr>
            <w:tcW w:w="80" w:type="dxa"/>
            <w:vAlign w:val="bottom"/>
            <w:tcBorders>
              <w:bottom w:val="single" w:sz="8" w:color="D5D5D5"/>
            </w:tcBorders>
            <w:shd w:val="clear" w:color="auto" w:fill="D5D5D5"/>
          </w:tcPr>
          <w:p>
            <w:pPr>
              <w:spacing w:after="0"/>
              <w:rPr>
                <w:sz w:val="24"/>
                <w:szCs w:val="24"/>
                <w:color w:val="auto"/>
              </w:rPr>
            </w:pPr>
          </w:p>
        </w:tc>
        <w:tc>
          <w:tcPr>
            <w:tcW w:w="260" w:type="dxa"/>
            <w:vAlign w:val="bottom"/>
            <w:tcBorders>
              <w:bottom w:val="single" w:sz="8" w:color="auto"/>
            </w:tcBorders>
            <w:shd w:val="clear" w:color="auto" w:fill="D5D5D5"/>
          </w:tcPr>
          <w:p>
            <w:pPr>
              <w:spacing w:after="0"/>
              <w:rPr>
                <w:sz w:val="24"/>
                <w:szCs w:val="24"/>
                <w:color w:val="auto"/>
              </w:rPr>
            </w:pPr>
          </w:p>
        </w:tc>
        <w:tc>
          <w:tcPr>
            <w:tcW w:w="7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21.6</w:t>
            </w:r>
          </w:p>
        </w:tc>
        <w:tc>
          <w:tcPr>
            <w:tcW w:w="80" w:type="dxa"/>
            <w:vAlign w:val="bottom"/>
            <w:tcBorders>
              <w:bottom w:val="single" w:sz="8" w:color="D5D5D5"/>
            </w:tcBorders>
            <w:shd w:val="clear" w:color="auto" w:fill="D5D5D5"/>
          </w:tcPr>
          <w:p>
            <w:pPr>
              <w:spacing w:after="0"/>
              <w:rPr>
                <w:sz w:val="24"/>
                <w:szCs w:val="24"/>
                <w:color w:val="auto"/>
              </w:rPr>
            </w:pPr>
          </w:p>
        </w:tc>
        <w:tc>
          <w:tcPr>
            <w:tcW w:w="1040" w:type="dxa"/>
            <w:vAlign w:val="bottom"/>
            <w:tcBorders>
              <w:bottom w:val="single" w:sz="8" w:color="auto"/>
            </w:tcBorders>
            <w:shd w:val="clear" w:color="auto" w:fill="D5D5D5"/>
          </w:tcPr>
          <w:p>
            <w:pPr>
              <w:jc w:val="right"/>
              <w:ind w:right="144"/>
              <w:spacing w:after="0"/>
              <w:rPr>
                <w:sz w:val="20"/>
                <w:szCs w:val="20"/>
                <w:color w:val="auto"/>
              </w:rPr>
            </w:pPr>
            <w:r>
              <w:rPr>
                <w:rFonts w:ascii="Times New Roman" w:cs="Times New Roman" w:eastAsia="Times New Roman" w:hAnsi="Times New Roman"/>
                <w:sz w:val="19"/>
                <w:szCs w:val="19"/>
                <w:color w:val="auto"/>
              </w:rPr>
              <w:t>0.5</w:t>
            </w:r>
          </w:p>
        </w:tc>
      </w:tr>
      <w:tr>
        <w:trPr>
          <w:trHeight w:val="272"/>
        </w:trPr>
        <w:tc>
          <w:tcPr>
            <w:tcW w:w="53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Income before income taxes</w:t>
            </w: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307.8</w:t>
            </w:r>
          </w:p>
        </w:tc>
        <w:tc>
          <w:tcPr>
            <w:tcW w:w="1120" w:type="dxa"/>
            <w:vAlign w:val="bottom"/>
            <w:gridSpan w:val="2"/>
          </w:tcPr>
          <w:p>
            <w:pPr>
              <w:jc w:val="right"/>
              <w:ind w:right="144"/>
              <w:spacing w:after="0"/>
              <w:rPr>
                <w:sz w:val="20"/>
                <w:szCs w:val="20"/>
                <w:color w:val="auto"/>
              </w:rPr>
            </w:pPr>
            <w:r>
              <w:rPr>
                <w:rFonts w:ascii="Times New Roman" w:cs="Times New Roman" w:eastAsia="Times New Roman" w:hAnsi="Times New Roman"/>
                <w:sz w:val="19"/>
                <w:szCs w:val="19"/>
                <w:color w:val="auto"/>
              </w:rPr>
              <w:t>6.5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292.0</w:t>
            </w:r>
          </w:p>
        </w:tc>
        <w:tc>
          <w:tcPr>
            <w:tcW w:w="1120" w:type="dxa"/>
            <w:vAlign w:val="bottom"/>
            <w:gridSpan w:val="2"/>
          </w:tcPr>
          <w:p>
            <w:pPr>
              <w:jc w:val="right"/>
              <w:ind w:right="144"/>
              <w:spacing w:after="0"/>
              <w:rPr>
                <w:sz w:val="20"/>
                <w:szCs w:val="20"/>
                <w:color w:val="auto"/>
              </w:rPr>
            </w:pPr>
            <w:r>
              <w:rPr>
                <w:rFonts w:ascii="Times New Roman" w:cs="Times New Roman" w:eastAsia="Times New Roman" w:hAnsi="Times New Roman"/>
                <w:sz w:val="19"/>
                <w:szCs w:val="19"/>
                <w:color w:val="auto"/>
              </w:rPr>
              <w:t>7.0</w:t>
            </w:r>
          </w:p>
        </w:tc>
      </w:tr>
      <w:tr>
        <w:trPr>
          <w:trHeight w:val="284"/>
        </w:trPr>
        <w:tc>
          <w:tcPr>
            <w:tcW w:w="5360" w:type="dxa"/>
            <w:vAlign w:val="bottom"/>
            <w:tcBorders>
              <w:bottom w:val="single" w:sz="8" w:color="D5D5D5"/>
            </w:tcBorders>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Provision for income taxes</w:t>
            </w:r>
          </w:p>
        </w:tc>
        <w:tc>
          <w:tcPr>
            <w:tcW w:w="280" w:type="dxa"/>
            <w:vAlign w:val="bottom"/>
            <w:tcBorders>
              <w:bottom w:val="single" w:sz="8" w:color="auto"/>
            </w:tcBorders>
            <w:shd w:val="clear" w:color="auto" w:fill="D5D5D5"/>
          </w:tcPr>
          <w:p>
            <w:pPr>
              <w:spacing w:after="0"/>
              <w:rPr>
                <w:sz w:val="24"/>
                <w:szCs w:val="24"/>
                <w:color w:val="auto"/>
              </w:rPr>
            </w:pPr>
          </w:p>
        </w:tc>
        <w:tc>
          <w:tcPr>
            <w:tcW w:w="7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74.4</w:t>
            </w:r>
          </w:p>
        </w:tc>
        <w:tc>
          <w:tcPr>
            <w:tcW w:w="60" w:type="dxa"/>
            <w:vAlign w:val="bottom"/>
            <w:tcBorders>
              <w:bottom w:val="single" w:sz="8" w:color="D5D5D5"/>
            </w:tcBorders>
            <w:shd w:val="clear" w:color="auto" w:fill="D5D5D5"/>
          </w:tcPr>
          <w:p>
            <w:pPr>
              <w:spacing w:after="0"/>
              <w:rPr>
                <w:sz w:val="24"/>
                <w:szCs w:val="24"/>
                <w:color w:val="auto"/>
              </w:rPr>
            </w:pPr>
          </w:p>
        </w:tc>
        <w:tc>
          <w:tcPr>
            <w:tcW w:w="1060" w:type="dxa"/>
            <w:vAlign w:val="bottom"/>
            <w:tcBorders>
              <w:bottom w:val="single" w:sz="8" w:color="auto"/>
            </w:tcBorders>
            <w:shd w:val="clear" w:color="auto" w:fill="D5D5D5"/>
          </w:tcPr>
          <w:p>
            <w:pPr>
              <w:jc w:val="right"/>
              <w:ind w:right="144"/>
              <w:spacing w:after="0"/>
              <w:rPr>
                <w:sz w:val="20"/>
                <w:szCs w:val="20"/>
                <w:color w:val="auto"/>
              </w:rPr>
            </w:pPr>
            <w:r>
              <w:rPr>
                <w:rFonts w:ascii="Times New Roman" w:cs="Times New Roman" w:eastAsia="Times New Roman" w:hAnsi="Times New Roman"/>
                <w:sz w:val="19"/>
                <w:szCs w:val="19"/>
                <w:color w:val="auto"/>
              </w:rPr>
              <w:t>1.6</w:t>
            </w:r>
          </w:p>
        </w:tc>
        <w:tc>
          <w:tcPr>
            <w:tcW w:w="80" w:type="dxa"/>
            <w:vAlign w:val="bottom"/>
            <w:tcBorders>
              <w:bottom w:val="single" w:sz="8" w:color="D5D5D5"/>
            </w:tcBorders>
            <w:shd w:val="clear" w:color="auto" w:fill="D5D5D5"/>
          </w:tcPr>
          <w:p>
            <w:pPr>
              <w:spacing w:after="0"/>
              <w:rPr>
                <w:sz w:val="24"/>
                <w:szCs w:val="24"/>
                <w:color w:val="auto"/>
              </w:rPr>
            </w:pPr>
          </w:p>
        </w:tc>
        <w:tc>
          <w:tcPr>
            <w:tcW w:w="260" w:type="dxa"/>
            <w:vAlign w:val="bottom"/>
            <w:tcBorders>
              <w:bottom w:val="single" w:sz="8" w:color="auto"/>
            </w:tcBorders>
            <w:shd w:val="clear" w:color="auto" w:fill="D5D5D5"/>
          </w:tcPr>
          <w:p>
            <w:pPr>
              <w:spacing w:after="0"/>
              <w:rPr>
                <w:sz w:val="24"/>
                <w:szCs w:val="24"/>
                <w:color w:val="auto"/>
              </w:rPr>
            </w:pPr>
          </w:p>
        </w:tc>
        <w:tc>
          <w:tcPr>
            <w:tcW w:w="7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73.1</w:t>
            </w:r>
          </w:p>
        </w:tc>
        <w:tc>
          <w:tcPr>
            <w:tcW w:w="80" w:type="dxa"/>
            <w:vAlign w:val="bottom"/>
            <w:tcBorders>
              <w:bottom w:val="single" w:sz="8" w:color="D5D5D5"/>
            </w:tcBorders>
            <w:shd w:val="clear" w:color="auto" w:fill="D5D5D5"/>
          </w:tcPr>
          <w:p>
            <w:pPr>
              <w:spacing w:after="0"/>
              <w:rPr>
                <w:sz w:val="24"/>
                <w:szCs w:val="24"/>
                <w:color w:val="auto"/>
              </w:rPr>
            </w:pPr>
          </w:p>
        </w:tc>
        <w:tc>
          <w:tcPr>
            <w:tcW w:w="1040" w:type="dxa"/>
            <w:vAlign w:val="bottom"/>
            <w:tcBorders>
              <w:bottom w:val="single" w:sz="8" w:color="auto"/>
            </w:tcBorders>
            <w:shd w:val="clear" w:color="auto" w:fill="D5D5D5"/>
          </w:tcPr>
          <w:p>
            <w:pPr>
              <w:jc w:val="right"/>
              <w:ind w:right="144"/>
              <w:spacing w:after="0"/>
              <w:rPr>
                <w:sz w:val="20"/>
                <w:szCs w:val="20"/>
                <w:color w:val="auto"/>
              </w:rPr>
            </w:pPr>
            <w:r>
              <w:rPr>
                <w:rFonts w:ascii="Times New Roman" w:cs="Times New Roman" w:eastAsia="Times New Roman" w:hAnsi="Times New Roman"/>
                <w:sz w:val="19"/>
                <w:szCs w:val="19"/>
                <w:color w:val="auto"/>
              </w:rPr>
              <w:t>1.8</w:t>
            </w:r>
          </w:p>
        </w:tc>
      </w:tr>
      <w:tr>
        <w:trPr>
          <w:trHeight w:val="250"/>
        </w:trPr>
        <w:tc>
          <w:tcPr>
            <w:tcW w:w="53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Net income</w:t>
            </w:r>
          </w:p>
        </w:tc>
        <w:tc>
          <w:tcPr>
            <w:tcW w:w="2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233.4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5.0 %</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218.9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5.2 %</w:t>
            </w:r>
          </w:p>
        </w:tc>
      </w:tr>
      <w:tr>
        <w:trPr>
          <w:trHeight w:val="20"/>
        </w:trPr>
        <w:tc>
          <w:tcPr>
            <w:tcW w:w="5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ind w:right="100" w:firstLine="345"/>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Contract Revenues. </w:t>
      </w:r>
      <w:r>
        <w:rPr>
          <w:rFonts w:ascii="Times New Roman" w:cs="Times New Roman" w:eastAsia="Times New Roman" w:hAnsi="Times New Roman"/>
          <w:sz w:val="19"/>
          <w:szCs w:val="19"/>
          <w:color w:val="auto"/>
        </w:rPr>
        <w:t>Contract revenues were $4.702 billion during fiscal 2025 compared to $4.176 billion during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fiscal 2024. Contract revenues from acquired businesses were $379.7 million during fiscal 2025 and $102.7 million during fiscal 2024. Acquired revenues represent contract revenues from acquired businesses that were not owned for the full period in both the current and comparable prior periods.</w:t>
      </w:r>
    </w:p>
    <w:p>
      <w:pPr>
        <w:spacing w:after="0" w:line="186" w:lineRule="exact"/>
        <w:rPr>
          <w:sz w:val="20"/>
          <w:szCs w:val="20"/>
          <w:color w:val="auto"/>
        </w:rPr>
      </w:pPr>
    </w:p>
    <w:p>
      <w:pPr>
        <w:ind w:right="40" w:firstLine="345"/>
        <w:spacing w:after="0" w:line="259" w:lineRule="auto"/>
        <w:rPr>
          <w:sz w:val="20"/>
          <w:szCs w:val="20"/>
          <w:color w:val="auto"/>
        </w:rPr>
      </w:pPr>
      <w:r>
        <w:rPr>
          <w:rFonts w:ascii="Times New Roman" w:cs="Times New Roman" w:eastAsia="Times New Roman" w:hAnsi="Times New Roman"/>
          <w:sz w:val="19"/>
          <w:szCs w:val="19"/>
          <w:color w:val="auto"/>
        </w:rPr>
        <w:t>Excluding amounts generated by the acquired businesses, contract revenues increased by $249.4 million during fiscal 2025 compared to fiscal 2024. Contract revenues increased by $163.5 million for a large telecommunications customer improving its network, by $118.8 million for another customer deploying fiber, by $114.8 million for a telecommunication customer primarily for fiber deployments, and $56.8 million for another telecommunications customer. Contracts revenue decreased by $86.7 million and $80.2 million for two large telecommunication customers, and by $63.9 million for a rural telecommunications customer. All other customers had net increases in contract revenues of $26.3 million on a combined basis during fiscal 2025 compared to fiscal 2024.</w:t>
      </w:r>
    </w:p>
    <w:p>
      <w:pPr>
        <w:spacing w:after="0" w:line="193" w:lineRule="exact"/>
        <w:rPr>
          <w:sz w:val="20"/>
          <w:szCs w:val="20"/>
          <w:color w:val="auto"/>
        </w:rPr>
      </w:pPr>
    </w:p>
    <w:p>
      <w:pPr>
        <w:jc w:val="both"/>
        <w:ind w:right="300" w:firstLine="345"/>
        <w:spacing w:after="0" w:line="271" w:lineRule="auto"/>
        <w:rPr>
          <w:sz w:val="20"/>
          <w:szCs w:val="20"/>
          <w:color w:val="auto"/>
        </w:rPr>
      </w:pPr>
      <w:r>
        <w:rPr>
          <w:rFonts w:ascii="Times New Roman" w:cs="Times New Roman" w:eastAsia="Times New Roman" w:hAnsi="Times New Roman"/>
          <w:sz w:val="19"/>
          <w:szCs w:val="19"/>
          <w:color w:val="auto"/>
        </w:rPr>
        <w:t>The percentage of our contract revenues by customer type from telecommunications, underground facility locating, and electric and gas utilities and other customers, was 90.4%, 6.7%, and 2.9%, respectively, for fiscal 2025 compared to 89.6%, 7.1%, and 3.3%, respectively, for fiscal 2024.</w:t>
      </w:r>
    </w:p>
    <w:p>
      <w:pPr>
        <w:sectPr>
          <w:pgSz w:w="11880" w:h="15480" w:orient="portrait"/>
          <w:cols w:equalWidth="0" w:num="1">
            <w:col w:w="9820"/>
          </w:cols>
          <w:pgMar w:left="1000" w:top="897" w:right="1060" w:bottom="0" w:gutter="0" w:footer="0" w:header="0"/>
        </w:sectPr>
      </w:pPr>
    </w:p>
    <w:p>
      <w:pPr>
        <w:spacing w:after="0" w:line="3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254000</wp:posOffset>
            </wp:positionV>
            <wp:extent cx="76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0">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254000</wp:posOffset>
            </wp:positionV>
            <wp:extent cx="76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1">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20"/>
          </w:cols>
          <w:pgMar w:left="1000" w:top="897" w:right="1060" w:bottom="0" w:gutter="0" w:footer="0" w:header="0"/>
          <w:type w:val="continuous"/>
        </w:sectPr>
      </w:pPr>
    </w:p>
    <w:bookmarkStart w:id="39" w:name="page40"/>
    <w:bookmarkEnd w:id="39"/>
    <w:p>
      <w:pPr>
        <w:ind w:firstLine="345"/>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t xml:space="preserve">Costs of Earned Revenues. </w:t>
      </w:r>
      <w:r>
        <w:rPr>
          <w:rFonts w:ascii="Times New Roman" w:cs="Times New Roman" w:eastAsia="Times New Roman" w:hAnsi="Times New Roman"/>
          <w:sz w:val="19"/>
          <w:szCs w:val="19"/>
          <w:color w:val="auto"/>
        </w:rPr>
        <w:t>Costs of earned revenues increased to $3.770 billion, or 80.2% of contract revenues, during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fiscal 2025 compared to $3.362 billion, or 80.5% of contract revenues, during fiscal 2024. The primary component of the increase was a $403.0 million aggregate increase in direct labor and subcontractor costs. The increase was further due to a $21.0 million increase in other direct costs and a $1.4 million increase in equipment maintenance and fuel costs combined, partially offset by a $17.3 million decrease in direct materials.</w:t>
      </w:r>
    </w:p>
    <w:p>
      <w:pPr>
        <w:spacing w:after="0" w:line="193" w:lineRule="exact"/>
        <w:rPr>
          <w:sz w:val="20"/>
          <w:szCs w:val="20"/>
          <w:color w:val="auto"/>
        </w:rPr>
      </w:pPr>
    </w:p>
    <w:p>
      <w:pPr>
        <w:ind w:right="120" w:firstLine="345"/>
        <w:spacing w:after="0" w:line="253" w:lineRule="auto"/>
        <w:rPr>
          <w:sz w:val="20"/>
          <w:szCs w:val="20"/>
          <w:color w:val="auto"/>
        </w:rPr>
      </w:pPr>
      <w:r>
        <w:rPr>
          <w:rFonts w:ascii="Times New Roman" w:cs="Times New Roman" w:eastAsia="Times New Roman" w:hAnsi="Times New Roman"/>
          <w:sz w:val="19"/>
          <w:szCs w:val="19"/>
          <w:color w:val="auto"/>
        </w:rPr>
        <w:t>Costs of earned revenues as a percentage of contract revenues decreased 0.3% during fiscal 2025 compared to fiscal 2024. As a percentage of contract revenues, direct materials decreased 1.1% primarily as a result of our mix of work in which we provide materials for our customers and other direct costs decreased 0.2% as a percentage of contract revenues during</w:t>
      </w:r>
    </w:p>
    <w:p>
      <w:pPr>
        <w:ind w:right="180"/>
        <w:spacing w:after="0" w:line="289" w:lineRule="auto"/>
        <w:rPr>
          <w:sz w:val="20"/>
          <w:szCs w:val="20"/>
          <w:color w:val="auto"/>
        </w:rPr>
      </w:pPr>
      <w:r>
        <w:rPr>
          <w:rFonts w:ascii="Times New Roman" w:cs="Times New Roman" w:eastAsia="Times New Roman" w:hAnsi="Times New Roman"/>
          <w:sz w:val="19"/>
          <w:szCs w:val="19"/>
          <w:color w:val="auto"/>
        </w:rPr>
        <w:t>fiscal 2025. Equipment maintenance and fuel costs combined decreased 0.4% as a percentage of contract revenues. Labor and subcontracted labor costs increased 1.4% primarily due to the mix of work performed.</w:t>
      </w:r>
    </w:p>
    <w:p>
      <w:pPr>
        <w:spacing w:after="0" w:line="162" w:lineRule="exact"/>
        <w:rPr>
          <w:sz w:val="20"/>
          <w:szCs w:val="20"/>
          <w:color w:val="auto"/>
        </w:rPr>
      </w:pPr>
    </w:p>
    <w:p>
      <w:pPr>
        <w:ind w:right="40" w:firstLine="345"/>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General and Administrative Expenses. </w:t>
      </w:r>
      <w:r>
        <w:rPr>
          <w:rFonts w:ascii="Times New Roman" w:cs="Times New Roman" w:eastAsia="Times New Roman" w:hAnsi="Times New Roman"/>
          <w:sz w:val="19"/>
          <w:szCs w:val="19"/>
          <w:color w:val="auto"/>
        </w:rPr>
        <w:t>General and administrative expenses increased to $393.0 million, or 8.4%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contract revenues, during fiscal 2025 compared to $327.7 million, or 7.8% of contract revenues, during fiscal 2024. The increase in total general and administrative expenses primarily resulted from increased administrative, payroll, performance based compensation, $11.4 million incremental stock based compensation expense resulting from the CEO transition, acquisition costs, $4.2 million acquisition integration costs and other costs, including incremental general administrative expenses from acquired businesses. See Note 19, </w:t>
      </w:r>
      <w:r>
        <w:rPr>
          <w:rFonts w:ascii="Times New Roman" w:cs="Times New Roman" w:eastAsia="Times New Roman" w:hAnsi="Times New Roman"/>
          <w:sz w:val="19"/>
          <w:szCs w:val="19"/>
          <w:b w:val="1"/>
          <w:bCs w:val="1"/>
          <w:i w:val="1"/>
          <w:iCs w:val="1"/>
          <w:color w:val="auto"/>
        </w:rPr>
        <w:t>Stock-Based Awards,</w:t>
      </w:r>
      <w:r>
        <w:rPr>
          <w:rFonts w:ascii="Times New Roman" w:cs="Times New Roman" w:eastAsia="Times New Roman" w:hAnsi="Times New Roman"/>
          <w:sz w:val="19"/>
          <w:szCs w:val="19"/>
          <w:color w:val="auto"/>
        </w:rPr>
        <w:t xml:space="preserve"> for additional information regarding the CEO transition.</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Depreciation and Amortization. </w:t>
      </w:r>
      <w:r>
        <w:rPr>
          <w:rFonts w:ascii="Times New Roman" w:cs="Times New Roman" w:eastAsia="Times New Roman" w:hAnsi="Times New Roman"/>
          <w:sz w:val="19"/>
          <w:szCs w:val="19"/>
          <w:color w:val="auto"/>
        </w:rPr>
        <w:t>Depreciation expense was $167.2 million, or 3.6% of contract revenues, during</w:t>
      </w:r>
    </w:p>
    <w:p>
      <w:pPr>
        <w:spacing w:after="0" w:line="1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auto"/>
        </w:rPr>
        <w:t>fiscal 2025, compared to $143.3 million, or 3.4% of contract revenues, during fiscal 2024. The increase in depreciation expense during fiscal 2025 was primarily due to higher capital expenditures to support our growth in operations, normal replacement cycle of fleet assets, and depreciation from acquired businesses. Amortization expense was $31.4 million and $19.8 million during fiscal 2025 and fiscal 2024, respectively. The increase in amortization expense during fiscal 2025 is due to the increase in amortizing intangibles from acquired businesses.</w:t>
      </w:r>
    </w:p>
    <w:p>
      <w:pPr>
        <w:spacing w:after="0" w:line="187" w:lineRule="exact"/>
        <w:rPr>
          <w:sz w:val="20"/>
          <w:szCs w:val="20"/>
          <w:color w:val="auto"/>
        </w:rPr>
      </w:pPr>
    </w:p>
    <w:p>
      <w:pPr>
        <w:ind w:right="260" w:firstLine="345"/>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Interest Expense, Net. </w:t>
      </w:r>
      <w:r>
        <w:rPr>
          <w:rFonts w:ascii="Times New Roman" w:cs="Times New Roman" w:eastAsia="Times New Roman" w:hAnsi="Times New Roman"/>
          <w:sz w:val="19"/>
          <w:szCs w:val="19"/>
          <w:color w:val="auto"/>
        </w:rPr>
        <w:t>Interest expense, net increased to $61.0 million during fiscal 2025 from $52.6 million during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fiscal 2024 as a result of higher outstanding borrowings during the current period and lower interest income on invested cash balances.</w:t>
      </w:r>
    </w:p>
    <w:p>
      <w:pPr>
        <w:spacing w:after="0" w:line="179" w:lineRule="exact"/>
        <w:rPr>
          <w:sz w:val="20"/>
          <w:szCs w:val="20"/>
          <w:color w:val="auto"/>
        </w:rPr>
      </w:pPr>
    </w:p>
    <w:p>
      <w:pPr>
        <w:jc w:val="both"/>
        <w:ind w:right="400" w:firstLine="345"/>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 xml:space="preserve">Loss on Debt Extinguishment. </w:t>
      </w:r>
      <w:r>
        <w:rPr>
          <w:rFonts w:ascii="Times New Roman" w:cs="Times New Roman" w:eastAsia="Times New Roman" w:hAnsi="Times New Roman"/>
          <w:sz w:val="19"/>
          <w:szCs w:val="19"/>
          <w:color w:val="auto"/>
        </w:rPr>
        <w:t>Loss on debt extinguishment during fiscal 2025 of $1.0 million includes the write-off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deferred debt issuance costs in connection with the Credit Agreement amendment. See “</w:t>
      </w:r>
      <w:r>
        <w:rPr>
          <w:rFonts w:ascii="Times New Roman" w:cs="Times New Roman" w:eastAsia="Times New Roman" w:hAnsi="Times New Roman"/>
          <w:sz w:val="19"/>
          <w:szCs w:val="19"/>
          <w:b w:val="1"/>
          <w:bCs w:val="1"/>
          <w:i w:val="1"/>
          <w:iCs w:val="1"/>
          <w:color w:val="auto"/>
        </w:rPr>
        <w:t>Liquidity and Capital Resources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Compliance with Credit Agreement</w:t>
      </w:r>
      <w:r>
        <w:rPr>
          <w:rFonts w:ascii="Times New Roman" w:cs="Times New Roman" w:eastAsia="Times New Roman" w:hAnsi="Times New Roman"/>
          <w:sz w:val="19"/>
          <w:szCs w:val="19"/>
          <w:color w:val="auto"/>
        </w:rPr>
        <w:t>” for more information.</w:t>
      </w:r>
    </w:p>
    <w:p>
      <w:pPr>
        <w:spacing w:after="0" w:line="179" w:lineRule="exact"/>
        <w:rPr>
          <w:sz w:val="20"/>
          <w:szCs w:val="20"/>
          <w:color w:val="auto"/>
        </w:rPr>
      </w:pPr>
    </w:p>
    <w:p>
      <w:pPr>
        <w:ind w:right="40" w:firstLine="345"/>
        <w:spacing w:after="0" w:line="254" w:lineRule="auto"/>
        <w:rPr>
          <w:sz w:val="20"/>
          <w:szCs w:val="20"/>
          <w:color w:val="auto"/>
        </w:rPr>
      </w:pPr>
      <w:r>
        <w:rPr>
          <w:rFonts w:ascii="Times New Roman" w:cs="Times New Roman" w:eastAsia="Times New Roman" w:hAnsi="Times New Roman"/>
          <w:sz w:val="19"/>
          <w:szCs w:val="19"/>
          <w:b w:val="1"/>
          <w:bCs w:val="1"/>
          <w:i w:val="1"/>
          <w:iCs w:val="1"/>
          <w:color w:val="auto"/>
        </w:rPr>
        <w:t xml:space="preserve">Other Income, Net. </w:t>
      </w:r>
      <w:r>
        <w:rPr>
          <w:rFonts w:ascii="Times New Roman" w:cs="Times New Roman" w:eastAsia="Times New Roman" w:hAnsi="Times New Roman"/>
          <w:sz w:val="19"/>
          <w:szCs w:val="19"/>
          <w:color w:val="auto"/>
        </w:rPr>
        <w:t>Other income, net was $29.2 million and $21.6 million during fiscal 2025 and fiscal 2024, respectively.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change in other income, net was primarily a function of the number of assets sold and prices obtained for those assets during each respective period. Gain on sale of fixed assets was $36.5 million and $28.3 million during fiscal 2025 and</w:t>
      </w:r>
    </w:p>
    <w:p>
      <w:pPr>
        <w:ind w:right="120"/>
        <w:spacing w:after="0" w:line="289" w:lineRule="auto"/>
        <w:rPr>
          <w:sz w:val="20"/>
          <w:szCs w:val="20"/>
          <w:color w:val="auto"/>
        </w:rPr>
      </w:pPr>
      <w:r>
        <w:rPr>
          <w:rFonts w:ascii="Times New Roman" w:cs="Times New Roman" w:eastAsia="Times New Roman" w:hAnsi="Times New Roman"/>
          <w:sz w:val="19"/>
          <w:szCs w:val="19"/>
          <w:color w:val="auto"/>
        </w:rPr>
        <w:t>fiscal 2024, respectively. Other income, net also includes expense associated with the non-recourse sale of accounts receivable under a customer-sponsored vendor payment program.</w:t>
      </w:r>
    </w:p>
    <w:p>
      <w:pPr>
        <w:spacing w:after="0" w:line="162" w:lineRule="exact"/>
        <w:rPr>
          <w:sz w:val="20"/>
          <w:szCs w:val="20"/>
          <w:color w:val="auto"/>
        </w:rPr>
      </w:pPr>
    </w:p>
    <w:p>
      <w:pPr>
        <w:ind w:right="420" w:firstLine="345"/>
        <w:spacing w:after="0" w:line="291"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Income Taxes. </w:t>
      </w:r>
      <w:r>
        <w:rPr>
          <w:rFonts w:ascii="Times New Roman" w:cs="Times New Roman" w:eastAsia="Times New Roman" w:hAnsi="Times New Roman"/>
          <w:sz w:val="19"/>
          <w:szCs w:val="19"/>
          <w:color w:val="auto"/>
        </w:rPr>
        <w:t>The following table presents our income tax provision and effective income tax rate for fiscal 2025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fiscal 2024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8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780" w:type="dxa"/>
            <w:vAlign w:val="bottom"/>
            <w:tcBorders>
              <w:bottom w:val="single" w:sz="8" w:color="auto"/>
            </w:tcBorders>
            <w:gridSpan w:val="4"/>
          </w:tcPr>
          <w:p>
            <w:pPr>
              <w:ind w:left="1020"/>
              <w:spacing w:after="0"/>
              <w:rPr>
                <w:sz w:val="20"/>
                <w:szCs w:val="20"/>
                <w:color w:val="auto"/>
              </w:rPr>
            </w:pPr>
            <w:r>
              <w:rPr>
                <w:rFonts w:ascii="Times New Roman" w:cs="Times New Roman" w:eastAsia="Times New Roman" w:hAnsi="Times New Roman"/>
                <w:sz w:val="19"/>
                <w:szCs w:val="19"/>
                <w:b w:val="1"/>
                <w:bCs w:val="1"/>
                <w:color w:val="auto"/>
              </w:rPr>
              <w:t>Fiscal Year Ended</w:t>
            </w:r>
          </w:p>
        </w:tc>
      </w:tr>
      <w:tr>
        <w:trPr>
          <w:trHeight w:val="268"/>
        </w:trPr>
        <w:tc>
          <w:tcPr>
            <w:tcW w:w="5820" w:type="dxa"/>
            <w:vAlign w:val="bottom"/>
            <w:tcBorders>
              <w:bottom w:val="single" w:sz="8" w:color="D5D5D5"/>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80" w:type="dxa"/>
            <w:vAlign w:val="bottom"/>
            <w:tcBorders>
              <w:bottom w:val="single" w:sz="8" w:color="D5D5D5"/>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9"/>
                <w:szCs w:val="19"/>
                <w:b w:val="1"/>
                <w:bCs w:val="1"/>
                <w:color w:val="auto"/>
              </w:rPr>
              <w:t>January 27, 2024</w:t>
            </w:r>
          </w:p>
        </w:tc>
      </w:tr>
      <w:tr>
        <w:trPr>
          <w:trHeight w:val="254"/>
        </w:trPr>
        <w:tc>
          <w:tcPr>
            <w:tcW w:w="582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Income tax provision</w:t>
            </w:r>
          </w:p>
        </w:tc>
        <w:tc>
          <w:tcPr>
            <w:tcW w:w="2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740" w:type="dxa"/>
            <w:vAlign w:val="bottom"/>
            <w:shd w:val="clear" w:color="auto" w:fill="D5D5D5"/>
          </w:tcPr>
          <w:p>
            <w:pPr>
              <w:ind w:left="1180"/>
              <w:spacing w:after="0"/>
              <w:rPr>
                <w:sz w:val="20"/>
                <w:szCs w:val="20"/>
                <w:color w:val="auto"/>
              </w:rPr>
            </w:pPr>
            <w:r>
              <w:rPr>
                <w:rFonts w:ascii="Times New Roman" w:cs="Times New Roman" w:eastAsia="Times New Roman" w:hAnsi="Times New Roman"/>
                <w:sz w:val="19"/>
                <w:szCs w:val="19"/>
                <w:color w:val="auto"/>
              </w:rPr>
              <w:t>74.4</w:t>
            </w:r>
          </w:p>
        </w:tc>
        <w:tc>
          <w:tcPr>
            <w:tcW w:w="80" w:type="dxa"/>
            <w:vAlign w:val="bottom"/>
            <w:shd w:val="clear" w:color="auto" w:fill="D5D5D5"/>
          </w:tcPr>
          <w:p>
            <w:pPr>
              <w:spacing w:after="0"/>
              <w:rPr>
                <w:sz w:val="22"/>
                <w:szCs w:val="22"/>
                <w:color w:val="auto"/>
              </w:rPr>
            </w:pPr>
          </w:p>
        </w:tc>
        <w:tc>
          <w:tcPr>
            <w:tcW w:w="2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760" w:type="dxa"/>
            <w:vAlign w:val="bottom"/>
            <w:shd w:val="clear" w:color="auto" w:fill="D5D5D5"/>
          </w:tcPr>
          <w:p>
            <w:pPr>
              <w:ind w:left="1180"/>
              <w:spacing w:after="0"/>
              <w:rPr>
                <w:sz w:val="20"/>
                <w:szCs w:val="20"/>
                <w:color w:val="auto"/>
              </w:rPr>
            </w:pPr>
            <w:r>
              <w:rPr>
                <w:rFonts w:ascii="Times New Roman" w:cs="Times New Roman" w:eastAsia="Times New Roman" w:hAnsi="Times New Roman"/>
                <w:sz w:val="19"/>
                <w:szCs w:val="19"/>
                <w:color w:val="auto"/>
              </w:rPr>
              <w:t>73.1</w:t>
            </w:r>
          </w:p>
        </w:tc>
      </w:tr>
      <w:tr>
        <w:trPr>
          <w:trHeight w:val="262"/>
        </w:trPr>
        <w:tc>
          <w:tcPr>
            <w:tcW w:w="58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Effective income tax rate</w:t>
            </w:r>
          </w:p>
        </w:tc>
        <w:tc>
          <w:tcPr>
            <w:tcW w:w="220" w:type="dxa"/>
            <w:vAlign w:val="bottom"/>
          </w:tcPr>
          <w:p>
            <w:pPr>
              <w:spacing w:after="0"/>
              <w:rPr>
                <w:sz w:val="22"/>
                <w:szCs w:val="22"/>
                <w:color w:val="auto"/>
              </w:rPr>
            </w:pPr>
          </w:p>
        </w:tc>
        <w:tc>
          <w:tcPr>
            <w:tcW w:w="1740" w:type="dxa"/>
            <w:vAlign w:val="bottom"/>
          </w:tcPr>
          <w:p>
            <w:pPr>
              <w:ind w:left="1180"/>
              <w:spacing w:after="0"/>
              <w:rPr>
                <w:sz w:val="20"/>
                <w:szCs w:val="20"/>
                <w:color w:val="auto"/>
              </w:rPr>
            </w:pPr>
            <w:r>
              <w:rPr>
                <w:rFonts w:ascii="Times New Roman" w:cs="Times New Roman" w:eastAsia="Times New Roman" w:hAnsi="Times New Roman"/>
                <w:sz w:val="19"/>
                <w:szCs w:val="19"/>
                <w:color w:val="auto"/>
              </w:rPr>
              <w:t>24.2 %</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60" w:type="dxa"/>
            <w:vAlign w:val="bottom"/>
          </w:tcPr>
          <w:p>
            <w:pPr>
              <w:ind w:left="1180"/>
              <w:spacing w:after="0"/>
              <w:rPr>
                <w:sz w:val="20"/>
                <w:szCs w:val="20"/>
                <w:color w:val="auto"/>
              </w:rPr>
            </w:pPr>
            <w:r>
              <w:rPr>
                <w:rFonts w:ascii="Times New Roman" w:cs="Times New Roman" w:eastAsia="Times New Roman" w:hAnsi="Times New Roman"/>
                <w:sz w:val="19"/>
                <w:szCs w:val="19"/>
                <w:color w:val="auto"/>
              </w:rPr>
              <w:t>25.0 %</w:t>
            </w:r>
          </w:p>
        </w:tc>
      </w:tr>
    </w:tbl>
    <w:p>
      <w:pPr>
        <w:spacing w:after="0" w:line="288" w:lineRule="exact"/>
        <w:rPr>
          <w:sz w:val="20"/>
          <w:szCs w:val="20"/>
          <w:color w:val="auto"/>
        </w:rPr>
      </w:pPr>
    </w:p>
    <w:p>
      <w:pPr>
        <w:ind w:right="40" w:firstLine="345"/>
        <w:spacing w:after="0" w:line="271" w:lineRule="auto"/>
        <w:rPr>
          <w:sz w:val="20"/>
          <w:szCs w:val="20"/>
          <w:color w:val="auto"/>
        </w:rPr>
      </w:pPr>
      <w:r>
        <w:rPr>
          <w:rFonts w:ascii="Times New Roman" w:cs="Times New Roman" w:eastAsia="Times New Roman" w:hAnsi="Times New Roman"/>
          <w:sz w:val="19"/>
          <w:szCs w:val="19"/>
          <w:color w:val="auto"/>
        </w:rPr>
        <w:t>Our effective income tax rate differs from the statutory rate primarily due to the difference in income tax rates from state to state where work was performed, non-deductible and non-taxable items, tax credits recognized, the tax effects of the vesting and exercise of share-based awards, and changes in unrecognized tax benefits.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Net Income. </w:t>
      </w:r>
      <w:r>
        <w:rPr>
          <w:rFonts w:ascii="Times New Roman" w:cs="Times New Roman" w:eastAsia="Times New Roman" w:hAnsi="Times New Roman"/>
          <w:sz w:val="19"/>
          <w:szCs w:val="19"/>
          <w:color w:val="auto"/>
        </w:rPr>
        <w:t>Net income was $233.4 million for fiscal 2025 compared to $218.9 million for fiscal 2024.</w:t>
      </w:r>
    </w:p>
    <w:p>
      <w:pPr>
        <w:spacing w:after="0" w:line="242" w:lineRule="exact"/>
        <w:rPr>
          <w:sz w:val="20"/>
          <w:szCs w:val="20"/>
          <w:color w:val="auto"/>
        </w:rPr>
      </w:pPr>
    </w:p>
    <w:p>
      <w:pPr>
        <w:ind w:right="20" w:firstLine="345"/>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 xml:space="preserve">Non-GAAP Adjusted EBITDA. </w:t>
      </w:r>
      <w:r>
        <w:rPr>
          <w:rFonts w:ascii="Times New Roman" w:cs="Times New Roman" w:eastAsia="Times New Roman" w:hAnsi="Times New Roman"/>
          <w:sz w:val="19"/>
          <w:szCs w:val="19"/>
          <w:color w:val="auto"/>
        </w:rPr>
        <w:t>Adjusted EBITDA is a Non-GAAP measure, as defined by Regulation G of the SEC. We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define Adjusted EBITDA as net income before interest, taxes, depreciation and amortization, gain on sale of fixed assets, stock-based compensation expense, and certain non-recurring items. Management believes Adjusted EBITDA is a helpful measure</w:t>
      </w:r>
    </w:p>
    <w:p>
      <w:pPr>
        <w:sectPr>
          <w:pgSz w:w="11880" w:h="15480" w:orient="portrait"/>
          <w:cols w:equalWidth="0" w:num="1">
            <w:col w:w="9840"/>
          </w:cols>
          <w:pgMar w:left="1000" w:top="909"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254000</wp:posOffset>
            </wp:positionV>
            <wp:extent cx="76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4">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254000</wp:posOffset>
            </wp:positionV>
            <wp:extent cx="76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5">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40"/>
          </w:cols>
          <w:pgMar w:left="1000" w:top="909" w:right="1040" w:bottom="0" w:gutter="0" w:footer="0" w:header="0"/>
          <w:type w:val="continuous"/>
        </w:sectPr>
      </w:pPr>
    </w:p>
    <w:bookmarkStart w:id="40" w:name="page41"/>
    <w:bookmarkEnd w:id="40"/>
    <w:p>
      <w:pPr>
        <w:ind w:left="5" w:right="300"/>
        <w:spacing w:after="0" w:line="271"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t>for comparing the Company’s operating performance with prior periods as well as with the performance of other companies with different capital structures or tax rates. The following table provides a reconciliation of net income to Non-GAAP Adjusted EBITDA (dollars in thousands):</w:t>
      </w:r>
    </w:p>
    <w:p>
      <w:pPr>
        <w:spacing w:after="0" w:line="18" w:lineRule="exact"/>
        <w:rPr>
          <w:sz w:val="20"/>
          <w:szCs w:val="20"/>
          <w:color w:val="auto"/>
        </w:rPr>
      </w:pPr>
    </w:p>
    <w:tbl>
      <w:tblPr>
        <w:tblLayout w:type="fixed"/>
        <w:tblInd w:w="5" w:type="dxa"/>
        <w:tblCellMar>
          <w:top w:w="0" w:type="dxa"/>
          <w:left w:w="0" w:type="dxa"/>
          <w:bottom w:w="0" w:type="dxa"/>
          <w:right w:w="0" w:type="dxa"/>
        </w:tblCellMar>
      </w:tblPr>
      <w:tr>
        <w:trPr>
          <w:trHeight w:val="266"/>
        </w:trPr>
        <w:tc>
          <w:tcPr>
            <w:tcW w:w="5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780" w:type="dxa"/>
            <w:vAlign w:val="bottom"/>
            <w:gridSpan w:val="5"/>
          </w:tcPr>
          <w:p>
            <w:pPr>
              <w:ind w:left="1020"/>
              <w:spacing w:after="0"/>
              <w:rPr>
                <w:sz w:val="20"/>
                <w:szCs w:val="20"/>
                <w:color w:val="auto"/>
              </w:rPr>
            </w:pPr>
            <w:r>
              <w:rPr>
                <w:rFonts w:ascii="Times New Roman" w:cs="Times New Roman" w:eastAsia="Times New Roman" w:hAnsi="Times New Roman"/>
                <w:sz w:val="19"/>
                <w:szCs w:val="19"/>
                <w:b w:val="1"/>
                <w:bCs w:val="1"/>
                <w:color w:val="auto"/>
              </w:rPr>
              <w:t>Fiscal Year Ended</w:t>
            </w:r>
          </w:p>
        </w:tc>
        <w:tc>
          <w:tcPr>
            <w:tcW w:w="0" w:type="dxa"/>
            <w:vAlign w:val="bottom"/>
          </w:tcPr>
          <w:p>
            <w:pPr>
              <w:spacing w:after="0"/>
              <w:rPr>
                <w:sz w:val="1"/>
                <w:szCs w:val="1"/>
                <w:color w:val="auto"/>
              </w:rPr>
            </w:pPr>
          </w:p>
        </w:tc>
      </w:tr>
      <w:tr>
        <w:trPr>
          <w:trHeight w:val="254"/>
        </w:trPr>
        <w:tc>
          <w:tcPr>
            <w:tcW w:w="5840" w:type="dxa"/>
            <w:vAlign w:val="bottom"/>
            <w:tcBorders>
              <w:bottom w:val="single" w:sz="8" w:color="D5D5D5"/>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80" w:type="dxa"/>
            <w:vAlign w:val="bottom"/>
            <w:tcBorders>
              <w:top w:val="single" w:sz="8" w:color="auto"/>
              <w:bottom w:val="single" w:sz="8" w:color="D5D5D5"/>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9"/>
                <w:szCs w:val="19"/>
                <w:b w:val="1"/>
                <w:bCs w:val="1"/>
                <w:color w:val="auto"/>
              </w:rPr>
              <w:t>January 27, 2024</w:t>
            </w:r>
          </w:p>
        </w:tc>
        <w:tc>
          <w:tcPr>
            <w:tcW w:w="20" w:type="dxa"/>
            <w:vAlign w:val="bottom"/>
            <w:tcBorders>
              <w:bottom w:val="single" w:sz="8" w:color="D5D5D5"/>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584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Net income</w:t>
            </w:r>
          </w:p>
        </w:tc>
        <w:tc>
          <w:tcPr>
            <w:tcW w:w="2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740" w:type="dxa"/>
            <w:vAlign w:val="bottom"/>
            <w:shd w:val="clear" w:color="auto" w:fill="D5D5D5"/>
          </w:tcPr>
          <w:p>
            <w:pPr>
              <w:jc w:val="right"/>
              <w:ind w:right="144"/>
              <w:spacing w:after="0"/>
              <w:rPr>
                <w:sz w:val="20"/>
                <w:szCs w:val="20"/>
                <w:color w:val="auto"/>
              </w:rPr>
            </w:pPr>
            <w:r>
              <w:rPr>
                <w:rFonts w:ascii="Times New Roman" w:cs="Times New Roman" w:eastAsia="Times New Roman" w:hAnsi="Times New Roman"/>
                <w:sz w:val="19"/>
                <w:szCs w:val="19"/>
                <w:color w:val="auto"/>
              </w:rPr>
              <w:t>233,413</w:t>
            </w:r>
          </w:p>
        </w:tc>
        <w:tc>
          <w:tcPr>
            <w:tcW w:w="280" w:type="dxa"/>
            <w:vAlign w:val="bottom"/>
            <w:gridSpan w:val="2"/>
            <w:shd w:val="clear" w:color="auto" w:fill="D5D5D5"/>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740" w:type="dxa"/>
            <w:vAlign w:val="bottom"/>
            <w:shd w:val="clear" w:color="auto" w:fill="D5D5D5"/>
          </w:tcPr>
          <w:p>
            <w:pPr>
              <w:jc w:val="right"/>
              <w:ind w:right="124"/>
              <w:spacing w:after="0"/>
              <w:rPr>
                <w:sz w:val="20"/>
                <w:szCs w:val="20"/>
                <w:color w:val="auto"/>
              </w:rPr>
            </w:pPr>
            <w:r>
              <w:rPr>
                <w:rFonts w:ascii="Times New Roman" w:cs="Times New Roman" w:eastAsia="Times New Roman" w:hAnsi="Times New Roman"/>
                <w:sz w:val="19"/>
                <w:szCs w:val="19"/>
                <w:color w:val="auto"/>
              </w:rPr>
              <w:t>218,923</w:t>
            </w:r>
          </w:p>
        </w:tc>
        <w:tc>
          <w:tcPr>
            <w:tcW w:w="20" w:type="dxa"/>
            <w:vAlign w:val="bottom"/>
            <w:shd w:val="clear" w:color="auto" w:fill="D5D5D5"/>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Interest expense, net</w:t>
            </w:r>
          </w:p>
        </w:tc>
        <w:tc>
          <w:tcPr>
            <w:tcW w:w="220" w:type="dxa"/>
            <w:vAlign w:val="bottom"/>
          </w:tcPr>
          <w:p>
            <w:pPr>
              <w:spacing w:after="0"/>
              <w:rPr>
                <w:sz w:val="24"/>
                <w:szCs w:val="24"/>
                <w:color w:val="auto"/>
              </w:rPr>
            </w:pPr>
          </w:p>
        </w:tc>
        <w:tc>
          <w:tcPr>
            <w:tcW w:w="17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60,994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rPr>
              <w:t>52,603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84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Provision for income taxes</w:t>
            </w:r>
          </w:p>
        </w:tc>
        <w:tc>
          <w:tcPr>
            <w:tcW w:w="220" w:type="dxa"/>
            <w:vAlign w:val="bottom"/>
            <w:shd w:val="clear" w:color="auto" w:fill="D5D5D5"/>
          </w:tcPr>
          <w:p>
            <w:pPr>
              <w:spacing w:after="0"/>
              <w:rPr>
                <w:sz w:val="24"/>
                <w:szCs w:val="24"/>
                <w:color w:val="auto"/>
              </w:rPr>
            </w:pPr>
          </w:p>
        </w:tc>
        <w:tc>
          <w:tcPr>
            <w:tcW w:w="1740" w:type="dxa"/>
            <w:vAlign w:val="bottom"/>
            <w:shd w:val="clear" w:color="auto" w:fill="D5D5D5"/>
          </w:tcPr>
          <w:p>
            <w:pPr>
              <w:jc w:val="right"/>
              <w:ind w:right="144"/>
              <w:spacing w:after="0"/>
              <w:rPr>
                <w:sz w:val="20"/>
                <w:szCs w:val="20"/>
                <w:color w:val="auto"/>
              </w:rPr>
            </w:pPr>
            <w:r>
              <w:rPr>
                <w:rFonts w:ascii="Times New Roman" w:cs="Times New Roman" w:eastAsia="Times New Roman" w:hAnsi="Times New Roman"/>
                <w:sz w:val="19"/>
                <w:szCs w:val="19"/>
                <w:color w:val="auto"/>
              </w:rPr>
              <w:t>74,377</w:t>
            </w:r>
          </w:p>
        </w:tc>
        <w:tc>
          <w:tcPr>
            <w:tcW w:w="80" w:type="dxa"/>
            <w:vAlign w:val="bottom"/>
            <w:shd w:val="clear" w:color="auto" w:fill="D5D5D5"/>
          </w:tcPr>
          <w:p>
            <w:pPr>
              <w:spacing w:after="0"/>
              <w:rPr>
                <w:sz w:val="24"/>
                <w:szCs w:val="24"/>
                <w:color w:val="auto"/>
              </w:rPr>
            </w:pPr>
          </w:p>
        </w:tc>
        <w:tc>
          <w:tcPr>
            <w:tcW w:w="200" w:type="dxa"/>
            <w:vAlign w:val="bottom"/>
            <w:shd w:val="clear" w:color="auto" w:fill="D5D5D5"/>
          </w:tcPr>
          <w:p>
            <w:pPr>
              <w:spacing w:after="0"/>
              <w:rPr>
                <w:sz w:val="24"/>
                <w:szCs w:val="24"/>
                <w:color w:val="auto"/>
              </w:rPr>
            </w:pPr>
          </w:p>
        </w:tc>
        <w:tc>
          <w:tcPr>
            <w:tcW w:w="1740" w:type="dxa"/>
            <w:vAlign w:val="bottom"/>
            <w:shd w:val="clear" w:color="auto" w:fill="D5D5D5"/>
          </w:tcPr>
          <w:p>
            <w:pPr>
              <w:jc w:val="right"/>
              <w:ind w:right="124"/>
              <w:spacing w:after="0"/>
              <w:rPr>
                <w:sz w:val="20"/>
                <w:szCs w:val="20"/>
                <w:color w:val="auto"/>
              </w:rPr>
            </w:pPr>
            <w:r>
              <w:rPr>
                <w:rFonts w:ascii="Times New Roman" w:cs="Times New Roman" w:eastAsia="Times New Roman" w:hAnsi="Times New Roman"/>
                <w:sz w:val="19"/>
                <w:szCs w:val="19"/>
                <w:color w:val="auto"/>
              </w:rPr>
              <w:t>73,076</w:t>
            </w:r>
          </w:p>
        </w:tc>
        <w:tc>
          <w:tcPr>
            <w:tcW w:w="2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840" w:type="dxa"/>
            <w:vAlign w:val="bottom"/>
            <w:tcBorders>
              <w:bottom w:val="single" w:sz="8" w:color="D5D5D5"/>
            </w:tcBorders>
          </w:tcPr>
          <w:p>
            <w:pPr>
              <w:ind w:left="180"/>
              <w:spacing w:after="0"/>
              <w:rPr>
                <w:sz w:val="20"/>
                <w:szCs w:val="20"/>
                <w:color w:val="auto"/>
              </w:rPr>
            </w:pPr>
            <w:r>
              <w:rPr>
                <w:rFonts w:ascii="Times New Roman" w:cs="Times New Roman" w:eastAsia="Times New Roman" w:hAnsi="Times New Roman"/>
                <w:sz w:val="19"/>
                <w:szCs w:val="19"/>
                <w:color w:val="auto"/>
              </w:rPr>
              <w:t>Depreciation and amortization</w:t>
            </w:r>
          </w:p>
        </w:tc>
        <w:tc>
          <w:tcPr>
            <w:tcW w:w="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9"/>
                <w:szCs w:val="19"/>
                <w:color w:val="auto"/>
              </w:rPr>
              <w:t>198,571</w:t>
            </w:r>
          </w:p>
        </w:tc>
        <w:tc>
          <w:tcPr>
            <w:tcW w:w="80" w:type="dxa"/>
            <w:vAlign w:val="bottom"/>
            <w:tcBorders>
              <w:bottom w:val="single" w:sz="8" w:color="D5D5D5"/>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9"/>
                <w:szCs w:val="19"/>
                <w:color w:val="auto"/>
              </w:rPr>
              <w:t>163,092</w:t>
            </w:r>
          </w:p>
        </w:tc>
        <w:tc>
          <w:tcPr>
            <w:tcW w:w="20" w:type="dxa"/>
            <w:vAlign w:val="bottom"/>
            <w:tcBorders>
              <w:bottom w:val="single" w:sz="8" w:color="D5D5D5"/>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840" w:type="dxa"/>
            <w:vAlign w:val="bottom"/>
            <w:shd w:val="clear" w:color="auto" w:fill="D5D5D5"/>
          </w:tcPr>
          <w:p>
            <w:pPr>
              <w:ind w:left="280"/>
              <w:spacing w:after="0" w:line="204" w:lineRule="exact"/>
              <w:rPr>
                <w:sz w:val="20"/>
                <w:szCs w:val="20"/>
                <w:color w:val="auto"/>
              </w:rPr>
            </w:pPr>
            <w:r>
              <w:rPr>
                <w:rFonts w:ascii="Times New Roman" w:cs="Times New Roman" w:eastAsia="Times New Roman" w:hAnsi="Times New Roman"/>
                <w:sz w:val="19"/>
                <w:szCs w:val="19"/>
                <w:color w:val="auto"/>
              </w:rPr>
              <w:t>Earnings Before Interest, Taxes, Depreciation &amp; Amortization</w:t>
            </w:r>
          </w:p>
        </w:tc>
        <w:tc>
          <w:tcPr>
            <w:tcW w:w="220" w:type="dxa"/>
            <w:vAlign w:val="bottom"/>
            <w:shd w:val="clear" w:color="auto" w:fill="D5D5D5"/>
          </w:tcPr>
          <w:p>
            <w:pPr>
              <w:spacing w:after="0"/>
              <w:rPr>
                <w:sz w:val="17"/>
                <w:szCs w:val="17"/>
                <w:color w:val="auto"/>
              </w:rPr>
            </w:pPr>
          </w:p>
        </w:tc>
        <w:tc>
          <w:tcPr>
            <w:tcW w:w="1740" w:type="dxa"/>
            <w:vAlign w:val="bottom"/>
            <w:vMerge w:val="restart"/>
            <w:shd w:val="clear" w:color="auto" w:fill="D5D5D5"/>
          </w:tcPr>
          <w:p>
            <w:pPr>
              <w:jc w:val="right"/>
              <w:ind w:right="144"/>
              <w:spacing w:after="0"/>
              <w:rPr>
                <w:sz w:val="20"/>
                <w:szCs w:val="20"/>
                <w:color w:val="auto"/>
              </w:rPr>
            </w:pPr>
            <w:r>
              <w:rPr>
                <w:rFonts w:ascii="Times New Roman" w:cs="Times New Roman" w:eastAsia="Times New Roman" w:hAnsi="Times New Roman"/>
                <w:sz w:val="19"/>
                <w:szCs w:val="19"/>
                <w:color w:val="auto"/>
              </w:rPr>
              <w:t>567,355</w:t>
            </w:r>
          </w:p>
        </w:tc>
        <w:tc>
          <w:tcPr>
            <w:tcW w:w="80" w:type="dxa"/>
            <w:vAlign w:val="bottom"/>
            <w:shd w:val="clear" w:color="auto" w:fill="D5D5D5"/>
          </w:tcPr>
          <w:p>
            <w:pPr>
              <w:spacing w:after="0"/>
              <w:rPr>
                <w:sz w:val="17"/>
                <w:szCs w:val="17"/>
                <w:color w:val="auto"/>
              </w:rPr>
            </w:pPr>
          </w:p>
        </w:tc>
        <w:tc>
          <w:tcPr>
            <w:tcW w:w="200" w:type="dxa"/>
            <w:vAlign w:val="bottom"/>
            <w:shd w:val="clear" w:color="auto" w:fill="D5D5D5"/>
          </w:tcPr>
          <w:p>
            <w:pPr>
              <w:spacing w:after="0"/>
              <w:rPr>
                <w:sz w:val="17"/>
                <w:szCs w:val="17"/>
                <w:color w:val="auto"/>
              </w:rPr>
            </w:pPr>
          </w:p>
        </w:tc>
        <w:tc>
          <w:tcPr>
            <w:tcW w:w="1740" w:type="dxa"/>
            <w:vAlign w:val="bottom"/>
            <w:vMerge w:val="restart"/>
            <w:shd w:val="clear" w:color="auto" w:fill="D5D5D5"/>
          </w:tcPr>
          <w:p>
            <w:pPr>
              <w:jc w:val="right"/>
              <w:ind w:right="124"/>
              <w:spacing w:after="0"/>
              <w:rPr>
                <w:sz w:val="20"/>
                <w:szCs w:val="20"/>
                <w:color w:val="auto"/>
              </w:rPr>
            </w:pPr>
            <w:r>
              <w:rPr>
                <w:rFonts w:ascii="Times New Roman" w:cs="Times New Roman" w:eastAsia="Times New Roman" w:hAnsi="Times New Roman"/>
                <w:sz w:val="19"/>
                <w:szCs w:val="19"/>
                <w:color w:val="auto"/>
              </w:rPr>
              <w:t>507,694</w:t>
            </w:r>
          </w:p>
        </w:tc>
        <w:tc>
          <w:tcPr>
            <w:tcW w:w="20" w:type="dxa"/>
            <w:vAlign w:val="bottom"/>
            <w:shd w:val="clear" w:color="auto" w:fill="D5D5D5"/>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5840" w:type="dxa"/>
            <w:vAlign w:val="bottom"/>
            <w:shd w:val="clear" w:color="auto" w:fill="D5D5D5"/>
          </w:tcPr>
          <w:p>
            <w:pPr>
              <w:ind w:left="280"/>
              <w:spacing w:after="0"/>
              <w:rPr>
                <w:sz w:val="20"/>
                <w:szCs w:val="20"/>
                <w:color w:val="auto"/>
              </w:rPr>
            </w:pPr>
            <w:r>
              <w:rPr>
                <w:rFonts w:ascii="Times New Roman" w:cs="Times New Roman" w:eastAsia="Times New Roman" w:hAnsi="Times New Roman"/>
                <w:sz w:val="19"/>
                <w:szCs w:val="19"/>
                <w:color w:val="auto"/>
              </w:rPr>
              <w:t>(“EBITDA”)</w:t>
            </w:r>
          </w:p>
        </w:tc>
        <w:tc>
          <w:tcPr>
            <w:tcW w:w="220" w:type="dxa"/>
            <w:vAlign w:val="bottom"/>
            <w:shd w:val="clear" w:color="auto" w:fill="D5D5D5"/>
          </w:tcPr>
          <w:p>
            <w:pPr>
              <w:spacing w:after="0"/>
              <w:rPr>
                <w:sz w:val="22"/>
                <w:szCs w:val="22"/>
                <w:color w:val="auto"/>
              </w:rPr>
            </w:pPr>
          </w:p>
        </w:tc>
        <w:tc>
          <w:tcPr>
            <w:tcW w:w="1740" w:type="dxa"/>
            <w:vAlign w:val="bottom"/>
            <w:vMerge w:val="continue"/>
            <w:shd w:val="clear" w:color="auto" w:fill="D5D5D5"/>
          </w:tcPr>
          <w:p>
            <w:pPr>
              <w:spacing w:after="0"/>
              <w:rPr>
                <w:sz w:val="22"/>
                <w:szCs w:val="22"/>
                <w:color w:val="auto"/>
              </w:rPr>
            </w:pPr>
          </w:p>
        </w:tc>
        <w:tc>
          <w:tcPr>
            <w:tcW w:w="80" w:type="dxa"/>
            <w:vAlign w:val="bottom"/>
            <w:shd w:val="clear" w:color="auto" w:fill="D5D5D5"/>
          </w:tcPr>
          <w:p>
            <w:pPr>
              <w:spacing w:after="0"/>
              <w:rPr>
                <w:sz w:val="22"/>
                <w:szCs w:val="22"/>
                <w:color w:val="auto"/>
              </w:rPr>
            </w:pPr>
          </w:p>
        </w:tc>
        <w:tc>
          <w:tcPr>
            <w:tcW w:w="200" w:type="dxa"/>
            <w:vAlign w:val="bottom"/>
            <w:shd w:val="clear" w:color="auto" w:fill="D5D5D5"/>
          </w:tcPr>
          <w:p>
            <w:pPr>
              <w:spacing w:after="0"/>
              <w:rPr>
                <w:sz w:val="22"/>
                <w:szCs w:val="22"/>
                <w:color w:val="auto"/>
              </w:rPr>
            </w:pPr>
          </w:p>
        </w:tc>
        <w:tc>
          <w:tcPr>
            <w:tcW w:w="1740" w:type="dxa"/>
            <w:vAlign w:val="bottom"/>
            <w:vMerge w:val="continue"/>
            <w:shd w:val="clear" w:color="auto" w:fill="D5D5D5"/>
          </w:tcPr>
          <w:p>
            <w:pPr>
              <w:spacing w:after="0"/>
              <w:rPr>
                <w:sz w:val="22"/>
                <w:szCs w:val="22"/>
                <w:color w:val="auto"/>
              </w:rPr>
            </w:pPr>
          </w:p>
        </w:tc>
        <w:tc>
          <w:tcPr>
            <w:tcW w:w="20" w:type="dxa"/>
            <w:vAlign w:val="bottom"/>
            <w:shd w:val="clear" w:color="auto" w:fill="D5D5D5"/>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Gain on sale of fixed assets</w:t>
            </w:r>
          </w:p>
        </w:tc>
        <w:tc>
          <w:tcPr>
            <w:tcW w:w="220" w:type="dxa"/>
            <w:vAlign w:val="bottom"/>
          </w:tcPr>
          <w:p>
            <w:pPr>
              <w:spacing w:after="0"/>
              <w:rPr>
                <w:sz w:val="24"/>
                <w:szCs w:val="24"/>
                <w:color w:val="auto"/>
              </w:rPr>
            </w:pPr>
          </w:p>
        </w:tc>
        <w:tc>
          <w:tcPr>
            <w:tcW w:w="174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rPr>
              <w:t>(36,461)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right"/>
              <w:ind w:right="64"/>
              <w:spacing w:after="0"/>
              <w:rPr>
                <w:sz w:val="20"/>
                <w:szCs w:val="20"/>
                <w:color w:val="auto"/>
              </w:rPr>
            </w:pPr>
            <w:r>
              <w:rPr>
                <w:rFonts w:ascii="Times New Roman" w:cs="Times New Roman" w:eastAsia="Times New Roman" w:hAnsi="Times New Roman"/>
                <w:sz w:val="19"/>
                <w:szCs w:val="19"/>
                <w:color w:val="auto"/>
              </w:rPr>
              <w:t>(28,348)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84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Stock-based compensation expense</w:t>
            </w:r>
          </w:p>
        </w:tc>
        <w:tc>
          <w:tcPr>
            <w:tcW w:w="220" w:type="dxa"/>
            <w:vAlign w:val="bottom"/>
            <w:shd w:val="clear" w:color="auto" w:fill="D5D5D5"/>
          </w:tcPr>
          <w:p>
            <w:pPr>
              <w:spacing w:after="0"/>
              <w:rPr>
                <w:sz w:val="24"/>
                <w:szCs w:val="24"/>
                <w:color w:val="auto"/>
              </w:rPr>
            </w:pPr>
          </w:p>
        </w:tc>
        <w:tc>
          <w:tcPr>
            <w:tcW w:w="1740" w:type="dxa"/>
            <w:vAlign w:val="bottom"/>
            <w:shd w:val="clear" w:color="auto" w:fill="D5D5D5"/>
          </w:tcPr>
          <w:p>
            <w:pPr>
              <w:jc w:val="right"/>
              <w:ind w:right="144"/>
              <w:spacing w:after="0"/>
              <w:rPr>
                <w:sz w:val="20"/>
                <w:szCs w:val="20"/>
                <w:color w:val="auto"/>
              </w:rPr>
            </w:pPr>
            <w:r>
              <w:rPr>
                <w:rFonts w:ascii="Times New Roman" w:cs="Times New Roman" w:eastAsia="Times New Roman" w:hAnsi="Times New Roman"/>
                <w:sz w:val="19"/>
                <w:szCs w:val="19"/>
                <w:color w:val="auto"/>
              </w:rPr>
              <w:t>40,320</w:t>
            </w:r>
          </w:p>
        </w:tc>
        <w:tc>
          <w:tcPr>
            <w:tcW w:w="80" w:type="dxa"/>
            <w:vAlign w:val="bottom"/>
            <w:shd w:val="clear" w:color="auto" w:fill="D5D5D5"/>
          </w:tcPr>
          <w:p>
            <w:pPr>
              <w:spacing w:after="0"/>
              <w:rPr>
                <w:sz w:val="24"/>
                <w:szCs w:val="24"/>
                <w:color w:val="auto"/>
              </w:rPr>
            </w:pPr>
          </w:p>
        </w:tc>
        <w:tc>
          <w:tcPr>
            <w:tcW w:w="200" w:type="dxa"/>
            <w:vAlign w:val="bottom"/>
            <w:shd w:val="clear" w:color="auto" w:fill="D5D5D5"/>
          </w:tcPr>
          <w:p>
            <w:pPr>
              <w:spacing w:after="0"/>
              <w:rPr>
                <w:sz w:val="24"/>
                <w:szCs w:val="24"/>
                <w:color w:val="auto"/>
              </w:rPr>
            </w:pPr>
          </w:p>
        </w:tc>
        <w:tc>
          <w:tcPr>
            <w:tcW w:w="1740" w:type="dxa"/>
            <w:vAlign w:val="bottom"/>
            <w:shd w:val="clear" w:color="auto" w:fill="D5D5D5"/>
          </w:tcPr>
          <w:p>
            <w:pPr>
              <w:jc w:val="right"/>
              <w:ind w:right="124"/>
              <w:spacing w:after="0"/>
              <w:rPr>
                <w:sz w:val="20"/>
                <w:szCs w:val="20"/>
                <w:color w:val="auto"/>
              </w:rPr>
            </w:pPr>
            <w:r>
              <w:rPr>
                <w:rFonts w:ascii="Times New Roman" w:cs="Times New Roman" w:eastAsia="Times New Roman" w:hAnsi="Times New Roman"/>
                <w:sz w:val="19"/>
                <w:szCs w:val="19"/>
                <w:color w:val="auto"/>
              </w:rPr>
              <w:t>25,457</w:t>
            </w:r>
          </w:p>
        </w:tc>
        <w:tc>
          <w:tcPr>
            <w:tcW w:w="2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Acquisition integration costs</w:t>
            </w:r>
          </w:p>
        </w:tc>
        <w:tc>
          <w:tcPr>
            <w:tcW w:w="220" w:type="dxa"/>
            <w:vAlign w:val="bottom"/>
          </w:tcPr>
          <w:p>
            <w:pPr>
              <w:spacing w:after="0"/>
              <w:rPr>
                <w:sz w:val="24"/>
                <w:szCs w:val="24"/>
                <w:color w:val="auto"/>
              </w:rPr>
            </w:pPr>
          </w:p>
        </w:tc>
        <w:tc>
          <w:tcPr>
            <w:tcW w:w="17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4,163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303"/>
        </w:trPr>
        <w:tc>
          <w:tcPr>
            <w:tcW w:w="5840" w:type="dxa"/>
            <w:vAlign w:val="bottom"/>
            <w:tcBorders>
              <w:bottom w:val="single" w:sz="8" w:color="D5D5D5"/>
            </w:tcBorders>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Loss on debt extinguishment</w:t>
            </w:r>
          </w:p>
        </w:tc>
        <w:tc>
          <w:tcPr>
            <w:tcW w:w="220" w:type="dxa"/>
            <w:vAlign w:val="bottom"/>
            <w:tcBorders>
              <w:bottom w:val="single" w:sz="8" w:color="auto"/>
            </w:tcBorders>
            <w:shd w:val="clear" w:color="auto" w:fill="D5D5D5"/>
          </w:tcPr>
          <w:p>
            <w:pPr>
              <w:spacing w:after="0"/>
              <w:rPr>
                <w:sz w:val="24"/>
                <w:szCs w:val="24"/>
                <w:color w:val="auto"/>
              </w:rPr>
            </w:pPr>
          </w:p>
        </w:tc>
        <w:tc>
          <w:tcPr>
            <w:tcW w:w="1740" w:type="dxa"/>
            <w:vAlign w:val="bottom"/>
            <w:tcBorders>
              <w:bottom w:val="single" w:sz="8" w:color="auto"/>
            </w:tcBorders>
            <w:shd w:val="clear" w:color="auto" w:fill="D5D5D5"/>
          </w:tcPr>
          <w:p>
            <w:pPr>
              <w:jc w:val="right"/>
              <w:ind w:right="144"/>
              <w:spacing w:after="0"/>
              <w:rPr>
                <w:sz w:val="20"/>
                <w:szCs w:val="20"/>
                <w:color w:val="auto"/>
              </w:rPr>
            </w:pPr>
            <w:r>
              <w:rPr>
                <w:rFonts w:ascii="Times New Roman" w:cs="Times New Roman" w:eastAsia="Times New Roman" w:hAnsi="Times New Roman"/>
                <w:sz w:val="19"/>
                <w:szCs w:val="19"/>
                <w:color w:val="auto"/>
              </w:rPr>
              <w:t>965</w:t>
            </w:r>
          </w:p>
        </w:tc>
        <w:tc>
          <w:tcPr>
            <w:tcW w:w="80" w:type="dxa"/>
            <w:vAlign w:val="bottom"/>
            <w:tcBorders>
              <w:bottom w:val="single" w:sz="8" w:color="D5D5D5"/>
            </w:tcBorders>
            <w:shd w:val="clear" w:color="auto" w:fill="D5D5D5"/>
          </w:tcPr>
          <w:p>
            <w:pPr>
              <w:spacing w:after="0"/>
              <w:rPr>
                <w:sz w:val="24"/>
                <w:szCs w:val="24"/>
                <w:color w:val="auto"/>
              </w:rPr>
            </w:pPr>
          </w:p>
        </w:tc>
        <w:tc>
          <w:tcPr>
            <w:tcW w:w="200" w:type="dxa"/>
            <w:vAlign w:val="bottom"/>
            <w:tcBorders>
              <w:bottom w:val="single" w:sz="8" w:color="auto"/>
            </w:tcBorders>
            <w:shd w:val="clear" w:color="auto" w:fill="D5D5D5"/>
          </w:tcPr>
          <w:p>
            <w:pPr>
              <w:spacing w:after="0"/>
              <w:rPr>
                <w:sz w:val="24"/>
                <w:szCs w:val="24"/>
                <w:color w:val="auto"/>
              </w:rPr>
            </w:pPr>
          </w:p>
        </w:tc>
        <w:tc>
          <w:tcPr>
            <w:tcW w:w="1740" w:type="dxa"/>
            <w:vAlign w:val="bottom"/>
            <w:tcBorders>
              <w:bottom w:val="single" w:sz="8" w:color="auto"/>
            </w:tcBorders>
            <w:shd w:val="clear" w:color="auto" w:fill="D5D5D5"/>
          </w:tcPr>
          <w:p>
            <w:pPr>
              <w:jc w:val="right"/>
              <w:ind w:right="124"/>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D5D5D5"/>
            </w:tcBorders>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840" w:type="dxa"/>
            <w:vAlign w:val="bottom"/>
          </w:tcPr>
          <w:p>
            <w:pPr>
              <w:ind w:left="280"/>
              <w:spacing w:after="0" w:line="230" w:lineRule="exact"/>
              <w:rPr>
                <w:sz w:val="20"/>
                <w:szCs w:val="20"/>
                <w:color w:val="auto"/>
              </w:rPr>
            </w:pPr>
            <w:r>
              <w:rPr>
                <w:rFonts w:ascii="Times New Roman" w:cs="Times New Roman" w:eastAsia="Times New Roman" w:hAnsi="Times New Roman"/>
                <w:sz w:val="19"/>
                <w:szCs w:val="19"/>
                <w:color w:val="auto"/>
              </w:rPr>
              <w:t xml:space="preserve">Non-GAAP Adjusted EBITDA </w:t>
            </w:r>
            <w:r>
              <w:rPr>
                <w:rFonts w:ascii="Times New Roman" w:cs="Times New Roman" w:eastAsia="Times New Roman" w:hAnsi="Times New Roman"/>
                <w:sz w:val="24"/>
                <w:szCs w:val="24"/>
                <w:color w:val="auto"/>
                <w:vertAlign w:val="superscript"/>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7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576,342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74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rPr>
              <w:t>504,803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5840" w:type="dxa"/>
            <w:vAlign w:val="bottom"/>
            <w:tcBorders>
              <w:top w:val="single" w:sz="8" w:color="D5D5D5"/>
            </w:tcBorders>
            <w:shd w:val="clear" w:color="auto" w:fill="D5D5D5"/>
          </w:tcPr>
          <w:p>
            <w:pPr>
              <w:spacing w:after="0"/>
              <w:rPr>
                <w:sz w:val="22"/>
                <w:szCs w:val="22"/>
                <w:color w:val="auto"/>
              </w:rPr>
            </w:pPr>
          </w:p>
        </w:tc>
        <w:tc>
          <w:tcPr>
            <w:tcW w:w="220" w:type="dxa"/>
            <w:vAlign w:val="bottom"/>
            <w:tcBorders>
              <w:top w:val="single" w:sz="8" w:color="auto"/>
            </w:tcBorders>
            <w:shd w:val="clear" w:color="auto" w:fill="D5D5D5"/>
          </w:tcPr>
          <w:p>
            <w:pPr>
              <w:spacing w:after="0"/>
              <w:rPr>
                <w:sz w:val="22"/>
                <w:szCs w:val="22"/>
                <w:color w:val="auto"/>
              </w:rPr>
            </w:pPr>
          </w:p>
        </w:tc>
        <w:tc>
          <w:tcPr>
            <w:tcW w:w="1740" w:type="dxa"/>
            <w:vAlign w:val="bottom"/>
            <w:tcBorders>
              <w:top w:val="single" w:sz="8" w:color="auto"/>
            </w:tcBorders>
            <w:shd w:val="clear" w:color="auto" w:fill="D5D5D5"/>
          </w:tcPr>
          <w:p>
            <w:pPr>
              <w:spacing w:after="0"/>
              <w:rPr>
                <w:sz w:val="22"/>
                <w:szCs w:val="22"/>
                <w:color w:val="auto"/>
              </w:rPr>
            </w:pPr>
          </w:p>
        </w:tc>
        <w:tc>
          <w:tcPr>
            <w:tcW w:w="80" w:type="dxa"/>
            <w:vAlign w:val="bottom"/>
            <w:tcBorders>
              <w:top w:val="single" w:sz="8" w:color="D5D5D5"/>
            </w:tcBorders>
            <w:shd w:val="clear" w:color="auto" w:fill="D5D5D5"/>
          </w:tcPr>
          <w:p>
            <w:pPr>
              <w:spacing w:after="0"/>
              <w:rPr>
                <w:sz w:val="22"/>
                <w:szCs w:val="22"/>
                <w:color w:val="auto"/>
              </w:rPr>
            </w:pPr>
          </w:p>
        </w:tc>
        <w:tc>
          <w:tcPr>
            <w:tcW w:w="200" w:type="dxa"/>
            <w:vAlign w:val="bottom"/>
            <w:tcBorders>
              <w:top w:val="single" w:sz="8" w:color="auto"/>
            </w:tcBorders>
            <w:shd w:val="clear" w:color="auto" w:fill="D5D5D5"/>
          </w:tcPr>
          <w:p>
            <w:pPr>
              <w:spacing w:after="0"/>
              <w:rPr>
                <w:sz w:val="22"/>
                <w:szCs w:val="22"/>
                <w:color w:val="auto"/>
              </w:rPr>
            </w:pPr>
          </w:p>
        </w:tc>
        <w:tc>
          <w:tcPr>
            <w:tcW w:w="1740" w:type="dxa"/>
            <w:vAlign w:val="bottom"/>
            <w:tcBorders>
              <w:top w:val="single" w:sz="8" w:color="auto"/>
            </w:tcBorders>
            <w:shd w:val="clear" w:color="auto" w:fill="D5D5D5"/>
          </w:tcPr>
          <w:p>
            <w:pPr>
              <w:spacing w:after="0"/>
              <w:rPr>
                <w:sz w:val="22"/>
                <w:szCs w:val="22"/>
                <w:color w:val="auto"/>
              </w:rPr>
            </w:pPr>
          </w:p>
        </w:tc>
        <w:tc>
          <w:tcPr>
            <w:tcW w:w="20" w:type="dxa"/>
            <w:vAlign w:val="bottom"/>
            <w:tcBorders>
              <w:top w:val="single" w:sz="8" w:color="D5D5D5"/>
            </w:tcBorders>
            <w:shd w:val="clear" w:color="auto" w:fill="D5D5D5"/>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584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 xml:space="preserve">Non-GAAP Adjusted EBITDA % of contract revenues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12.3 %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5" w:right="740" w:hanging="5"/>
        <w:spacing w:after="0" w:line="228" w:lineRule="auto"/>
        <w:tabs>
          <w:tab w:leader="none" w:pos="198"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impacts of a change order and the closeout of several projects increased contract revenues by $26.5 million and contributed $23.6 million to Adjusted EBITDA for the fiscal year ended January 27, 2024.</w:t>
      </w:r>
    </w:p>
    <w:p>
      <w:pPr>
        <w:spacing w:after="0" w:line="230" w:lineRule="exact"/>
        <w:rPr>
          <w:sz w:val="20"/>
          <w:szCs w:val="20"/>
          <w:color w:val="auto"/>
        </w:rPr>
      </w:pPr>
    </w:p>
    <w:p>
      <w:pPr>
        <w:jc w:val="both"/>
        <w:ind w:left="5" w:right="280" w:firstLine="345"/>
        <w:spacing w:after="0" w:line="271" w:lineRule="auto"/>
        <w:rPr>
          <w:sz w:val="20"/>
          <w:szCs w:val="20"/>
          <w:color w:val="auto"/>
        </w:rPr>
      </w:pPr>
      <w:r>
        <w:rPr>
          <w:rFonts w:ascii="Times New Roman" w:cs="Times New Roman" w:eastAsia="Times New Roman" w:hAnsi="Times New Roman"/>
          <w:sz w:val="19"/>
          <w:szCs w:val="19"/>
          <w:color w:val="auto"/>
        </w:rPr>
        <w:t>A discussion of our financial results for fiscal 2024 compared to our financial results for fiscal 2023 can be found in the “Item 7</w:t>
      </w:r>
      <w:r>
        <w:rPr>
          <w:rFonts w:ascii="Times New Roman" w:cs="Times New Roman" w:eastAsia="Times New Roman" w:hAnsi="Times New Roman"/>
          <w:sz w:val="19"/>
          <w:szCs w:val="19"/>
          <w:b w:val="1"/>
          <w:bCs w:val="1"/>
          <w:i w:val="1"/>
          <w:iCs w:val="1"/>
          <w:color w:val="auto"/>
        </w:rPr>
        <w:t>. Management’s Discussion and Analysis of Financial Condition and Results of Operations - Results of Operations”</w:t>
      </w:r>
      <w:r>
        <w:rPr>
          <w:rFonts w:ascii="Times New Roman" w:cs="Times New Roman" w:eastAsia="Times New Roman" w:hAnsi="Times New Roman"/>
          <w:sz w:val="19"/>
          <w:szCs w:val="19"/>
          <w:color w:val="auto"/>
        </w:rPr>
        <w:t xml:space="preserve"> section in our Annual Report on Form 10-K for the fiscal year ended January 27, 2024, filed on March 1, 2024.</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249" w:lineRule="exact"/>
        <w:rPr>
          <w:sz w:val="20"/>
          <w:szCs w:val="20"/>
          <w:color w:val="auto"/>
        </w:rPr>
      </w:pPr>
    </w:p>
    <w:p>
      <w:pPr>
        <w:ind w:left="5" w:right="20" w:firstLine="345"/>
        <w:spacing w:after="0" w:line="262" w:lineRule="auto"/>
        <w:rPr>
          <w:sz w:val="20"/>
          <w:szCs w:val="20"/>
          <w:color w:val="auto"/>
        </w:rPr>
      </w:pPr>
      <w:r>
        <w:rPr>
          <w:rFonts w:ascii="Times New Roman" w:cs="Times New Roman" w:eastAsia="Times New Roman" w:hAnsi="Times New Roman"/>
          <w:sz w:val="19"/>
          <w:szCs w:val="19"/>
          <w:color w:val="auto"/>
        </w:rPr>
        <w:t>We are subject to concentrations of credit risk relating primarily to our cash and equivalents, accounts receivable, and contract assets. Cash and equivalents primarily include balances on deposit with banks and totaled $92.7 million as of January 25, 2025, compared to $101.1 million as of January 27, 2024. We maintain our cash and equivalents at financial institutions we believe to be of high credit quality. For all periods presented, we have not experienced any loss or lack of access to cash in our operating accounts.</w:t>
      </w:r>
    </w:p>
    <w:p>
      <w:pPr>
        <w:spacing w:after="0" w:line="187" w:lineRule="exact"/>
        <w:rPr>
          <w:sz w:val="20"/>
          <w:szCs w:val="20"/>
          <w:color w:val="auto"/>
        </w:rPr>
      </w:pPr>
    </w:p>
    <w:p>
      <w:pPr>
        <w:ind w:left="5" w:firstLine="345"/>
        <w:spacing w:after="0" w:line="258" w:lineRule="auto"/>
        <w:rPr>
          <w:sz w:val="20"/>
          <w:szCs w:val="20"/>
          <w:color w:val="auto"/>
        </w:rPr>
      </w:pPr>
      <w:r>
        <w:rPr>
          <w:rFonts w:ascii="Times New Roman" w:cs="Times New Roman" w:eastAsia="Times New Roman" w:hAnsi="Times New Roman"/>
          <w:sz w:val="19"/>
          <w:szCs w:val="19"/>
          <w:b w:val="1"/>
          <w:bCs w:val="1"/>
          <w:i w:val="1"/>
          <w:iCs w:val="1"/>
          <w:color w:val="auto"/>
        </w:rPr>
        <w:t xml:space="preserve">Sources of Cash. </w:t>
      </w:r>
      <w:r>
        <w:rPr>
          <w:rFonts w:ascii="Times New Roman" w:cs="Times New Roman" w:eastAsia="Times New Roman" w:hAnsi="Times New Roman"/>
          <w:sz w:val="19"/>
          <w:szCs w:val="19"/>
          <w:color w:val="auto"/>
        </w:rPr>
        <w:t>Our sources of cash are operating activities, long-term debt, equity offerings, bank borrowings, proceeds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from the sale of idle and surplus equipment and real property, and stock option proceeds. Cash flow from operations is primarily influenced by demand for our services and operating margins, but can also be influenced by working capital needs associated with the services that we provide. In particular, working capital needs may increase when we have growth in operations and where project costs, primarily associated with labor, subcontractors, equipment, and materials, are required to be paid before the related customer balances owed to us are invoiced and collected. Our working capital (total current assets less total current liabilities, excluding the current portion of debt) was $1,117.5 million as of January 25, 2025 compared to $1,061.2 million as of January 27, 2024.</w:t>
      </w:r>
    </w:p>
    <w:p>
      <w:pPr>
        <w:spacing w:after="0" w:line="197" w:lineRule="exact"/>
        <w:rPr>
          <w:sz w:val="20"/>
          <w:szCs w:val="20"/>
          <w:color w:val="auto"/>
        </w:rPr>
      </w:pPr>
    </w:p>
    <w:p>
      <w:pPr>
        <w:ind w:left="5" w:right="40" w:firstLine="345"/>
        <w:spacing w:after="0" w:line="262" w:lineRule="auto"/>
        <w:rPr>
          <w:sz w:val="20"/>
          <w:szCs w:val="20"/>
          <w:color w:val="auto"/>
        </w:rPr>
      </w:pPr>
      <w:r>
        <w:rPr>
          <w:rFonts w:ascii="Times New Roman" w:cs="Times New Roman" w:eastAsia="Times New Roman" w:hAnsi="Times New Roman"/>
          <w:sz w:val="19"/>
          <w:szCs w:val="19"/>
          <w:color w:val="auto"/>
        </w:rPr>
        <w:t>Capital resources are used primarily to purchase equipment and maintain sufficient levels of working capital to support our contractual commitments to customers. We periodically draw upon and repay our revolving credit facility depending on our cash requirements. We currently intend to retain any earnings for use in the business and other capital allocation strategies which may include investment in acquisitions and share repurchases. Consequently, we do not anticipate paying any cash dividends on our common stock in the foreseeable future.</w:t>
      </w:r>
    </w:p>
    <w:p>
      <w:pPr>
        <w:spacing w:after="0" w:line="190" w:lineRule="exact"/>
        <w:rPr>
          <w:sz w:val="20"/>
          <w:szCs w:val="20"/>
          <w:color w:val="auto"/>
        </w:rPr>
      </w:pPr>
    </w:p>
    <w:p>
      <w:pPr>
        <w:ind w:left="5" w:right="20" w:firstLine="345"/>
        <w:spacing w:after="0" w:line="262" w:lineRule="auto"/>
        <w:rPr>
          <w:sz w:val="20"/>
          <w:szCs w:val="20"/>
          <w:color w:val="auto"/>
        </w:rPr>
      </w:pPr>
      <w:r>
        <w:rPr>
          <w:rFonts w:ascii="Times New Roman" w:cs="Times New Roman" w:eastAsia="Times New Roman" w:hAnsi="Times New Roman"/>
          <w:sz w:val="19"/>
          <w:szCs w:val="19"/>
          <w:color w:val="auto"/>
        </w:rPr>
        <w:t>Our level of capital expenditures can vary depending on the customer demand for our services, the replacement cycle we select for our equipment, and overall growth. We intend to fund these expenditures primarily from operating cash flows, availability under our Credit Agreement (as defined below), and cash on hand. We expect capital expenditures, net of disposals, to range from $220.0 million to $230.0 million during fiscal 2026 to support growth opportunities and the replacement of certain fleet assets.</w:t>
      </w:r>
    </w:p>
    <w:p>
      <w:pPr>
        <w:sectPr>
          <w:pgSz w:w="11880" w:h="15480" w:orient="portrait"/>
          <w:cols w:equalWidth="0" w:num="1">
            <w:col w:w="9825"/>
          </w:cols>
          <w:pgMar w:left="995" w:top="897"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04"/>
        <w:spacing w:after="0"/>
        <w:rPr>
          <w:sz w:val="20"/>
          <w:szCs w:val="20"/>
          <w:color w:val="auto"/>
        </w:rPr>
      </w:pPr>
      <w:r>
        <w:rPr>
          <w:rFonts w:ascii="Times New Roman" w:cs="Times New Roman" w:eastAsia="Times New Roman" w:hAnsi="Times New Roman"/>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254000</wp:posOffset>
            </wp:positionV>
            <wp:extent cx="76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8">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6903720</wp:posOffset>
            </wp:positionH>
            <wp:positionV relativeFrom="paragraph">
              <wp:posOffset>254000</wp:posOffset>
            </wp:positionV>
            <wp:extent cx="76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9">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25"/>
          </w:cols>
          <w:pgMar w:left="995" w:top="897" w:right="1060" w:bottom="0" w:gutter="0" w:footer="0" w:header="0"/>
          <w:type w:val="continuous"/>
        </w:sectPr>
      </w:pPr>
    </w:p>
    <w:bookmarkStart w:id="41" w:name="page42"/>
    <w:bookmarkEnd w:id="41"/>
    <w:p>
      <w:pPr>
        <w:ind w:firstLine="345"/>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t xml:space="preserve">Sufficiency of Capital Resources. </w:t>
      </w:r>
      <w:r>
        <w:rPr>
          <w:rFonts w:ascii="Times New Roman" w:cs="Times New Roman" w:eastAsia="Times New Roman" w:hAnsi="Times New Roman"/>
          <w:sz w:val="19"/>
          <w:szCs w:val="19"/>
          <w:color w:val="auto"/>
        </w:rPr>
        <w:t>We believe that our capital resources, including existing cash balances and amounts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available under our credit agreement, are sufficient to meet our financial obligations. These obligations include payments on our debt, working capital requirements, and the purchase of equipment at our expected level of operations for at least the next 12 months. Our capital requirements may increase to the extent we seek to grow by acquisitions that involve consideration other than our stock, experience difficulty or delays in collecting amounts owed to us by our customers, increase our working capital in connection with new or existing customer programs, or we repurchase our common stock, or repay credit agreement borrowings. Changes in financial markets or other components of the economy could adversely impact our ability to access the capital markets, in which case we would expect to rely on a combination of available cash and our credit agreement to provide short-term funding. Management regularly monitors the financial markets and assesses general economic conditions for possible impact on our financial position. We believe our cash investment policies are prudent and expect that any volatility in the capital markets would not have a material impact on our cash investments.</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Net Cash Flows. </w:t>
      </w:r>
      <w:r>
        <w:rPr>
          <w:rFonts w:ascii="Times New Roman" w:cs="Times New Roman" w:eastAsia="Times New Roman" w:hAnsi="Times New Roman"/>
          <w:sz w:val="19"/>
          <w:szCs w:val="19"/>
          <w:color w:val="auto"/>
        </w:rPr>
        <w:t>The following table presents our net cash flows for fiscal 2025 and fiscal 2024 (dollars in millions):</w:t>
      </w:r>
    </w:p>
    <w:p>
      <w:pPr>
        <w:spacing w:after="0" w:line="269"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9"/>
          <w:szCs w:val="19"/>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18415</wp:posOffset>
            </wp:positionV>
            <wp:extent cx="1280160" cy="24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2">
                      <a:extLst>
                        <a:ext uri="{28A0092B-C50C-407E-A947-70E740481C1C}"/>
                      </a:extLst>
                    </a:blip>
                    <a:srcRect/>
                    <a:stretch>
                      <a:fillRect/>
                    </a:stretch>
                  </pic:blipFill>
                  <pic:spPr bwMode="auto">
                    <a:xfrm>
                      <a:off x="0" y="0"/>
                      <a:ext cx="1280160" cy="24130"/>
                    </a:xfrm>
                    <a:prstGeom prst="rect">
                      <a:avLst/>
                    </a:prstGeom>
                    <a:noFill/>
                  </pic:spPr>
                </pic:pic>
              </a:graphicData>
            </a:graphic>
          </wp:anchor>
        </w:drawing>
      </w:r>
    </w:p>
    <w:p>
      <w:pPr>
        <w:spacing w:after="0" w:line="222" w:lineRule="exact"/>
        <w:rPr>
          <w:sz w:val="20"/>
          <w:szCs w:val="20"/>
          <w:color w:val="auto"/>
        </w:rPr>
      </w:pPr>
    </w:p>
    <w:p>
      <w:pPr>
        <w:ind w:left="6120"/>
        <w:spacing w:after="0"/>
        <w:tabs>
          <w:tab w:leader="none" w:pos="8120" w:val="left"/>
        </w:tabs>
        <w:rPr>
          <w:sz w:val="20"/>
          <w:szCs w:val="20"/>
          <w:color w:val="auto"/>
        </w:rPr>
      </w:pPr>
      <w:r>
        <w:rPr>
          <w:rFonts w:ascii="Times New Roman" w:cs="Times New Roman" w:eastAsia="Times New Roman" w:hAnsi="Times New Roman"/>
          <w:sz w:val="19"/>
          <w:szCs w:val="19"/>
          <w:b w:val="1"/>
          <w:bCs w:val="1"/>
          <w:color w:val="auto"/>
        </w:rPr>
        <w:t>January 25, 2025</w:t>
      </w:r>
      <w:r>
        <w:rPr>
          <w:sz w:val="20"/>
          <w:szCs w:val="20"/>
          <w:color w:val="auto"/>
        </w:rPr>
        <w:tab/>
      </w:r>
      <w:r>
        <w:rPr>
          <w:rFonts w:ascii="Times New Roman" w:cs="Times New Roman" w:eastAsia="Times New Roman" w:hAnsi="Times New Roman"/>
          <w:sz w:val="19"/>
          <w:szCs w:val="19"/>
          <w:b w:val="1"/>
          <w:bCs w:val="1"/>
          <w:color w:val="auto"/>
        </w:rPr>
        <w:t>January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18415</wp:posOffset>
            </wp:positionV>
            <wp:extent cx="2532380" cy="241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3">
                      <a:extLst>
                        <a:ext uri="{28A0092B-C50C-407E-A947-70E740481C1C}"/>
                      </a:extLst>
                    </a:blip>
                    <a:srcRect/>
                    <a:stretch>
                      <a:fillRect/>
                    </a:stretch>
                  </pic:blipFill>
                  <pic:spPr bwMode="auto">
                    <a:xfrm>
                      <a:off x="0" y="0"/>
                      <a:ext cx="2532380" cy="24130"/>
                    </a:xfrm>
                    <a:prstGeom prst="rect">
                      <a:avLst/>
                    </a:prstGeom>
                    <a:noFill/>
                  </pic:spPr>
                </pic:pic>
              </a:graphicData>
            </a:graphic>
          </wp:anchor>
        </w:drawing>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Net cash flows: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4660" w:type="dxa"/>
            <w:vAlign w:val="bottom"/>
            <w:shd w:val="clear" w:color="auto" w:fill="D5D5D5"/>
          </w:tcPr>
          <w:p>
            <w:pPr>
              <w:ind w:left="280"/>
              <w:spacing w:after="0"/>
              <w:rPr>
                <w:sz w:val="20"/>
                <w:szCs w:val="20"/>
                <w:color w:val="auto"/>
              </w:rPr>
            </w:pPr>
            <w:r>
              <w:rPr>
                <w:rFonts w:ascii="Times New Roman" w:cs="Times New Roman" w:eastAsia="Times New Roman" w:hAnsi="Times New Roman"/>
                <w:sz w:val="19"/>
                <w:szCs w:val="19"/>
                <w:color w:val="auto"/>
              </w:rPr>
              <w:t>Provided by operating activities</w:t>
            </w:r>
          </w:p>
        </w:tc>
        <w:tc>
          <w:tcPr>
            <w:tcW w:w="1940" w:type="dxa"/>
            <w:vAlign w:val="bottom"/>
            <w:shd w:val="clear" w:color="auto" w:fill="D5D5D5"/>
          </w:tcPr>
          <w:p>
            <w:pPr>
              <w:jc w:val="right"/>
              <w:ind w:right="524"/>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shd w:val="clear" w:color="auto" w:fill="D5D5D5"/>
          </w:tcPr>
          <w:p>
            <w:pPr>
              <w:jc w:val="right"/>
              <w:ind w:right="44"/>
              <w:spacing w:after="0"/>
              <w:rPr>
                <w:sz w:val="20"/>
                <w:szCs w:val="20"/>
                <w:color w:val="auto"/>
              </w:rPr>
            </w:pPr>
            <w:r>
              <w:rPr>
                <w:rFonts w:ascii="Times New Roman" w:cs="Times New Roman" w:eastAsia="Times New Roman" w:hAnsi="Times New Roman"/>
                <w:sz w:val="19"/>
                <w:szCs w:val="19"/>
                <w:color w:val="auto"/>
              </w:rPr>
              <w:t>349.1</w:t>
            </w:r>
          </w:p>
        </w:tc>
        <w:tc>
          <w:tcPr>
            <w:tcW w:w="780" w:type="dxa"/>
            <w:vAlign w:val="bottom"/>
            <w:shd w:val="clear" w:color="auto" w:fill="D5D5D5"/>
          </w:tcPr>
          <w:p>
            <w:pPr>
              <w:jc w:val="right"/>
              <w:ind w:right="524"/>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259.0</w:t>
            </w:r>
          </w:p>
        </w:tc>
      </w:tr>
      <w:tr>
        <w:trPr>
          <w:trHeight w:val="268"/>
        </w:trPr>
        <w:tc>
          <w:tcPr>
            <w:tcW w:w="466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Used in investing activities</w:t>
            </w:r>
          </w:p>
        </w:tc>
        <w:tc>
          <w:tcPr>
            <w:tcW w:w="1940" w:type="dxa"/>
            <w:vAlign w:val="bottom"/>
          </w:tcPr>
          <w:p>
            <w:pPr>
              <w:jc w:val="right"/>
              <w:ind w:right="524"/>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(395.2)</w:t>
            </w:r>
          </w:p>
        </w:tc>
        <w:tc>
          <w:tcPr>
            <w:tcW w:w="780" w:type="dxa"/>
            <w:vAlign w:val="bottom"/>
          </w:tcPr>
          <w:p>
            <w:pPr>
              <w:jc w:val="right"/>
              <w:ind w:right="524"/>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(306.2)</w:t>
            </w:r>
          </w:p>
        </w:tc>
      </w:tr>
      <w:tr>
        <w:trPr>
          <w:trHeight w:val="280"/>
        </w:trPr>
        <w:tc>
          <w:tcPr>
            <w:tcW w:w="4660" w:type="dxa"/>
            <w:vAlign w:val="bottom"/>
            <w:shd w:val="clear" w:color="auto" w:fill="D5D5D5"/>
          </w:tcPr>
          <w:p>
            <w:pPr>
              <w:ind w:left="280"/>
              <w:spacing w:after="0"/>
              <w:rPr>
                <w:sz w:val="20"/>
                <w:szCs w:val="20"/>
                <w:color w:val="auto"/>
              </w:rPr>
            </w:pPr>
            <w:r>
              <w:rPr>
                <w:rFonts w:ascii="Times New Roman" w:cs="Times New Roman" w:eastAsia="Times New Roman" w:hAnsi="Times New Roman"/>
                <w:sz w:val="19"/>
                <w:szCs w:val="19"/>
                <w:color w:val="auto"/>
              </w:rPr>
              <w:t>Provided by (used in) financing activities</w:t>
            </w:r>
          </w:p>
        </w:tc>
        <w:tc>
          <w:tcPr>
            <w:tcW w:w="1940" w:type="dxa"/>
            <w:vAlign w:val="bottom"/>
            <w:shd w:val="clear" w:color="auto" w:fill="D5D5D5"/>
          </w:tcPr>
          <w:p>
            <w:pPr>
              <w:jc w:val="right"/>
              <w:ind w:right="524"/>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shd w:val="clear" w:color="auto" w:fill="D5D5D5"/>
          </w:tcPr>
          <w:p>
            <w:pPr>
              <w:jc w:val="right"/>
              <w:ind w:right="44"/>
              <w:spacing w:after="0"/>
              <w:rPr>
                <w:sz w:val="20"/>
                <w:szCs w:val="20"/>
                <w:color w:val="auto"/>
              </w:rPr>
            </w:pPr>
            <w:r>
              <w:rPr>
                <w:rFonts w:ascii="Times New Roman" w:cs="Times New Roman" w:eastAsia="Times New Roman" w:hAnsi="Times New Roman"/>
                <w:sz w:val="19"/>
                <w:szCs w:val="19"/>
                <w:color w:val="auto"/>
              </w:rPr>
              <w:t>37.7</w:t>
            </w:r>
          </w:p>
        </w:tc>
        <w:tc>
          <w:tcPr>
            <w:tcW w:w="780" w:type="dxa"/>
            <w:vAlign w:val="bottom"/>
            <w:shd w:val="clear" w:color="auto" w:fill="D5D5D5"/>
          </w:tcPr>
          <w:p>
            <w:pPr>
              <w:jc w:val="right"/>
              <w:ind w:right="524"/>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(75.9)</w:t>
            </w:r>
          </w:p>
        </w:tc>
      </w:tr>
    </w:tbl>
    <w:p>
      <w:pPr>
        <w:spacing w:after="0" w:line="282" w:lineRule="exact"/>
        <w:rPr>
          <w:sz w:val="20"/>
          <w:szCs w:val="20"/>
          <w:color w:val="auto"/>
        </w:rPr>
      </w:pPr>
    </w:p>
    <w:p>
      <w:pPr>
        <w:ind w:right="120" w:firstLine="345"/>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Cash Provided by Operating Activities. </w:t>
      </w:r>
      <w:r>
        <w:rPr>
          <w:rFonts w:ascii="Times New Roman" w:cs="Times New Roman" w:eastAsia="Times New Roman" w:hAnsi="Times New Roman"/>
          <w:sz w:val="19"/>
          <w:szCs w:val="19"/>
          <w:color w:val="auto"/>
        </w:rPr>
        <w:t>During fiscal 2025, net cash provided by operating activities was $349.1 million.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Changes in working capital (excluding cash) and changes in other long-term assets and liabilities used $114.6 million of operating cash flow during fiscal 2025. Working capital changes that used operating cash flow during fiscal 2025 included an increase in accounts receivable, net of $117.8 million, a decrease in accrued liabilities of $21.0 million, an increase in other assets of $21.0 million, and a decrease in accounts payable of $16.8 million. Working capital changes that provided operating cash flow during fiscal 2025 included an increase in contract liabilities, net of $31.2 million, an increase in income tax payable of $26.5 million, and a decrease in other current assets and inventory of $4.3 million.</w:t>
      </w:r>
    </w:p>
    <w:p>
      <w:pPr>
        <w:spacing w:after="0" w:line="196" w:lineRule="exact"/>
        <w:rPr>
          <w:sz w:val="20"/>
          <w:szCs w:val="20"/>
          <w:color w:val="auto"/>
        </w:rPr>
      </w:pPr>
    </w:p>
    <w:p>
      <w:pPr>
        <w:ind w:right="280" w:firstLine="345"/>
        <w:spacing w:after="0" w:line="271" w:lineRule="auto"/>
        <w:rPr>
          <w:sz w:val="20"/>
          <w:szCs w:val="20"/>
          <w:color w:val="auto"/>
        </w:rPr>
      </w:pPr>
      <w:r>
        <w:rPr>
          <w:rFonts w:ascii="Times New Roman" w:cs="Times New Roman" w:eastAsia="Times New Roman" w:hAnsi="Times New Roman"/>
          <w:sz w:val="19"/>
          <w:szCs w:val="19"/>
          <w:color w:val="auto"/>
        </w:rPr>
        <w:t>The primary non-cash items in cash flows from operating activities during the current and prior periods are depreciation and amortization, non-cash lease expense, stock-based compensation, amortization of debt issuance costs, deferred income taxes, gain on sale of fixed assets, provision for bad debt and loss on debt extinguishment.</w:t>
      </w:r>
    </w:p>
    <w:p>
      <w:pPr>
        <w:spacing w:after="0" w:line="181" w:lineRule="exact"/>
        <w:rPr>
          <w:sz w:val="20"/>
          <w:szCs w:val="20"/>
          <w:color w:val="auto"/>
        </w:rPr>
      </w:pPr>
    </w:p>
    <w:p>
      <w:pPr>
        <w:ind w:right="40" w:firstLine="345"/>
        <w:spacing w:after="0" w:line="259" w:lineRule="auto"/>
        <w:rPr>
          <w:sz w:val="20"/>
          <w:szCs w:val="20"/>
          <w:color w:val="auto"/>
        </w:rPr>
      </w:pPr>
      <w:r>
        <w:rPr>
          <w:rFonts w:ascii="Times New Roman" w:cs="Times New Roman" w:eastAsia="Times New Roman" w:hAnsi="Times New Roman"/>
          <w:sz w:val="19"/>
          <w:szCs w:val="19"/>
          <w:color w:val="auto"/>
        </w:rPr>
        <w:t>Days sales outstanding (“DSO”) is calculated based on the ending balance of total current and non-current accounts receivable (including unbilled accounts receivable), net of the allowance for credit losses, and current contract assets, net of contract liabilities, divided by the average daily revenue for the most recently completed quarter. Long-term contract assets are excluded from the calculation of DSO, as these amounts represent payments made to customers pursuant to long-term agreements and are recognized as a reduction of contract revenues over the period for which the related services are provided to the customers. Including these balances in DSO is not meaningful to the average time to collect accounts receivable and current contract asset balances. Our DSO was 114 days and 120 days as of January 25, 2025 and January 27, 2024, respectively.</w:t>
      </w:r>
    </w:p>
    <w:p>
      <w:pPr>
        <w:spacing w:after="0" w:line="190" w:lineRule="exact"/>
        <w:rPr>
          <w:sz w:val="20"/>
          <w:szCs w:val="20"/>
          <w:color w:val="auto"/>
        </w:rPr>
      </w:pPr>
    </w:p>
    <w:p>
      <w:pPr>
        <w:jc w:val="both"/>
        <w:ind w:right="20" w:firstLine="345"/>
        <w:spacing w:after="0" w:line="262" w:lineRule="auto"/>
        <w:rPr>
          <w:sz w:val="20"/>
          <w:szCs w:val="20"/>
          <w:color w:val="auto"/>
        </w:rPr>
      </w:pPr>
      <w:r>
        <w:rPr>
          <w:rFonts w:ascii="Times New Roman" w:cs="Times New Roman" w:eastAsia="Times New Roman" w:hAnsi="Times New Roman"/>
          <w:sz w:val="19"/>
          <w:szCs w:val="19"/>
          <w:color w:val="auto"/>
        </w:rPr>
        <w:t xml:space="preserve">See Note 6, </w:t>
      </w:r>
      <w:r>
        <w:rPr>
          <w:rFonts w:ascii="Times New Roman" w:cs="Times New Roman" w:eastAsia="Times New Roman" w:hAnsi="Times New Roman"/>
          <w:sz w:val="19"/>
          <w:szCs w:val="19"/>
          <w:b w:val="1"/>
          <w:bCs w:val="1"/>
          <w:i w:val="1"/>
          <w:iCs w:val="1"/>
          <w:color w:val="auto"/>
        </w:rPr>
        <w:t>Accounts Receivable, Contract Assets, and Contract Liabilities</w:t>
      </w:r>
      <w:r>
        <w:rPr>
          <w:rFonts w:ascii="Times New Roman" w:cs="Times New Roman" w:eastAsia="Times New Roman" w:hAnsi="Times New Roman"/>
          <w:sz w:val="19"/>
          <w:szCs w:val="19"/>
          <w:color w:val="auto"/>
        </w:rPr>
        <w:t xml:space="preserve">, for further information on our customer credit concentration as of January 25, 2025 and January 27, 2024 and Note 20, </w:t>
      </w:r>
      <w:r>
        <w:rPr>
          <w:rFonts w:ascii="Times New Roman" w:cs="Times New Roman" w:eastAsia="Times New Roman" w:hAnsi="Times New Roman"/>
          <w:sz w:val="19"/>
          <w:szCs w:val="19"/>
          <w:b w:val="1"/>
          <w:bCs w:val="1"/>
          <w:i w:val="1"/>
          <w:iCs w:val="1"/>
          <w:color w:val="auto"/>
        </w:rPr>
        <w:t>Customer Concentration and Revenue Information,</w:t>
      </w:r>
      <w:r>
        <w:rPr>
          <w:rFonts w:ascii="Times New Roman" w:cs="Times New Roman" w:eastAsia="Times New Roman" w:hAnsi="Times New Roman"/>
          <w:sz w:val="19"/>
          <w:szCs w:val="19"/>
          <w:color w:val="auto"/>
        </w:rPr>
        <w:t xml:space="preserve"> for further information on our significant customers. We believe that none of our significant customers were experiencing financial difficulties that would materially impact the collectability of our total accounts receivable and contract assets (liabilities), net as of January 25, 2025 or January 27, 2024.</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During fiscal 2024, net cash provided by operating activities was $259.0 million. Changes in working capital (excluding</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cash) and changes in other long-term assets and liabilities used $147.9 million of operating cash flow during fiscal 2024.</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Working capital changes that used operating cash flow during fiscal 2024 included an increase in accounts receivable of $142.4</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million, a decrease in accrued liabilities of $24.9 million, and a decrease in income tax payable/receivable of $14.2 million.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Working capital changes that provided operating cash flow during fiscal 2024 included a decrease in contract assets, net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$23.0 million, increase in accounts payable of $7.0 million, decrease in other current assets and inventory of $3.1 million and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decrease in other assets of $0.4 million.</w:t>
      </w:r>
    </w:p>
    <w:p>
      <w:pPr>
        <w:sectPr>
          <w:pgSz w:w="11880" w:h="15480" w:orient="portrait"/>
          <w:cols w:equalWidth="0" w:num="1">
            <w:col w:w="9840"/>
          </w:cols>
          <w:pgMar w:left="1000" w:top="89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254000</wp:posOffset>
            </wp:positionV>
            <wp:extent cx="76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4">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254000</wp:posOffset>
            </wp:positionV>
            <wp:extent cx="76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5">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40"/>
          </w:cols>
          <w:pgMar w:left="1000" w:top="894" w:right="1040" w:bottom="0" w:gutter="0" w:footer="0" w:header="0"/>
          <w:type w:val="continuous"/>
        </w:sectPr>
      </w:pPr>
    </w:p>
    <w:bookmarkStart w:id="42" w:name="page43"/>
    <w:bookmarkEnd w:id="42"/>
    <w:p>
      <w:pPr>
        <w:ind w:right="300" w:firstLine="346"/>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 xml:space="preserve">Cash Used in Investing Activities. </w:t>
      </w:r>
      <w:r>
        <w:rPr>
          <w:rFonts w:ascii="Times New Roman" w:cs="Times New Roman" w:eastAsia="Times New Roman" w:hAnsi="Times New Roman"/>
          <w:sz w:val="19"/>
          <w:szCs w:val="19"/>
          <w:color w:val="auto"/>
        </w:rPr>
        <w:t>Net cash used in investing activities was $395.2 million during fiscal 2025. Capital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expenditures of $250.5 million were for the replacement of certain fleet assets and new work opportunities and cash paid for acquisitions was $183.9 million. Proceeds from sale of assets were $39.1 million.</w:t>
      </w:r>
    </w:p>
    <w:p>
      <w:pPr>
        <w:spacing w:after="0" w:line="182" w:lineRule="exact"/>
        <w:rPr>
          <w:sz w:val="20"/>
          <w:szCs w:val="20"/>
          <w:color w:val="auto"/>
        </w:rPr>
      </w:pPr>
    </w:p>
    <w:p>
      <w:pPr>
        <w:ind w:right="20" w:firstLine="346"/>
        <w:spacing w:after="0" w:line="271" w:lineRule="auto"/>
        <w:rPr>
          <w:sz w:val="20"/>
          <w:szCs w:val="20"/>
          <w:color w:val="auto"/>
        </w:rPr>
      </w:pPr>
      <w:r>
        <w:rPr>
          <w:rFonts w:ascii="Times New Roman" w:cs="Times New Roman" w:eastAsia="Times New Roman" w:hAnsi="Times New Roman"/>
          <w:sz w:val="19"/>
          <w:szCs w:val="19"/>
          <w:color w:val="auto"/>
        </w:rPr>
        <w:t>Net cash used in investing activities was $306.2 million during fiscal 2024. Capital expenditures of $218.5 million were for the replacement of certain fleet assets and new work opportunities. Additionally, we acquired the assets of a telecommunications contraction company for $122.9 million. Proceeds from sale of assets were $35.2 million.</w:t>
      </w:r>
    </w:p>
    <w:p>
      <w:pPr>
        <w:spacing w:after="0" w:line="179" w:lineRule="exact"/>
        <w:rPr>
          <w:sz w:val="20"/>
          <w:szCs w:val="20"/>
          <w:color w:val="auto"/>
        </w:rPr>
      </w:pPr>
    </w:p>
    <w:p>
      <w:pPr>
        <w:ind w:right="60" w:firstLine="346"/>
        <w:spacing w:after="0" w:line="258" w:lineRule="auto"/>
        <w:rPr>
          <w:sz w:val="20"/>
          <w:szCs w:val="20"/>
          <w:color w:val="auto"/>
        </w:rPr>
      </w:pPr>
      <w:r>
        <w:rPr>
          <w:rFonts w:ascii="Times New Roman" w:cs="Times New Roman" w:eastAsia="Times New Roman" w:hAnsi="Times New Roman"/>
          <w:sz w:val="19"/>
          <w:szCs w:val="19"/>
          <w:b w:val="1"/>
          <w:bCs w:val="1"/>
          <w:i w:val="1"/>
          <w:iCs w:val="1"/>
          <w:color w:val="auto"/>
        </w:rPr>
        <w:t xml:space="preserve">Cash Provided by (Used in) Financing Activities. </w:t>
      </w:r>
      <w:r>
        <w:rPr>
          <w:rFonts w:ascii="Times New Roman" w:cs="Times New Roman" w:eastAsia="Times New Roman" w:hAnsi="Times New Roman"/>
          <w:sz w:val="19"/>
          <w:szCs w:val="19"/>
          <w:color w:val="auto"/>
        </w:rPr>
        <w:t>Net cash provided by financing activities was $37.7 million during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fiscal 2025. During fiscal 2025, borrowings under our credit agreement were $987.4 million. We used approximately $852.4 million to repay borrowings under our Credit Agreement. We repurchased 410,000 shares of our common stock in open market transactions, at an average price of $160.10 per share, for $65.6 million, during fiscal 2025. Average price paid per share excludes 1% excise tax on share repurchases. We also paid $17.0 million to tax authorities in order to meet the payroll tax withholding obligations on restricted share units that vested during fiscal 2025. In addition, we paid $8.0 million, net, to tax authorities for payroll tax withholding obligations on the exercise of stock options. We paid approximately $6.7 million in issuance costs and third party fees and expenses related to our financing transactions.</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Net cash used in financing activities was $75.9 million during fiscal 2024. During fiscal 2024, borrowings under our credit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agreement were $763.0 million. We used approximately $780.5 million to repay borrowings under our Credit Agreement. We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repurchased 485,000 shares of our common stock in open market transactions, at an average price of $102.39 per share, for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$49.7 million, during fiscal 2024. Average price paid per share excludes 1% excise tax on share repurchases. We also paid $9.9</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million to tax authorities in order to meet the payroll tax withholding obligations on restricted share units that vested during</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fiscal 2024. This was partially offset by the exercise of stock options, which provided $1.1 million during fiscal 2024.</w:t>
      </w:r>
    </w:p>
    <w:p>
      <w:pPr>
        <w:spacing w:after="0" w:line="239" w:lineRule="exact"/>
        <w:rPr>
          <w:sz w:val="20"/>
          <w:szCs w:val="20"/>
          <w:color w:val="auto"/>
        </w:rPr>
      </w:pPr>
    </w:p>
    <w:p>
      <w:pPr>
        <w:ind w:firstLine="346"/>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Compliance with Credit Agreement. </w:t>
      </w:r>
      <w:r>
        <w:rPr>
          <w:rFonts w:ascii="Times New Roman" w:cs="Times New Roman" w:eastAsia="Times New Roman" w:hAnsi="Times New Roman"/>
          <w:sz w:val="19"/>
          <w:szCs w:val="19"/>
          <w:color w:val="auto"/>
        </w:rPr>
        <w:t>We are party to a credit agreement, dated as of October 19, 2018, as amended, with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various lenders party thereto and Bank of America, N.A., as administrative agent (as amended on April 1, 2021, May 9, 2023, and May 15, 2024, the “Credit Agreement”). On May 15, 2024, we amended and restated the Credit Agreement to, among other things, increase the term loan facility and extend the maturity date. The Credit Agreement includes a revolving facility with a maximum revolver commitment of $650.0 million and a term loan facility in the principal amount of $450.0 million. The Credit Agreement also includes a $200.0 million sublimit for the issuance of letters of credit and a $50.0 million sublimit for swingline loans. The maturity of the Credit Agreement is January 15, 2029.</w:t>
      </w:r>
    </w:p>
    <w:p>
      <w:pPr>
        <w:spacing w:after="0" w:line="196" w:lineRule="exact"/>
        <w:rPr>
          <w:sz w:val="20"/>
          <w:szCs w:val="20"/>
          <w:color w:val="auto"/>
        </w:rPr>
      </w:pPr>
    </w:p>
    <w:p>
      <w:pPr>
        <w:ind w:right="160" w:firstLine="346"/>
        <w:spacing w:after="0" w:line="256" w:lineRule="auto"/>
        <w:rPr>
          <w:sz w:val="20"/>
          <w:szCs w:val="20"/>
          <w:color w:val="auto"/>
        </w:rPr>
      </w:pPr>
      <w:r>
        <w:rPr>
          <w:rFonts w:ascii="Times New Roman" w:cs="Times New Roman" w:eastAsia="Times New Roman" w:hAnsi="Times New Roman"/>
          <w:sz w:val="19"/>
          <w:szCs w:val="19"/>
          <w:color w:val="auto"/>
        </w:rPr>
        <w:t>Subject to certain conditions, the Credit Agreement provides us with the ability to enter into one or more incremental facilities either by increasing the revolving commitments under the Credit Agreement and/or by establishing one or more additional term loans, up to the sum of (i) $350.0 million and (ii) an aggregate amount such that, after giving effect to such incremental facilities on a pro forma basis (assuming that the amount of the incremental commitments are fully drawn and funded), the consolidated senior secured net leverage ratio does not exceed 2.25 to 1.00. The consolidated senior secured net leverage ratio is the ratio of our consolidated senior secured indebtedness reduced by unrestricted cash and equivalents in excess of $25.0 million to our trailing four-quarter consolidated earnings before interest, taxes, depreciation, and amortization (“EBITDA”), as defined by the Credit Agreement. Borrowings under the Credit Agreement are guaranteed by substantially all of our domestic subsidiaries and secured by 100% of the equity interests of our direct and indirect domestic subsidiaries and 65% of the voting equity interests and 100% of the non-voting interests of our first-tier foreign subsidiaries (subject to customary exceptions).</w:t>
      </w:r>
    </w:p>
    <w:p>
      <w:pPr>
        <w:spacing w:after="0" w:line="201" w:lineRule="exact"/>
        <w:rPr>
          <w:sz w:val="20"/>
          <w:szCs w:val="20"/>
          <w:color w:val="auto"/>
        </w:rPr>
      </w:pPr>
    </w:p>
    <w:p>
      <w:pPr>
        <w:ind w:right="60" w:firstLine="346"/>
        <w:spacing w:after="0" w:line="262" w:lineRule="auto"/>
        <w:rPr>
          <w:sz w:val="20"/>
          <w:szCs w:val="20"/>
          <w:color w:val="auto"/>
        </w:rPr>
      </w:pPr>
      <w:r>
        <w:rPr>
          <w:rFonts w:ascii="Times New Roman" w:cs="Times New Roman" w:eastAsia="Times New Roman" w:hAnsi="Times New Roman"/>
          <w:sz w:val="19"/>
          <w:szCs w:val="19"/>
          <w:color w:val="auto"/>
        </w:rPr>
        <w:t>Under our Credit Agreement, borrowings bear interest at the rates described below based upon our consolidated net leverage ratio, which is the ratio of our consolidated total funded debt reduced by unrestricted cash and equivalents in excess of $25.0 million to our trailing four-quarter consolidated EBITDA, as defined by our Credit Agreement. In addition, we incur certain fees for unused balances and letters of credit at the rates described below, also based upon our consolidated net leverage ratio.</w:t>
      </w:r>
    </w:p>
    <w:p>
      <w:pPr>
        <w:sectPr>
          <w:pgSz w:w="11880" w:h="15480" w:orient="portrait"/>
          <w:cols w:equalWidth="0" w:num="1">
            <w:col w:w="9840"/>
          </w:cols>
          <w:pgMar w:left="1000" w:top="89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37</w:t>
      </w:r>
    </w:p>
    <w:p>
      <w:pPr>
        <w:spacing w:after="0" w:line="20" w:lineRule="exact"/>
        <w:rPr>
          <w:sz w:val="20"/>
          <w:szCs w:val="20"/>
          <w:color w:val="auto"/>
        </w:rPr>
      </w:pPr>
    </w:p>
    <w:p>
      <w:pPr>
        <w:sectPr>
          <w:pgSz w:w="11880" w:h="15480" w:orient="portrait"/>
          <w:cols w:equalWidth="0" w:num="1">
            <w:col w:w="9840"/>
          </w:cols>
          <w:pgMar w:left="1000" w:top="894" w:right="1040" w:bottom="0" w:gutter="0" w:footer="0" w:header="0"/>
          <w:type w:val="continuous"/>
        </w:sectPr>
      </w:pPr>
    </w:p>
    <w:bookmarkStart w:id="43" w:name="page44"/>
    <w:bookmarkEnd w:id="43"/>
    <w:tbl>
      <w:tblPr>
        <w:tblLayout w:type="fixed"/>
        <w:tblInd w:w="23" w:type="dxa"/>
        <w:tblCellMar>
          <w:top w:w="0" w:type="dxa"/>
          <w:left w:w="0" w:type="dxa"/>
          <w:bottom w:w="0" w:type="dxa"/>
          <w:right w:w="0" w:type="dxa"/>
        </w:tblCellMar>
      </w:tblPr>
      <w:tr>
        <w:trPr>
          <w:trHeight w:val="288"/>
        </w:trPr>
        <w:tc>
          <w:tcPr>
            <w:tcW w:w="40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Borrowings - Term SOFR Loans</w:t>
            </w:r>
          </w:p>
        </w:tc>
        <w:tc>
          <w:tcPr>
            <w:tcW w:w="2020" w:type="dxa"/>
            <w:vAlign w:val="bottom"/>
            <w:shd w:val="clear" w:color="auto" w:fill="D5D5D5"/>
          </w:tcPr>
          <w:p>
            <w:pPr>
              <w:ind w:left="1420"/>
              <w:spacing w:after="0"/>
              <w:rPr>
                <w:sz w:val="20"/>
                <w:szCs w:val="20"/>
                <w:color w:val="auto"/>
              </w:rPr>
            </w:pPr>
            <w:r>
              <w:rPr>
                <w:rFonts w:ascii="Times New Roman" w:cs="Times New Roman" w:eastAsia="Times New Roman" w:hAnsi="Times New Roman"/>
                <w:sz w:val="19"/>
                <w:szCs w:val="19"/>
                <w:color w:val="auto"/>
                <w:w w:val="98"/>
              </w:rPr>
              <w:t>1.375%</w:t>
            </w:r>
          </w:p>
        </w:tc>
        <w:tc>
          <w:tcPr>
            <w:tcW w:w="38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- 2.00% plus Term SOFR</w:t>
            </w:r>
          </w:p>
        </w:tc>
      </w:tr>
      <w:tr>
        <w:trPr>
          <w:trHeight w:val="288"/>
        </w:trPr>
        <w:tc>
          <w:tcPr>
            <w:tcW w:w="40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Borrowings - Base Rate Loans</w:t>
            </w:r>
          </w:p>
        </w:tc>
        <w:tc>
          <w:tcPr>
            <w:tcW w:w="2020" w:type="dxa"/>
            <w:vAlign w:val="bottom"/>
          </w:tcPr>
          <w:p>
            <w:pPr>
              <w:ind w:left="1420"/>
              <w:spacing w:after="0"/>
              <w:rPr>
                <w:sz w:val="20"/>
                <w:szCs w:val="20"/>
                <w:color w:val="auto"/>
              </w:rPr>
            </w:pPr>
            <w:r>
              <w:rPr>
                <w:rFonts w:ascii="Times New Roman" w:cs="Times New Roman" w:eastAsia="Times New Roman" w:hAnsi="Times New Roman"/>
                <w:sz w:val="19"/>
                <w:szCs w:val="19"/>
                <w:color w:val="auto"/>
                <w:w w:val="98"/>
              </w:rPr>
              <w:t>0.375%</w:t>
            </w:r>
          </w:p>
        </w:tc>
        <w:tc>
          <w:tcPr>
            <w:tcW w:w="38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- 1.00% plus Base rate</w:t>
            </w:r>
            <w:r>
              <w:rPr>
                <w:rFonts w:ascii="Times New Roman" w:cs="Times New Roman" w:eastAsia="Times New Roman" w:hAnsi="Times New Roman"/>
                <w:sz w:val="24"/>
                <w:szCs w:val="24"/>
                <w:color w:val="auto"/>
                <w:vertAlign w:val="superscript"/>
              </w:rPr>
              <w:t>(1)</w:t>
            </w:r>
          </w:p>
        </w:tc>
      </w:tr>
      <w:tr>
        <w:trPr>
          <w:trHeight w:val="288"/>
        </w:trPr>
        <w:tc>
          <w:tcPr>
            <w:tcW w:w="40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Unused Revolver Commitment</w:t>
            </w:r>
          </w:p>
        </w:tc>
        <w:tc>
          <w:tcPr>
            <w:tcW w:w="5820" w:type="dxa"/>
            <w:vAlign w:val="bottom"/>
            <w:gridSpan w:val="2"/>
            <w:shd w:val="clear" w:color="auto" w:fill="D5D5D5"/>
          </w:tcPr>
          <w:p>
            <w:pPr>
              <w:ind w:left="1420"/>
              <w:spacing w:after="0"/>
              <w:rPr>
                <w:sz w:val="20"/>
                <w:szCs w:val="20"/>
                <w:color w:val="auto"/>
              </w:rPr>
            </w:pPr>
            <w:r>
              <w:rPr>
                <w:rFonts w:ascii="Times New Roman" w:cs="Times New Roman" w:eastAsia="Times New Roman" w:hAnsi="Times New Roman"/>
                <w:sz w:val="19"/>
                <w:szCs w:val="19"/>
                <w:color w:val="auto"/>
              </w:rPr>
              <w:t>0.20% - 0.40%</w:t>
            </w:r>
          </w:p>
        </w:tc>
      </w:tr>
      <w:tr>
        <w:trPr>
          <w:trHeight w:val="282"/>
        </w:trPr>
        <w:tc>
          <w:tcPr>
            <w:tcW w:w="40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Standby Letters of Credit</w:t>
            </w:r>
          </w:p>
        </w:tc>
        <w:tc>
          <w:tcPr>
            <w:tcW w:w="2020" w:type="dxa"/>
            <w:vAlign w:val="bottom"/>
          </w:tcPr>
          <w:p>
            <w:pPr>
              <w:ind w:left="1420"/>
              <w:spacing w:after="0"/>
              <w:rPr>
                <w:sz w:val="20"/>
                <w:szCs w:val="20"/>
                <w:color w:val="auto"/>
              </w:rPr>
            </w:pPr>
            <w:r>
              <w:rPr>
                <w:rFonts w:ascii="Times New Roman" w:cs="Times New Roman" w:eastAsia="Times New Roman" w:hAnsi="Times New Roman"/>
                <w:sz w:val="19"/>
                <w:szCs w:val="19"/>
                <w:color w:val="auto"/>
                <w:w w:val="98"/>
              </w:rPr>
              <w:t>1.375%</w:t>
            </w:r>
          </w:p>
        </w:tc>
        <w:tc>
          <w:tcPr>
            <w:tcW w:w="38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- 2.00%</w:t>
            </w:r>
          </w:p>
        </w:tc>
      </w:tr>
      <w:tr>
        <w:trPr>
          <w:trHeight w:val="294"/>
        </w:trPr>
        <w:tc>
          <w:tcPr>
            <w:tcW w:w="40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Commercial Letters of Credit</w:t>
            </w:r>
          </w:p>
        </w:tc>
        <w:tc>
          <w:tcPr>
            <w:tcW w:w="5820" w:type="dxa"/>
            <w:vAlign w:val="bottom"/>
            <w:gridSpan w:val="2"/>
            <w:shd w:val="clear" w:color="auto" w:fill="D5D5D5"/>
          </w:tcPr>
          <w:p>
            <w:pPr>
              <w:ind w:left="1420"/>
              <w:spacing w:after="0"/>
              <w:rPr>
                <w:sz w:val="20"/>
                <w:szCs w:val="20"/>
                <w:color w:val="auto"/>
              </w:rPr>
            </w:pPr>
            <w:r>
              <w:rPr>
                <w:rFonts w:ascii="Times New Roman" w:cs="Times New Roman" w:eastAsia="Times New Roman" w:hAnsi="Times New Roman"/>
                <w:sz w:val="19"/>
                <w:szCs w:val="19"/>
                <w:color w:val="auto"/>
              </w:rPr>
              <w:t>0.6875% - 1.000%</w:t>
            </w:r>
          </w:p>
        </w:tc>
      </w:tr>
    </w:tbl>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jc w:val="both"/>
        <w:ind w:left="3" w:right="20" w:hanging="3"/>
        <w:spacing w:after="0" w:line="257" w:lineRule="auto"/>
        <w:tabs>
          <w:tab w:leader="none" w:pos="179"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 rate is described in the Credit Agreement as the highest of (i) the Federal Funds Rate plus 0.50%, (ii) the administrative agent’s prime rate, and (iii) the Term Secured Overnight Financing Rate (“SOFR”) plus 1.00% and if such rate is less than zero, such rate shall be deemed zero.</w:t>
      </w:r>
    </w:p>
    <w:p>
      <w:pPr>
        <w:spacing w:after="0" w:line="195" w:lineRule="exact"/>
        <w:rPr>
          <w:sz w:val="20"/>
          <w:szCs w:val="20"/>
          <w:color w:val="auto"/>
        </w:rPr>
      </w:pPr>
    </w:p>
    <w:p>
      <w:pPr>
        <w:ind w:left="3" w:right="200" w:firstLine="346"/>
        <w:spacing w:after="0" w:line="289" w:lineRule="auto"/>
        <w:rPr>
          <w:sz w:val="20"/>
          <w:szCs w:val="20"/>
          <w:color w:val="auto"/>
        </w:rPr>
      </w:pPr>
      <w:r>
        <w:rPr>
          <w:rFonts w:ascii="Times New Roman" w:cs="Times New Roman" w:eastAsia="Times New Roman" w:hAnsi="Times New Roman"/>
          <w:sz w:val="19"/>
          <w:szCs w:val="19"/>
          <w:color w:val="auto"/>
        </w:rPr>
        <w:t>Standby letters of credit of approximately $47.5 million, issued as part of our insurance program, were outstanding under our Credit Agreement as of both January 25, 2025 and January 27, 2024.</w:t>
      </w:r>
    </w:p>
    <w:p>
      <w:pPr>
        <w:spacing w:after="0" w:line="165" w:lineRule="exact"/>
        <w:rPr>
          <w:sz w:val="20"/>
          <w:szCs w:val="20"/>
          <w:color w:val="auto"/>
        </w:rPr>
      </w:pPr>
    </w:p>
    <w:p>
      <w:pPr>
        <w:ind w:left="343"/>
        <w:spacing w:after="0"/>
        <w:rPr>
          <w:sz w:val="20"/>
          <w:szCs w:val="20"/>
          <w:color w:val="auto"/>
        </w:rPr>
      </w:pPr>
      <w:r>
        <w:rPr>
          <w:rFonts w:ascii="Times New Roman" w:cs="Times New Roman" w:eastAsia="Times New Roman" w:hAnsi="Times New Roman"/>
          <w:sz w:val="19"/>
          <w:szCs w:val="19"/>
          <w:color w:val="auto"/>
        </w:rPr>
        <w:t>The weighted average interest rates and fees for balances under our Credit Agreement as of January 25, 2025 and</w:t>
      </w:r>
    </w:p>
    <w:p>
      <w:pPr>
        <w:spacing w:after="0" w:line="1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9"/>
          <w:szCs w:val="19"/>
          <w:color w:val="auto"/>
        </w:rPr>
        <w:t>January 27, 2024 were as follows:</w:t>
      </w:r>
    </w:p>
    <w:p>
      <w:pPr>
        <w:spacing w:after="0" w:line="79" w:lineRule="exact"/>
        <w:rPr>
          <w:sz w:val="20"/>
          <w:szCs w:val="20"/>
          <w:color w:val="auto"/>
        </w:rPr>
      </w:pPr>
    </w:p>
    <w:tbl>
      <w:tblPr>
        <w:tblLayout w:type="fixed"/>
        <w:tblInd w:w="3" w:type="dxa"/>
        <w:tblCellMar>
          <w:top w:w="0" w:type="dxa"/>
          <w:left w:w="0" w:type="dxa"/>
          <w:bottom w:w="0" w:type="dxa"/>
          <w:right w:w="0" w:type="dxa"/>
        </w:tblCellMar>
      </w:tblPr>
      <w:tr>
        <w:trPr>
          <w:trHeight w:val="266"/>
        </w:trPr>
        <w:tc>
          <w:tcPr>
            <w:tcW w:w="6120" w:type="dxa"/>
            <w:vAlign w:val="bottom"/>
          </w:tcPr>
          <w:p>
            <w:pPr>
              <w:spacing w:after="0"/>
              <w:rPr>
                <w:sz w:val="23"/>
                <w:szCs w:val="23"/>
                <w:color w:val="auto"/>
              </w:rPr>
            </w:pPr>
          </w:p>
        </w:tc>
        <w:tc>
          <w:tcPr>
            <w:tcW w:w="372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9"/>
                <w:szCs w:val="19"/>
                <w:b w:val="1"/>
                <w:bCs w:val="1"/>
                <w:color w:val="auto"/>
              </w:rPr>
              <w:t>Weighted Average Rate End of Period</w:t>
            </w:r>
          </w:p>
        </w:tc>
      </w:tr>
      <w:tr>
        <w:trPr>
          <w:trHeight w:val="254"/>
        </w:trPr>
        <w:tc>
          <w:tcPr>
            <w:tcW w:w="6120" w:type="dxa"/>
            <w:vAlign w:val="bottom"/>
            <w:tcBorders>
              <w:bottom w:val="single" w:sz="8" w:color="D5D5D5"/>
            </w:tcBorders>
          </w:tcPr>
          <w:p>
            <w:pPr>
              <w:spacing w:after="0"/>
              <w:rPr>
                <w:sz w:val="22"/>
                <w:szCs w:val="22"/>
                <w:color w:val="auto"/>
              </w:rPr>
            </w:pPr>
          </w:p>
        </w:tc>
        <w:tc>
          <w:tcPr>
            <w:tcW w:w="1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80" w:type="dxa"/>
            <w:vAlign w:val="bottom"/>
            <w:tcBorders>
              <w:bottom w:val="single" w:sz="8" w:color="D5D5D5"/>
            </w:tcBorders>
          </w:tcPr>
          <w:p>
            <w:pPr>
              <w:spacing w:after="0"/>
              <w:rPr>
                <w:sz w:val="22"/>
                <w:szCs w:val="22"/>
                <w:color w:val="auto"/>
              </w:rPr>
            </w:pPr>
          </w:p>
        </w:tc>
        <w:tc>
          <w:tcPr>
            <w:tcW w:w="1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9"/>
                <w:szCs w:val="19"/>
                <w:b w:val="1"/>
                <w:bCs w:val="1"/>
                <w:color w:val="auto"/>
              </w:rPr>
              <w:t>January 27, 2024</w:t>
            </w:r>
          </w:p>
        </w:tc>
      </w:tr>
      <w:tr>
        <w:trPr>
          <w:trHeight w:val="269"/>
        </w:trPr>
        <w:tc>
          <w:tcPr>
            <w:tcW w:w="612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Borrowings - Term loan facility</w:t>
            </w:r>
          </w:p>
        </w:tc>
        <w:tc>
          <w:tcPr>
            <w:tcW w:w="1820" w:type="dxa"/>
            <w:vAlign w:val="bottom"/>
            <w:shd w:val="clear" w:color="auto" w:fill="D5D5D5"/>
          </w:tcPr>
          <w:p>
            <w:pPr>
              <w:jc w:val="center"/>
              <w:spacing w:after="0"/>
              <w:rPr>
                <w:sz w:val="20"/>
                <w:szCs w:val="20"/>
                <w:color w:val="auto"/>
              </w:rPr>
            </w:pPr>
            <w:r>
              <w:rPr>
                <w:rFonts w:ascii="Times New Roman" w:cs="Times New Roman" w:eastAsia="Times New Roman" w:hAnsi="Times New Roman"/>
                <w:sz w:val="19"/>
                <w:szCs w:val="19"/>
                <w:color w:val="auto"/>
              </w:rPr>
              <w:t>6.02%</w:t>
            </w:r>
          </w:p>
        </w:tc>
        <w:tc>
          <w:tcPr>
            <w:tcW w:w="1900" w:type="dxa"/>
            <w:vAlign w:val="bottom"/>
            <w:gridSpan w:val="2"/>
            <w:shd w:val="clear" w:color="auto" w:fill="D5D5D5"/>
          </w:tcPr>
          <w:p>
            <w:pPr>
              <w:jc w:val="center"/>
              <w:ind w:left="24"/>
              <w:spacing w:after="0"/>
              <w:rPr>
                <w:sz w:val="20"/>
                <w:szCs w:val="20"/>
                <w:color w:val="auto"/>
              </w:rPr>
            </w:pPr>
            <w:r>
              <w:rPr>
                <w:rFonts w:ascii="Times New Roman" w:cs="Times New Roman" w:eastAsia="Times New Roman" w:hAnsi="Times New Roman"/>
                <w:sz w:val="19"/>
                <w:szCs w:val="19"/>
                <w:color w:val="auto"/>
              </w:rPr>
              <w:t>7.06%</w:t>
            </w:r>
          </w:p>
        </w:tc>
      </w:tr>
      <w:tr>
        <w:trPr>
          <w:trHeight w:val="288"/>
        </w:trPr>
        <w:tc>
          <w:tcPr>
            <w:tcW w:w="61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Borrowings - Revolving facility</w:t>
            </w:r>
            <w:r>
              <w:rPr>
                <w:rFonts w:ascii="Times New Roman" w:cs="Times New Roman" w:eastAsia="Times New Roman" w:hAnsi="Times New Roman"/>
                <w:sz w:val="24"/>
                <w:szCs w:val="24"/>
                <w:color w:val="auto"/>
                <w:vertAlign w:val="superscript"/>
              </w:rPr>
              <w:t>(1)</w:t>
            </w:r>
          </w:p>
        </w:tc>
        <w:tc>
          <w:tcPr>
            <w:tcW w:w="18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w:t>
            </w:r>
          </w:p>
        </w:tc>
        <w:tc>
          <w:tcPr>
            <w:tcW w:w="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w:t>
            </w:r>
          </w:p>
        </w:tc>
      </w:tr>
      <w:tr>
        <w:trPr>
          <w:trHeight w:val="288"/>
        </w:trPr>
        <w:tc>
          <w:tcPr>
            <w:tcW w:w="612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Standby Letters of Credit</w:t>
            </w:r>
          </w:p>
        </w:tc>
        <w:tc>
          <w:tcPr>
            <w:tcW w:w="1820" w:type="dxa"/>
            <w:vAlign w:val="bottom"/>
            <w:shd w:val="clear" w:color="auto" w:fill="D5D5D5"/>
          </w:tcPr>
          <w:p>
            <w:pPr>
              <w:jc w:val="center"/>
              <w:spacing w:after="0"/>
              <w:rPr>
                <w:sz w:val="20"/>
                <w:szCs w:val="20"/>
                <w:color w:val="auto"/>
              </w:rPr>
            </w:pPr>
            <w:r>
              <w:rPr>
                <w:rFonts w:ascii="Times New Roman" w:cs="Times New Roman" w:eastAsia="Times New Roman" w:hAnsi="Times New Roman"/>
                <w:sz w:val="19"/>
                <w:szCs w:val="19"/>
                <w:color w:val="auto"/>
              </w:rPr>
              <w:t>1.63%</w:t>
            </w:r>
          </w:p>
        </w:tc>
        <w:tc>
          <w:tcPr>
            <w:tcW w:w="1900" w:type="dxa"/>
            <w:vAlign w:val="bottom"/>
            <w:gridSpan w:val="2"/>
            <w:shd w:val="clear" w:color="auto" w:fill="D5D5D5"/>
          </w:tcPr>
          <w:p>
            <w:pPr>
              <w:jc w:val="center"/>
              <w:ind w:left="24"/>
              <w:spacing w:after="0"/>
              <w:rPr>
                <w:sz w:val="20"/>
                <w:szCs w:val="20"/>
                <w:color w:val="auto"/>
              </w:rPr>
            </w:pPr>
            <w:r>
              <w:rPr>
                <w:rFonts w:ascii="Times New Roman" w:cs="Times New Roman" w:eastAsia="Times New Roman" w:hAnsi="Times New Roman"/>
                <w:sz w:val="19"/>
                <w:szCs w:val="19"/>
                <w:color w:val="auto"/>
              </w:rPr>
              <w:t>1.63%</w:t>
            </w:r>
          </w:p>
        </w:tc>
      </w:tr>
      <w:tr>
        <w:trPr>
          <w:trHeight w:val="288"/>
        </w:trPr>
        <w:tc>
          <w:tcPr>
            <w:tcW w:w="61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Unused Revolver Commitment</w:t>
            </w:r>
          </w:p>
        </w:tc>
        <w:tc>
          <w:tcPr>
            <w:tcW w:w="18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0.30%</w:t>
            </w:r>
          </w:p>
        </w:tc>
        <w:tc>
          <w:tcPr>
            <w:tcW w:w="1900" w:type="dxa"/>
            <w:vAlign w:val="bottom"/>
            <w:gridSpan w:val="2"/>
          </w:tcPr>
          <w:p>
            <w:pPr>
              <w:jc w:val="center"/>
              <w:ind w:left="24"/>
              <w:spacing w:after="0"/>
              <w:rPr>
                <w:sz w:val="20"/>
                <w:szCs w:val="20"/>
                <w:color w:val="auto"/>
              </w:rPr>
            </w:pPr>
            <w:r>
              <w:rPr>
                <w:rFonts w:ascii="Times New Roman" w:cs="Times New Roman" w:eastAsia="Times New Roman" w:hAnsi="Times New Roman"/>
                <w:sz w:val="19"/>
                <w:szCs w:val="19"/>
                <w:color w:val="auto"/>
              </w:rPr>
              <w:t>0.30%</w:t>
            </w:r>
          </w:p>
        </w:tc>
      </w:tr>
    </w:tbl>
    <w:p>
      <w:pPr>
        <w:spacing w:after="0" w:line="42" w:lineRule="exact"/>
        <w:rPr>
          <w:sz w:val="20"/>
          <w:szCs w:val="20"/>
          <w:color w:val="auto"/>
        </w:rPr>
      </w:pPr>
    </w:p>
    <w:p>
      <w:pPr>
        <w:ind w:left="183" w:hanging="183"/>
        <w:spacing w:after="0"/>
        <w:tabs>
          <w:tab w:leader="none" w:pos="183"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There were no outstanding borrowings under our revolving facility as of January 27, 2024 and January 25, 2025.</w:t>
      </w:r>
    </w:p>
    <w:p>
      <w:pPr>
        <w:spacing w:after="0" w:line="229" w:lineRule="exact"/>
        <w:rPr>
          <w:sz w:val="20"/>
          <w:szCs w:val="20"/>
          <w:color w:val="auto"/>
        </w:rPr>
      </w:pPr>
    </w:p>
    <w:p>
      <w:pPr>
        <w:ind w:left="3" w:firstLine="346"/>
        <w:spacing w:after="0" w:line="253" w:lineRule="auto"/>
        <w:rPr>
          <w:sz w:val="20"/>
          <w:szCs w:val="20"/>
          <w:color w:val="auto"/>
        </w:rPr>
      </w:pPr>
      <w:r>
        <w:rPr>
          <w:rFonts w:ascii="Times New Roman" w:cs="Times New Roman" w:eastAsia="Times New Roman" w:hAnsi="Times New Roman"/>
          <w:sz w:val="19"/>
          <w:szCs w:val="19"/>
          <w:color w:val="auto"/>
        </w:rPr>
        <w:t>Our Credit Agreement contains a financial covenant that requires us to maintain a consolidated net leverage ratio of not greater than 3.50 to 1.00, as measured at the end of each fiscal quarter, and provides for certain increases to this ratio in connection with permitted acquisitions. The consolidated net leverage ratio is the ratio of our consolidated indebtedness reduced by unrestricted cash and cash equivalents in excess of $25.0 million to our trailing four-quarter consolidated earnings before interest, taxes, depreciation, and amortization as defined by our Credit Agreement. The agreement also contains a financial covenant that requires us to maintain a consolidated interest coverage ratio, which is the ratio of our trailing four-quarter consolidated EBITDA to our consolidated interest expense, each as defined by our Credit Agreement, of not less than 3.00 to</w:t>
      </w:r>
    </w:p>
    <w:p>
      <w:pPr>
        <w:spacing w:after="0" w:line="1" w:lineRule="exact"/>
        <w:rPr>
          <w:sz w:val="20"/>
          <w:szCs w:val="20"/>
          <w:color w:val="auto"/>
        </w:rPr>
      </w:pPr>
    </w:p>
    <w:p>
      <w:pPr>
        <w:ind w:left="3" w:right="40"/>
        <w:spacing w:after="0" w:line="265" w:lineRule="auto"/>
        <w:rPr>
          <w:sz w:val="20"/>
          <w:szCs w:val="20"/>
          <w:color w:val="auto"/>
        </w:rPr>
      </w:pPr>
      <w:r>
        <w:rPr>
          <w:rFonts w:ascii="Times New Roman" w:cs="Times New Roman" w:eastAsia="Times New Roman" w:hAnsi="Times New Roman"/>
          <w:sz w:val="19"/>
          <w:szCs w:val="19"/>
          <w:color w:val="auto"/>
        </w:rPr>
        <w:t>1.00, as measured at the end of each fiscal quarter. At January 25, 2025 and January 27, 2024, we were in compliance with the financial covenants of our Credit Agreement and had borrowing availability under our revolving facility of $602.5 million, as determined by the most restrictive covenant. For calculation purposes, applicable cash on hand is netted against the funded debt amount as permitted in the Credit Agreement.</w:t>
      </w:r>
    </w:p>
    <w:p>
      <w:pPr>
        <w:spacing w:after="0" w:line="187" w:lineRule="exact"/>
        <w:rPr>
          <w:sz w:val="20"/>
          <w:szCs w:val="20"/>
          <w:color w:val="auto"/>
        </w:rPr>
      </w:pPr>
    </w:p>
    <w:p>
      <w:pPr>
        <w:ind w:left="3" w:right="40" w:firstLine="346"/>
        <w:spacing w:after="0" w:line="258" w:lineRule="auto"/>
        <w:rPr>
          <w:sz w:val="20"/>
          <w:szCs w:val="20"/>
          <w:color w:val="auto"/>
        </w:rPr>
      </w:pPr>
      <w:r>
        <w:rPr>
          <w:rFonts w:ascii="Times New Roman" w:cs="Times New Roman" w:eastAsia="Times New Roman" w:hAnsi="Times New Roman"/>
          <w:sz w:val="19"/>
          <w:szCs w:val="19"/>
          <w:color w:val="auto"/>
        </w:rPr>
        <w:t>The indenture governing the 2029 Notes contains certain covenants that limit, among other things, our ability and the ability of certain of our subsidiaries to (i) incur additional debt and issue certain preferred stock, (ii) pay certain dividends on, repurchase, or make distributions in respect of, our and our subsidiaries’ capital stock or make other payments restricted by the indenture, (iii) enter into agreements that place limitations on distributions made from certain of our subsidiaries, (iv) guarantee certain debt, (v) make certain investments, (vi) sell or exchange certain assets, (vii) enter into transactions with affiliates, (viii) create certain liens, and (ix) consolidate, merge or transfer all or substantially all of our or our Subsidiaries’ assets. These covenants are subject to a number of exceptions, limitations and qualifications as set forth in the indenture governing the 2029 Notes.</w:t>
      </w:r>
    </w:p>
    <w:p>
      <w:pPr>
        <w:sectPr>
          <w:pgSz w:w="11880" w:h="15480" w:orient="portrait"/>
          <w:cols w:equalWidth="0" w:num="1">
            <w:col w:w="9843"/>
          </w:cols>
          <w:pgMar w:left="997" w:top="95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2"/>
        <w:spacing w:after="0"/>
        <w:rPr>
          <w:sz w:val="20"/>
          <w:szCs w:val="20"/>
          <w:color w:val="auto"/>
        </w:rPr>
      </w:pPr>
      <w:r>
        <w:rPr>
          <w:rFonts w:ascii="Times New Roman" w:cs="Times New Roman" w:eastAsia="Times New Roman" w:hAnsi="Times New Roman"/>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254000</wp:posOffset>
            </wp:positionV>
            <wp:extent cx="76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8">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6903085</wp:posOffset>
            </wp:positionH>
            <wp:positionV relativeFrom="paragraph">
              <wp:posOffset>254000</wp:posOffset>
            </wp:positionV>
            <wp:extent cx="76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9">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43"/>
          </w:cols>
          <w:pgMar w:left="997" w:top="958" w:right="1040" w:bottom="0" w:gutter="0" w:footer="0" w:header="0"/>
          <w:type w:val="continuous"/>
        </w:sectPr>
      </w:pPr>
    </w:p>
    <w:bookmarkStart w:id="44" w:name="page45"/>
    <w:bookmarkEnd w:id="44"/>
    <w:p>
      <w:pPr>
        <w:ind w:left="5" w:right="420" w:firstLine="345"/>
        <w:spacing w:after="0" w:line="292" w:lineRule="auto"/>
        <w:rPr>
          <w:sz w:val="20"/>
          <w:szCs w:val="20"/>
          <w:color w:val="auto"/>
        </w:rPr>
      </w:pPr>
      <w:r>
        <w:rPr>
          <w:rFonts w:ascii="Times New Roman" w:cs="Times New Roman" w:eastAsia="Times New Roman" w:hAnsi="Times New Roman"/>
          <w:sz w:val="19"/>
          <w:szCs w:val="19"/>
          <w:b w:val="1"/>
          <w:bCs w:val="1"/>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t xml:space="preserve">Contractual Obligations. </w:t>
      </w:r>
      <w:r>
        <w:rPr>
          <w:rFonts w:ascii="Times New Roman" w:cs="Times New Roman" w:eastAsia="Times New Roman" w:hAnsi="Times New Roman"/>
          <w:sz w:val="19"/>
          <w:szCs w:val="19"/>
          <w:color w:val="auto"/>
        </w:rPr>
        <w:t>The following table sets forth our outstanding contractual obligations as of January 25, 2025</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(dollars in thousands):</w:t>
      </w:r>
    </w:p>
    <w:tbl>
      <w:tblPr>
        <w:tblLayout w:type="fixed"/>
        <w:tblInd w:w="65" w:type="dxa"/>
        <w:tblCellMar>
          <w:top w:w="0" w:type="dxa"/>
          <w:left w:w="0" w:type="dxa"/>
          <w:bottom w:w="0" w:type="dxa"/>
          <w:right w:w="0" w:type="dxa"/>
        </w:tblCellMar>
      </w:tblPr>
      <w:tr>
        <w:trPr>
          <w:trHeight w:val="205"/>
        </w:trPr>
        <w:tc>
          <w:tcPr>
            <w:tcW w:w="6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44"/>
              <w:spacing w:after="0" w:line="205" w:lineRule="exact"/>
              <w:rPr>
                <w:sz w:val="20"/>
                <w:szCs w:val="20"/>
                <w:color w:val="auto"/>
              </w:rPr>
            </w:pPr>
            <w:r>
              <w:rPr>
                <w:rFonts w:ascii="Times New Roman" w:cs="Times New Roman" w:eastAsia="Times New Roman" w:hAnsi="Times New Roman"/>
                <w:sz w:val="19"/>
                <w:szCs w:val="19"/>
                <w:b w:val="1"/>
                <w:bCs w:val="1"/>
                <w:color w:val="auto"/>
              </w:rPr>
              <w:t>Due in</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284"/>
              <w:spacing w:after="0" w:line="205" w:lineRule="exact"/>
              <w:rPr>
                <w:sz w:val="20"/>
                <w:szCs w:val="20"/>
                <w:color w:val="auto"/>
              </w:rPr>
            </w:pPr>
            <w:r>
              <w:rPr>
                <w:rFonts w:ascii="Times New Roman" w:cs="Times New Roman" w:eastAsia="Times New Roman" w:hAnsi="Times New Roman"/>
                <w:sz w:val="19"/>
                <w:szCs w:val="19"/>
                <w:b w:val="1"/>
                <w:bCs w:val="1"/>
                <w:color w:val="auto"/>
              </w:rPr>
              <w:t>Due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9"/>
                <w:szCs w:val="19"/>
                <w:b w:val="1"/>
                <w:bCs w:val="1"/>
                <w:color w:val="auto"/>
              </w:rPr>
              <w:t>Total</w:t>
            </w:r>
          </w:p>
        </w:tc>
        <w:tc>
          <w:tcPr>
            <w:tcW w:w="0" w:type="dxa"/>
            <w:vAlign w:val="bottom"/>
          </w:tcPr>
          <w:p>
            <w:pPr>
              <w:spacing w:after="0"/>
              <w:rPr>
                <w:sz w:val="1"/>
                <w:szCs w:val="1"/>
                <w:color w:val="auto"/>
              </w:rPr>
            </w:pPr>
          </w:p>
        </w:tc>
      </w:tr>
      <w:tr>
        <w:trPr>
          <w:trHeight w:val="261"/>
        </w:trPr>
        <w:tc>
          <w:tcPr>
            <w:tcW w:w="6360" w:type="dxa"/>
            <w:vAlign w:val="bottom"/>
          </w:tcPr>
          <w:p>
            <w:pPr>
              <w:spacing w:after="0"/>
              <w:rPr>
                <w:sz w:val="22"/>
                <w:szCs w:val="22"/>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Fiscal 2026</w:t>
            </w:r>
          </w:p>
        </w:tc>
        <w:tc>
          <w:tcPr>
            <w:tcW w:w="80" w:type="dxa"/>
            <w:vAlign w:val="bottom"/>
          </w:tcPr>
          <w:p>
            <w:pPr>
              <w:spacing w:after="0"/>
              <w:rPr>
                <w:sz w:val="22"/>
                <w:szCs w:val="22"/>
                <w:color w:val="auto"/>
              </w:rPr>
            </w:pPr>
          </w:p>
        </w:tc>
        <w:tc>
          <w:tcPr>
            <w:tcW w:w="1080" w:type="dxa"/>
            <w:vAlign w:val="bottom"/>
            <w:gridSpan w:val="2"/>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Thereafter</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360" w:type="dxa"/>
            <w:vAlign w:val="bottom"/>
            <w:tcBorders>
              <w:top w:val="single" w:sz="8" w:color="D5D5D5"/>
            </w:tcBorders>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2029 Notes</w:t>
            </w:r>
          </w:p>
        </w:tc>
        <w:tc>
          <w:tcPr>
            <w:tcW w:w="200" w:type="dxa"/>
            <w:vAlign w:val="bottom"/>
            <w:tcBorders>
              <w:top w:val="single" w:sz="8" w:color="auto"/>
            </w:tcBorders>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Borders>
              <w:top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top w:val="single" w:sz="8" w:color="D5D5D5"/>
            </w:tcBorders>
            <w:shd w:val="clear" w:color="auto" w:fill="D5D5D5"/>
          </w:tcPr>
          <w:p>
            <w:pPr>
              <w:spacing w:after="0"/>
              <w:rPr>
                <w:sz w:val="22"/>
                <w:szCs w:val="22"/>
                <w:color w:val="auto"/>
              </w:rPr>
            </w:pPr>
          </w:p>
        </w:tc>
        <w:tc>
          <w:tcPr>
            <w:tcW w:w="200" w:type="dxa"/>
            <w:vAlign w:val="bottom"/>
            <w:tcBorders>
              <w:top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Borders>
              <w:top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500,000</w:t>
            </w:r>
          </w:p>
        </w:tc>
        <w:tc>
          <w:tcPr>
            <w:tcW w:w="80" w:type="dxa"/>
            <w:vAlign w:val="bottom"/>
            <w:tcBorders>
              <w:top w:val="single" w:sz="8" w:color="D5D5D5"/>
            </w:tcBorders>
            <w:shd w:val="clear" w:color="auto" w:fill="D5D5D5"/>
          </w:tcPr>
          <w:p>
            <w:pPr>
              <w:spacing w:after="0"/>
              <w:rPr>
                <w:sz w:val="22"/>
                <w:szCs w:val="22"/>
                <w:color w:val="auto"/>
              </w:rPr>
            </w:pPr>
          </w:p>
        </w:tc>
        <w:tc>
          <w:tcPr>
            <w:tcW w:w="180" w:type="dxa"/>
            <w:vAlign w:val="bottom"/>
            <w:tcBorders>
              <w:top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top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500,000</w:t>
            </w:r>
          </w:p>
        </w:tc>
        <w:tc>
          <w:tcPr>
            <w:tcW w:w="20" w:type="dxa"/>
            <w:vAlign w:val="bottom"/>
            <w:tcBorders>
              <w:top w:val="single" w:sz="8" w:color="D5D5D5"/>
            </w:tcBorders>
            <w:shd w:val="clear" w:color="auto" w:fill="D5D5D5"/>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3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Credit agreement – term loan facility</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440,000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450,000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636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Fixed interest payments on long-term debt</w:t>
            </w:r>
            <w:r>
              <w:rPr>
                <w:rFonts w:ascii="Times New Roman" w:cs="Times New Roman" w:eastAsia="Times New Roman" w:hAnsi="Times New Roman"/>
                <w:sz w:val="24"/>
                <w:szCs w:val="24"/>
                <w:color w:val="auto"/>
                <w:vertAlign w:val="superscript"/>
              </w:rPr>
              <w:t>(1)</w:t>
            </w:r>
          </w:p>
        </w:tc>
        <w:tc>
          <w:tcPr>
            <w:tcW w:w="200" w:type="dxa"/>
            <w:vAlign w:val="bottom"/>
            <w:shd w:val="clear" w:color="auto" w:fill="D5D5D5"/>
          </w:tcPr>
          <w:p>
            <w:pPr>
              <w:spacing w:after="0"/>
              <w:rPr>
                <w:sz w:val="24"/>
                <w:szCs w:val="24"/>
                <w:color w:val="auto"/>
              </w:rPr>
            </w:pPr>
          </w:p>
        </w:tc>
        <w:tc>
          <w:tcPr>
            <w:tcW w:w="8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22,500</w:t>
            </w:r>
          </w:p>
        </w:tc>
        <w:tc>
          <w:tcPr>
            <w:tcW w:w="80" w:type="dxa"/>
            <w:vAlign w:val="bottom"/>
            <w:shd w:val="clear" w:color="auto" w:fill="D5D5D5"/>
          </w:tcPr>
          <w:p>
            <w:pPr>
              <w:spacing w:after="0"/>
              <w:rPr>
                <w:sz w:val="24"/>
                <w:szCs w:val="24"/>
                <w:color w:val="auto"/>
              </w:rPr>
            </w:pPr>
          </w:p>
        </w:tc>
        <w:tc>
          <w:tcPr>
            <w:tcW w:w="200" w:type="dxa"/>
            <w:vAlign w:val="bottom"/>
            <w:shd w:val="clear" w:color="auto" w:fill="D5D5D5"/>
          </w:tcPr>
          <w:p>
            <w:pPr>
              <w:spacing w:after="0"/>
              <w:rPr>
                <w:sz w:val="24"/>
                <w:szCs w:val="24"/>
                <w:color w:val="auto"/>
              </w:rPr>
            </w:pPr>
          </w:p>
        </w:tc>
        <w:tc>
          <w:tcPr>
            <w:tcW w:w="8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78,750</w:t>
            </w:r>
          </w:p>
        </w:tc>
        <w:tc>
          <w:tcPr>
            <w:tcW w:w="80" w:type="dxa"/>
            <w:vAlign w:val="bottom"/>
            <w:shd w:val="clear" w:color="auto" w:fill="D5D5D5"/>
          </w:tcPr>
          <w:p>
            <w:pPr>
              <w:spacing w:after="0"/>
              <w:rPr>
                <w:sz w:val="24"/>
                <w:szCs w:val="24"/>
                <w:color w:val="auto"/>
              </w:rPr>
            </w:pPr>
          </w:p>
        </w:tc>
        <w:tc>
          <w:tcPr>
            <w:tcW w:w="180" w:type="dxa"/>
            <w:vAlign w:val="bottom"/>
            <w:shd w:val="clear" w:color="auto" w:fill="D5D5D5"/>
          </w:tcPr>
          <w:p>
            <w:pPr>
              <w:spacing w:after="0"/>
              <w:rPr>
                <w:sz w:val="24"/>
                <w:szCs w:val="24"/>
                <w:color w:val="auto"/>
              </w:rPr>
            </w:pPr>
          </w:p>
        </w:tc>
        <w:tc>
          <w:tcPr>
            <w:tcW w:w="9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101,250</w:t>
            </w:r>
          </w:p>
        </w:tc>
        <w:tc>
          <w:tcPr>
            <w:tcW w:w="2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360" w:type="dxa"/>
            <w:vAlign w:val="bottom"/>
          </w:tcPr>
          <w:p>
            <w:pPr>
              <w:ind w:left="60"/>
              <w:spacing w:after="0" w:line="273" w:lineRule="exact"/>
              <w:rPr>
                <w:sz w:val="20"/>
                <w:szCs w:val="20"/>
                <w:color w:val="auto"/>
              </w:rPr>
            </w:pPr>
            <w:r>
              <w:rPr>
                <w:rFonts w:ascii="Times New Roman" w:cs="Times New Roman" w:eastAsia="Times New Roman" w:hAnsi="Times New Roman"/>
                <w:sz w:val="19"/>
                <w:szCs w:val="19"/>
                <w:color w:val="auto"/>
              </w:rPr>
              <w:t>Obligations under long-term operating leases</w:t>
            </w:r>
            <w:r>
              <w:rPr>
                <w:rFonts w:ascii="Times New Roman" w:cs="Times New Roman" w:eastAsia="Times New Roman" w:hAnsi="Times New Roman"/>
                <w:sz w:val="24"/>
                <w:szCs w:val="24"/>
                <w:color w:val="auto"/>
                <w:vertAlign w:val="superscript"/>
              </w:rPr>
              <w:t>(2)</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36,120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96,773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132,893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360" w:type="dxa"/>
            <w:vAlign w:val="bottom"/>
            <w:shd w:val="clear" w:color="auto" w:fill="D5D5D5"/>
          </w:tcPr>
          <w:p>
            <w:pPr>
              <w:ind w:left="60"/>
              <w:spacing w:after="0" w:line="273" w:lineRule="exact"/>
              <w:rPr>
                <w:sz w:val="20"/>
                <w:szCs w:val="20"/>
                <w:color w:val="auto"/>
              </w:rPr>
            </w:pPr>
            <w:r>
              <w:rPr>
                <w:rFonts w:ascii="Times New Roman" w:cs="Times New Roman" w:eastAsia="Times New Roman" w:hAnsi="Times New Roman"/>
                <w:sz w:val="19"/>
                <w:szCs w:val="19"/>
                <w:color w:val="auto"/>
              </w:rPr>
              <w:t>Obligations under short-term operating leases</w:t>
            </w:r>
            <w:r>
              <w:rPr>
                <w:rFonts w:ascii="Times New Roman" w:cs="Times New Roman" w:eastAsia="Times New Roman" w:hAnsi="Times New Roman"/>
                <w:sz w:val="24"/>
                <w:szCs w:val="24"/>
                <w:color w:val="auto"/>
                <w:vertAlign w:val="superscript"/>
              </w:rPr>
              <w:t>(3)</w:t>
            </w:r>
          </w:p>
        </w:tc>
        <w:tc>
          <w:tcPr>
            <w:tcW w:w="200" w:type="dxa"/>
            <w:vAlign w:val="bottom"/>
            <w:shd w:val="clear" w:color="auto" w:fill="D5D5D5"/>
          </w:tcPr>
          <w:p>
            <w:pPr>
              <w:spacing w:after="0"/>
              <w:rPr>
                <w:sz w:val="23"/>
                <w:szCs w:val="23"/>
                <w:color w:val="auto"/>
              </w:rPr>
            </w:pPr>
          </w:p>
        </w:tc>
        <w:tc>
          <w:tcPr>
            <w:tcW w:w="8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944</w:t>
            </w:r>
          </w:p>
        </w:tc>
        <w:tc>
          <w:tcPr>
            <w:tcW w:w="80" w:type="dxa"/>
            <w:vAlign w:val="bottom"/>
            <w:shd w:val="clear" w:color="auto" w:fill="D5D5D5"/>
          </w:tcPr>
          <w:p>
            <w:pPr>
              <w:spacing w:after="0"/>
              <w:rPr>
                <w:sz w:val="23"/>
                <w:szCs w:val="23"/>
                <w:color w:val="auto"/>
              </w:rPr>
            </w:pPr>
          </w:p>
        </w:tc>
        <w:tc>
          <w:tcPr>
            <w:tcW w:w="200" w:type="dxa"/>
            <w:vAlign w:val="bottom"/>
            <w:shd w:val="clear" w:color="auto" w:fill="D5D5D5"/>
          </w:tcPr>
          <w:p>
            <w:pPr>
              <w:spacing w:after="0"/>
              <w:rPr>
                <w:sz w:val="23"/>
                <w:szCs w:val="23"/>
                <w:color w:val="auto"/>
              </w:rPr>
            </w:pPr>
          </w:p>
        </w:tc>
        <w:tc>
          <w:tcPr>
            <w:tcW w:w="8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shd w:val="clear" w:color="auto" w:fill="D5D5D5"/>
          </w:tcPr>
          <w:p>
            <w:pPr>
              <w:spacing w:after="0"/>
              <w:rPr>
                <w:sz w:val="23"/>
                <w:szCs w:val="23"/>
                <w:color w:val="auto"/>
              </w:rPr>
            </w:pPr>
          </w:p>
        </w:tc>
        <w:tc>
          <w:tcPr>
            <w:tcW w:w="180" w:type="dxa"/>
            <w:vAlign w:val="bottom"/>
            <w:shd w:val="clear" w:color="auto" w:fill="D5D5D5"/>
          </w:tcPr>
          <w:p>
            <w:pPr>
              <w:spacing w:after="0"/>
              <w:rPr>
                <w:sz w:val="23"/>
                <w:szCs w:val="23"/>
                <w:color w:val="auto"/>
              </w:rPr>
            </w:pPr>
          </w:p>
        </w:tc>
        <w:tc>
          <w:tcPr>
            <w:tcW w:w="9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944</w:t>
            </w:r>
          </w:p>
        </w:tc>
        <w:tc>
          <w:tcPr>
            <w:tcW w:w="20" w:type="dxa"/>
            <w:vAlign w:val="bottom"/>
            <w:shd w:val="clear" w:color="auto" w:fill="D5D5D5"/>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63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Employment agreements</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28,052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5,593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33,645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6360" w:type="dxa"/>
            <w:vAlign w:val="bottom"/>
            <w:tcBorders>
              <w:bottom w:val="single" w:sz="8" w:color="D5D5D5"/>
            </w:tcBorders>
            <w:shd w:val="clear" w:color="auto" w:fill="D5D5D5"/>
          </w:tcPr>
          <w:p>
            <w:pPr>
              <w:ind w:left="60"/>
              <w:spacing w:after="0" w:line="270" w:lineRule="exact"/>
              <w:rPr>
                <w:sz w:val="20"/>
                <w:szCs w:val="20"/>
                <w:color w:val="auto"/>
              </w:rPr>
            </w:pPr>
            <w:r>
              <w:rPr>
                <w:rFonts w:ascii="Times New Roman" w:cs="Times New Roman" w:eastAsia="Times New Roman" w:hAnsi="Times New Roman"/>
                <w:sz w:val="19"/>
                <w:szCs w:val="19"/>
                <w:color w:val="auto"/>
              </w:rPr>
              <w:t>Purchase and other contractual obligations</w:t>
            </w:r>
            <w:r>
              <w:rPr>
                <w:rFonts w:ascii="Times New Roman" w:cs="Times New Roman" w:eastAsia="Times New Roman" w:hAnsi="Times New Roman"/>
                <w:sz w:val="24"/>
                <w:szCs w:val="24"/>
                <w:color w:val="auto"/>
                <w:vertAlign w:val="superscript"/>
              </w:rPr>
              <w:t>(4)</w:t>
            </w:r>
          </w:p>
        </w:tc>
        <w:tc>
          <w:tcPr>
            <w:tcW w:w="200" w:type="dxa"/>
            <w:vAlign w:val="bottom"/>
            <w:tcBorders>
              <w:bottom w:val="single" w:sz="8" w:color="auto"/>
            </w:tcBorders>
            <w:shd w:val="clear" w:color="auto" w:fill="D5D5D5"/>
          </w:tcPr>
          <w:p>
            <w:pPr>
              <w:spacing w:after="0"/>
              <w:rPr>
                <w:sz w:val="24"/>
                <w:szCs w:val="24"/>
                <w:color w:val="auto"/>
              </w:rPr>
            </w:pPr>
          </w:p>
        </w:tc>
        <w:tc>
          <w:tcPr>
            <w:tcW w:w="84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107,343</w:t>
            </w:r>
          </w:p>
        </w:tc>
        <w:tc>
          <w:tcPr>
            <w:tcW w:w="80" w:type="dxa"/>
            <w:vAlign w:val="bottom"/>
            <w:tcBorders>
              <w:bottom w:val="single" w:sz="8" w:color="D5D5D5"/>
            </w:tcBorders>
            <w:shd w:val="clear" w:color="auto" w:fill="D5D5D5"/>
          </w:tcPr>
          <w:p>
            <w:pPr>
              <w:spacing w:after="0"/>
              <w:rPr>
                <w:sz w:val="24"/>
                <w:szCs w:val="24"/>
                <w:color w:val="auto"/>
              </w:rPr>
            </w:pPr>
          </w:p>
        </w:tc>
        <w:tc>
          <w:tcPr>
            <w:tcW w:w="200" w:type="dxa"/>
            <w:vAlign w:val="bottom"/>
            <w:tcBorders>
              <w:bottom w:val="single" w:sz="8" w:color="auto"/>
            </w:tcBorders>
            <w:shd w:val="clear" w:color="auto" w:fill="D5D5D5"/>
          </w:tcPr>
          <w:p>
            <w:pPr>
              <w:spacing w:after="0"/>
              <w:rPr>
                <w:sz w:val="24"/>
                <w:szCs w:val="24"/>
                <w:color w:val="auto"/>
              </w:rPr>
            </w:pPr>
          </w:p>
        </w:tc>
        <w:tc>
          <w:tcPr>
            <w:tcW w:w="8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20,538</w:t>
            </w:r>
          </w:p>
        </w:tc>
        <w:tc>
          <w:tcPr>
            <w:tcW w:w="80" w:type="dxa"/>
            <w:vAlign w:val="bottom"/>
            <w:tcBorders>
              <w:bottom w:val="single" w:sz="8" w:color="D5D5D5"/>
            </w:tcBorders>
            <w:shd w:val="clear" w:color="auto" w:fill="D5D5D5"/>
          </w:tcPr>
          <w:p>
            <w:pPr>
              <w:spacing w:after="0"/>
              <w:rPr>
                <w:sz w:val="24"/>
                <w:szCs w:val="24"/>
                <w:color w:val="auto"/>
              </w:rPr>
            </w:pPr>
          </w:p>
        </w:tc>
        <w:tc>
          <w:tcPr>
            <w:tcW w:w="180" w:type="dxa"/>
            <w:vAlign w:val="bottom"/>
            <w:tcBorders>
              <w:bottom w:val="single" w:sz="8" w:color="auto"/>
            </w:tcBorders>
            <w:shd w:val="clear" w:color="auto" w:fill="D5D5D5"/>
          </w:tcPr>
          <w:p>
            <w:pPr>
              <w:spacing w:after="0"/>
              <w:rPr>
                <w:sz w:val="24"/>
                <w:szCs w:val="24"/>
                <w:color w:val="auto"/>
              </w:rPr>
            </w:pPr>
          </w:p>
        </w:tc>
        <w:tc>
          <w:tcPr>
            <w:tcW w:w="9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127,881</w:t>
            </w:r>
          </w:p>
        </w:tc>
        <w:tc>
          <w:tcPr>
            <w:tcW w:w="20" w:type="dxa"/>
            <w:vAlign w:val="bottom"/>
            <w:tcBorders>
              <w:bottom w:val="single" w:sz="8" w:color="D5D5D5"/>
            </w:tcBorders>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360" w:type="dxa"/>
            <w:vAlign w:val="bottom"/>
          </w:tcPr>
          <w:p>
            <w:pPr>
              <w:ind w:left="180"/>
              <w:spacing w:after="0" w:line="214" w:lineRule="exact"/>
              <w:rPr>
                <w:sz w:val="20"/>
                <w:szCs w:val="20"/>
                <w:color w:val="auto"/>
              </w:rPr>
            </w:pPr>
            <w:r>
              <w:rPr>
                <w:rFonts w:ascii="Times New Roman" w:cs="Times New Roman" w:eastAsia="Times New Roman" w:hAnsi="Times New Roman"/>
                <w:sz w:val="19"/>
                <w:szCs w:val="19"/>
                <w:color w:val="auto"/>
              </w:rPr>
              <w:t>Total</w:t>
            </w:r>
          </w:p>
        </w:tc>
        <w:tc>
          <w:tcPr>
            <w:tcW w:w="200" w:type="dxa"/>
            <w:vAlign w:val="bottom"/>
          </w:tcPr>
          <w:p>
            <w:pPr>
              <w:ind w:left="40"/>
              <w:spacing w:after="0" w:line="214" w:lineRule="exact"/>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auto"/>
              </w:rPr>
              <w:t>204,959</w:t>
            </w:r>
          </w:p>
        </w:tc>
        <w:tc>
          <w:tcPr>
            <w:tcW w:w="280" w:type="dxa"/>
            <w:vAlign w:val="bottom"/>
            <w:gridSpan w:val="2"/>
          </w:tcPr>
          <w:p>
            <w:pPr>
              <w:jc w:val="right"/>
              <w:spacing w:after="0" w:line="214" w:lineRule="exact"/>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auto"/>
              </w:rPr>
              <w:t>1,141,654</w:t>
            </w:r>
          </w:p>
        </w:tc>
        <w:tc>
          <w:tcPr>
            <w:tcW w:w="260" w:type="dxa"/>
            <w:vAlign w:val="bottom"/>
            <w:gridSpan w:val="2"/>
          </w:tcPr>
          <w:p>
            <w:pPr>
              <w:jc w:val="right"/>
              <w:spacing w:after="0" w:line="214" w:lineRule="exact"/>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auto"/>
              </w:rPr>
              <w:t>1,346,613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 w:right="60" w:hanging="5"/>
        <w:spacing w:after="0" w:line="460" w:lineRule="auto"/>
        <w:tabs>
          <w:tab w:leader="none" w:pos="181"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interest payments on our $500.0 million principal amount of 2029 Notes outstanding, and excludes interest payments on our variable rate debt. Variable rate debt as of January 25, 2025 consisted of $450.0 million outstanding under our term loan facility.</w:t>
      </w:r>
    </w:p>
    <w:p>
      <w:pPr>
        <w:spacing w:after="0" w:line="17" w:lineRule="exact"/>
        <w:rPr>
          <w:rFonts w:ascii="Times New Roman" w:cs="Times New Roman" w:eastAsia="Times New Roman" w:hAnsi="Times New Roman"/>
          <w:sz w:val="23"/>
          <w:szCs w:val="23"/>
          <w:color w:val="auto"/>
          <w:vertAlign w:val="superscript"/>
        </w:rPr>
      </w:pPr>
    </w:p>
    <w:p>
      <w:pPr>
        <w:ind w:left="5" w:right="200" w:hanging="5"/>
        <w:spacing w:after="0" w:line="251" w:lineRule="auto"/>
        <w:tabs>
          <w:tab w:leader="none" w:pos="181"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represent undiscounted lease obligations under long-term operating leases and exclude long-term operating leases that have not yet commenced of $1.2 million as of January 25, 2025.</w:t>
      </w:r>
    </w:p>
    <w:p>
      <w:pPr>
        <w:spacing w:after="0" w:line="198" w:lineRule="exact"/>
        <w:rPr>
          <w:rFonts w:ascii="Times New Roman" w:cs="Times New Roman" w:eastAsia="Times New Roman" w:hAnsi="Times New Roman"/>
          <w:sz w:val="23"/>
          <w:szCs w:val="23"/>
          <w:color w:val="auto"/>
          <w:vertAlign w:val="superscript"/>
        </w:rPr>
      </w:pPr>
    </w:p>
    <w:p>
      <w:pPr>
        <w:ind w:left="5" w:hanging="5"/>
        <w:spacing w:after="0" w:line="251" w:lineRule="auto"/>
        <w:tabs>
          <w:tab w:leader="none" w:pos="181"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represent lease obligations under short-term operating leases that are not recorded on our consolidated balance sheet as of January 25, 2025.</w:t>
      </w:r>
    </w:p>
    <w:p>
      <w:pPr>
        <w:spacing w:after="0" w:line="198" w:lineRule="exact"/>
        <w:rPr>
          <w:rFonts w:ascii="Times New Roman" w:cs="Times New Roman" w:eastAsia="Times New Roman" w:hAnsi="Times New Roman"/>
          <w:sz w:val="23"/>
          <w:szCs w:val="23"/>
          <w:color w:val="auto"/>
          <w:vertAlign w:val="superscript"/>
        </w:rPr>
      </w:pPr>
    </w:p>
    <w:p>
      <w:pPr>
        <w:ind w:left="5" w:right="300" w:hanging="5"/>
        <w:spacing w:after="0" w:line="257" w:lineRule="auto"/>
        <w:tabs>
          <w:tab w:leader="none" w:pos="181"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committed capital for the expansion of our vehicle fleet in order to accommodate manufacturer lead times. As of January 25, 2025, purchase and other contractual obligations includes approximately $83.0 million for issued orders with delivery dates scheduled to occur over the next 12 months.</w:t>
      </w:r>
    </w:p>
    <w:p>
      <w:pPr>
        <w:spacing w:after="0" w:line="195" w:lineRule="exact"/>
        <w:rPr>
          <w:sz w:val="20"/>
          <w:szCs w:val="20"/>
          <w:color w:val="auto"/>
        </w:rPr>
      </w:pPr>
    </w:p>
    <w:p>
      <w:pPr>
        <w:ind w:left="5" w:right="340" w:firstLine="345"/>
        <w:spacing w:after="0" w:line="289" w:lineRule="auto"/>
        <w:rPr>
          <w:sz w:val="20"/>
          <w:szCs w:val="20"/>
          <w:color w:val="auto"/>
        </w:rPr>
      </w:pPr>
      <w:r>
        <w:rPr>
          <w:rFonts w:ascii="Times New Roman" w:cs="Times New Roman" w:eastAsia="Times New Roman" w:hAnsi="Times New Roman"/>
          <w:sz w:val="19"/>
          <w:szCs w:val="19"/>
          <w:color w:val="auto"/>
        </w:rPr>
        <w:t>Our consolidated balance sheet as of January 25, 2025 includes a long-term liability of approximately $49.8 million for accrued insurance claims. This liability has been excluded from the table above as the timing of payments is uncertain.</w:t>
      </w:r>
    </w:p>
    <w:p>
      <w:pPr>
        <w:spacing w:after="0" w:line="165" w:lineRule="exact"/>
        <w:rPr>
          <w:sz w:val="20"/>
          <w:szCs w:val="20"/>
          <w:color w:val="auto"/>
        </w:rPr>
      </w:pPr>
    </w:p>
    <w:p>
      <w:pPr>
        <w:ind w:left="5" w:right="120" w:firstLine="345"/>
        <w:spacing w:after="0" w:line="265" w:lineRule="auto"/>
        <w:rPr>
          <w:sz w:val="20"/>
          <w:szCs w:val="20"/>
          <w:color w:val="auto"/>
        </w:rPr>
      </w:pPr>
      <w:r>
        <w:rPr>
          <w:rFonts w:ascii="Times New Roman" w:cs="Times New Roman" w:eastAsia="Times New Roman" w:hAnsi="Times New Roman"/>
          <w:sz w:val="19"/>
          <w:szCs w:val="19"/>
          <w:color w:val="auto"/>
        </w:rPr>
        <w:t>The liability for unrecognized tax benefits for uncertain tax positions was approximately $21.6 million and $17.6 million, as of January 25, 2025 and January 27, 2024, respectively, and is included in other liabilities in the consolidated balance sheets. This amount has been excluded from the contractual obligations table because we are unable to reasonably estimate the timing of the resolution of the underlying tax positions with the relevant tax authorities.</w:t>
      </w:r>
    </w:p>
    <w:p>
      <w:pPr>
        <w:spacing w:after="0" w:line="184" w:lineRule="exact"/>
        <w:rPr>
          <w:sz w:val="20"/>
          <w:szCs w:val="20"/>
          <w:color w:val="auto"/>
        </w:rPr>
      </w:pPr>
    </w:p>
    <w:p>
      <w:pPr>
        <w:ind w:left="5" w:firstLine="345"/>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 xml:space="preserve">Performance and Payment Bonds and Guarantees. </w:t>
      </w:r>
      <w:r>
        <w:rPr>
          <w:rFonts w:ascii="Times New Roman" w:cs="Times New Roman" w:eastAsia="Times New Roman" w:hAnsi="Times New Roman"/>
          <w:sz w:val="19"/>
          <w:szCs w:val="19"/>
          <w:color w:val="auto"/>
        </w:rPr>
        <w:t>We have obligations under performance and other surety contract bonds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related to certain of our customer contracts. Performance bonds generally provide a customer with the right to obtain payment and/or performance from the issuer of the bond if we fail to perform our contractual obligations. As of January 25, 2025 and January 27, 2024 we had $413.5 million and $409.6 million of outstanding performance and other surety contract bonds, respectively. The estimated cost to complete projects secured by our outstanding performance and other surety contract bonds was approximately $201.4 million as of January 25, 2025. In addition to performance and other surety contract bonds, as part of our insurance program we also provide surety bonds that collateralize our obligations to our insurance carriers. As of January 25, 2025 and January 27, 2024, we had $31.0 million and $20.4 million, respectively, of outstanding surety bonds related to our insurance obligations. Additionally, we have periodically guaranteed certain obligations of our subsidiaries, including obligations in connection with obtaining state contractor licenses and leasing real property and equipment.</w:t>
      </w:r>
    </w:p>
    <w:p>
      <w:pPr>
        <w:spacing w:after="0" w:line="195" w:lineRule="exact"/>
        <w:rPr>
          <w:sz w:val="20"/>
          <w:szCs w:val="20"/>
          <w:color w:val="auto"/>
        </w:rPr>
      </w:pPr>
    </w:p>
    <w:p>
      <w:pPr>
        <w:ind w:left="5" w:right="60" w:firstLine="345"/>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 xml:space="preserve">Letters of Credit. </w:t>
      </w:r>
      <w:r>
        <w:rPr>
          <w:rFonts w:ascii="Times New Roman" w:cs="Times New Roman" w:eastAsia="Times New Roman" w:hAnsi="Times New Roman"/>
          <w:sz w:val="19"/>
          <w:szCs w:val="19"/>
          <w:color w:val="auto"/>
        </w:rPr>
        <w:t>We have standby letters of credit issued under our Credit Agreement as part of our insurance program.</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These letters of credit collateralize obligations to our insurance carriers in connection with the settlement of potential claims. In connection with these collateral obligations, we had $47.5 million outstanding standby letters of credit issued under our Credit Agreement as of both January 25, 2025 and January 27, 2024.</w:t>
      </w:r>
    </w:p>
    <w:p>
      <w:pPr>
        <w:spacing w:after="0" w:line="183" w:lineRule="exact"/>
        <w:rPr>
          <w:sz w:val="20"/>
          <w:szCs w:val="20"/>
          <w:color w:val="auto"/>
        </w:rPr>
      </w:pPr>
    </w:p>
    <w:p>
      <w:pPr>
        <w:ind w:left="5" w:right="140" w:firstLine="345"/>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Backlog. </w:t>
      </w:r>
      <w:r>
        <w:rPr>
          <w:rFonts w:ascii="Times New Roman" w:cs="Times New Roman" w:eastAsia="Times New Roman" w:hAnsi="Times New Roman"/>
          <w:sz w:val="19"/>
          <w:szCs w:val="19"/>
          <w:color w:val="auto"/>
        </w:rPr>
        <w:t>Backlog is not a measure defined by United States generally accepted accounting principles (“GAAP”)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should be considered in addition to, but not as a substitute for, GAAP results. Participants in our industry often disclose a calculation of their backlog; however, our methodology for determining backlog may not be comparable to the methodologies used by others. We utilize our calculation of backlog to assist in measuring aggregate awards under existing contractual relationships with our customers. We believe our backlog disclosures will assist investors in better understanding this estimate of the services to be performed pursuant to awards by our customers under existing contractual relationships.</w:t>
      </w:r>
    </w:p>
    <w:p>
      <w:pPr>
        <w:sectPr>
          <w:pgSz w:w="11880" w:h="15480" w:orient="portrait"/>
          <w:cols w:equalWidth="0" w:num="1">
            <w:col w:w="9845"/>
          </w:cols>
          <w:pgMar w:left="995" w:top="894" w:right="1040" w:bottom="0" w:gutter="0" w:footer="0" w:header="0"/>
        </w:sectPr>
      </w:pPr>
    </w:p>
    <w:p>
      <w:pPr>
        <w:spacing w:after="0" w:line="309" w:lineRule="exact"/>
        <w:rPr>
          <w:sz w:val="20"/>
          <w:szCs w:val="20"/>
          <w:color w:val="auto"/>
        </w:rPr>
      </w:pPr>
    </w:p>
    <w:p>
      <w:pPr>
        <w:jc w:val="center"/>
        <w:ind w:right="-84"/>
        <w:spacing w:after="0"/>
        <w:rPr>
          <w:sz w:val="20"/>
          <w:szCs w:val="20"/>
          <w:color w:val="auto"/>
        </w:rPr>
      </w:pPr>
      <w:r>
        <w:rPr>
          <w:rFonts w:ascii="Times New Roman" w:cs="Times New Roman" w:eastAsia="Times New Roman" w:hAnsi="Times New Roman"/>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254000</wp:posOffset>
            </wp:positionV>
            <wp:extent cx="76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2">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6903720</wp:posOffset>
            </wp:positionH>
            <wp:positionV relativeFrom="paragraph">
              <wp:posOffset>254000</wp:posOffset>
            </wp:positionV>
            <wp:extent cx="76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3">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45"/>
          </w:cols>
          <w:pgMar w:left="995" w:top="894" w:right="1040" w:bottom="0" w:gutter="0" w:footer="0" w:header="0"/>
          <w:type w:val="continuous"/>
        </w:sectPr>
      </w:pPr>
    </w:p>
    <w:bookmarkStart w:id="45" w:name="page46"/>
    <w:bookmarkEnd w:id="45"/>
    <w:p>
      <w:pPr>
        <w:ind w:right="80" w:firstLine="346"/>
        <w:spacing w:after="0" w:line="257"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t>Our backlog is an estimate of the uncompleted portion of services to be performed under contractual agreements with our customers and totaled $7.760 billion and $6.917 billion at January 25, 2025 and January 27, 2024, respectively. We expect to complete 59.8% of the January 25, 2025 total backlog during the next 12 months. Our backlog represents an estimate of services to be performed pursuant to master service agreements and other contractual agreements over their terms. These estimates are based on contract terms and evaluations regarding the timing of the services to be provided. In the case of master service agreements, backlog is estimated based on the work performed in the preceding 12 month period, when applicable. When estimating backlog for newly initiated master service agreements and other long and short-term contracts, we also consider the anticipated scope of the contract and information received from the customer during the procurement process and, where applicable, other ancillary information. The majority of our backlog comprises services under master service agreements and other long-term contracts.</w:t>
      </w:r>
    </w:p>
    <w:p>
      <w:pPr>
        <w:spacing w:after="0" w:line="195" w:lineRule="exact"/>
        <w:rPr>
          <w:sz w:val="20"/>
          <w:szCs w:val="20"/>
          <w:color w:val="auto"/>
        </w:rPr>
      </w:pPr>
    </w:p>
    <w:p>
      <w:pPr>
        <w:ind w:firstLine="394"/>
        <w:spacing w:after="0" w:line="257" w:lineRule="auto"/>
        <w:rPr>
          <w:sz w:val="20"/>
          <w:szCs w:val="20"/>
          <w:color w:val="auto"/>
        </w:rPr>
      </w:pPr>
      <w:r>
        <w:rPr>
          <w:rFonts w:ascii="Times New Roman" w:cs="Times New Roman" w:eastAsia="Times New Roman" w:hAnsi="Times New Roman"/>
          <w:sz w:val="19"/>
          <w:szCs w:val="19"/>
          <w:color w:val="auto"/>
        </w:rPr>
        <w:t>Generally, our customers are not contractually committed to procure specific volumes of services. Contract revenue estimates reflected in our backlog can be subject to change due to a number of factors, including contract cancellations or changes in the amount of work we expect to be performed under a contract. In addition, contract revenues reflected in our backlog may be realized in different periods from those previously anticipated due to these factors as well as project accelerations or delays due to various reasons, including, but not limited to, changes in customer spending priorities, project cancellations, regulatory interruptions, scheduling changes, commercial issues, such as permitting, engineering revisions, job site conditions and adverse weather. The amount or timing of our backlog can also be impacted by the merger or acquisition activity of our customers. Many of our contracts may be cancelled by our customers, or work previously awarded to us pursuant to these contracts may be cancelled, regardless of whether or not we are in default. The amount of backlog related to uncompleted projects in which a provision for estimated losses was recorded is not 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Legal Proceedings</w:t>
      </w:r>
    </w:p>
    <w:p>
      <w:pPr>
        <w:spacing w:after="0" w:line="246" w:lineRule="exact"/>
        <w:rPr>
          <w:sz w:val="20"/>
          <w:szCs w:val="20"/>
          <w:color w:val="auto"/>
        </w:rPr>
      </w:pPr>
    </w:p>
    <w:p>
      <w:pPr>
        <w:ind w:right="240" w:firstLine="346"/>
        <w:spacing w:after="0" w:line="308" w:lineRule="auto"/>
        <w:rPr>
          <w:sz w:val="20"/>
          <w:szCs w:val="20"/>
          <w:color w:val="auto"/>
        </w:rPr>
      </w:pPr>
      <w:r>
        <w:rPr>
          <w:rFonts w:ascii="Times New Roman" w:cs="Times New Roman" w:eastAsia="Times New Roman" w:hAnsi="Times New Roman"/>
          <w:sz w:val="19"/>
          <w:szCs w:val="19"/>
          <w:color w:val="auto"/>
        </w:rPr>
        <w:t xml:space="preserve">Refer to Note 22, </w:t>
      </w:r>
      <w:r>
        <w:rPr>
          <w:rFonts w:ascii="Times New Roman" w:cs="Times New Roman" w:eastAsia="Times New Roman" w:hAnsi="Times New Roman"/>
          <w:sz w:val="19"/>
          <w:szCs w:val="19"/>
          <w:b w:val="1"/>
          <w:bCs w:val="1"/>
          <w:i w:val="1"/>
          <w:iCs w:val="1"/>
          <w:color w:val="auto"/>
        </w:rPr>
        <w:t>Commitments and Contingencies</w:t>
      </w:r>
      <w:r>
        <w:rPr>
          <w:rFonts w:ascii="Times New Roman" w:cs="Times New Roman" w:eastAsia="Times New Roman" w:hAnsi="Times New Roman"/>
          <w:sz w:val="19"/>
          <w:szCs w:val="19"/>
          <w:color w:val="auto"/>
        </w:rPr>
        <w:t>, in the Notes to the Consolidated Financial Statements in this Annual Report on Form 10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Recently Issued Accounting Pronouncements</w:t>
      </w:r>
    </w:p>
    <w:p>
      <w:pPr>
        <w:spacing w:after="0" w:line="246" w:lineRule="exact"/>
        <w:rPr>
          <w:sz w:val="20"/>
          <w:szCs w:val="20"/>
          <w:color w:val="auto"/>
        </w:rPr>
      </w:pPr>
    </w:p>
    <w:p>
      <w:pPr>
        <w:ind w:right="360" w:firstLine="346"/>
        <w:spacing w:after="0" w:line="308" w:lineRule="auto"/>
        <w:rPr>
          <w:sz w:val="20"/>
          <w:szCs w:val="20"/>
          <w:color w:val="auto"/>
        </w:rPr>
      </w:pPr>
      <w:r>
        <w:rPr>
          <w:rFonts w:ascii="Times New Roman" w:cs="Times New Roman" w:eastAsia="Times New Roman" w:hAnsi="Times New Roman"/>
          <w:sz w:val="19"/>
          <w:szCs w:val="19"/>
          <w:color w:val="auto"/>
        </w:rPr>
        <w:t xml:space="preserve">Refer to Note 3, </w:t>
      </w:r>
      <w:r>
        <w:rPr>
          <w:rFonts w:ascii="Times New Roman" w:cs="Times New Roman" w:eastAsia="Times New Roman" w:hAnsi="Times New Roman"/>
          <w:sz w:val="19"/>
          <w:szCs w:val="19"/>
          <w:b w:val="1"/>
          <w:bCs w:val="1"/>
          <w:i w:val="1"/>
          <w:iCs w:val="1"/>
          <w:color w:val="auto"/>
        </w:rPr>
        <w:t>Accounting Standards</w:t>
      </w:r>
      <w:r>
        <w:rPr>
          <w:rFonts w:ascii="Times New Roman" w:cs="Times New Roman" w:eastAsia="Times New Roman" w:hAnsi="Times New Roman"/>
          <w:sz w:val="19"/>
          <w:szCs w:val="19"/>
          <w:color w:val="auto"/>
        </w:rPr>
        <w:t>, in the Notes to the Consolidated Financial Statements in this Annual Report on Form 10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K for a discussion of recent accounting standards and pronouncements.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7A</w:t>
      </w:r>
      <w:r>
        <w:rPr>
          <w:rFonts w:ascii="Times New Roman" w:cs="Times New Roman" w:eastAsia="Times New Roman" w:hAnsi="Times New Roman"/>
          <w:sz w:val="19"/>
          <w:szCs w:val="19"/>
          <w:b w:val="1"/>
          <w:bCs w:val="1"/>
          <w:i w:val="1"/>
          <w:iCs w:val="1"/>
          <w:color w:val="auto"/>
        </w:rPr>
        <w:t>. Quantitative and Qualitative Disclosures About Market Risk.</w:t>
      </w:r>
    </w:p>
    <w:p>
      <w:pPr>
        <w:spacing w:after="0" w:line="250" w:lineRule="exact"/>
        <w:rPr>
          <w:sz w:val="20"/>
          <w:szCs w:val="20"/>
          <w:color w:val="auto"/>
        </w:rPr>
      </w:pPr>
    </w:p>
    <w:p>
      <w:pPr>
        <w:ind w:right="40" w:firstLine="346"/>
        <w:spacing w:after="0" w:line="265" w:lineRule="auto"/>
        <w:rPr>
          <w:sz w:val="20"/>
          <w:szCs w:val="20"/>
          <w:color w:val="auto"/>
        </w:rPr>
      </w:pPr>
      <w:r>
        <w:rPr>
          <w:rFonts w:ascii="Times New Roman" w:cs="Times New Roman" w:eastAsia="Times New Roman" w:hAnsi="Times New Roman"/>
          <w:sz w:val="19"/>
          <w:szCs w:val="19"/>
          <w:color w:val="auto"/>
        </w:rPr>
        <w:t>Our primary exposure to market risk relates to unfavorable changes in interest rates on our fixed-rate and variable-rate debt. Fluctuations in interest rates impact the fair value of our fixed-rate debt and interest expense on our variable-rate debt. At January 25, 2025, 53% of our debt, on a gross basis, incurred interest at a fixed-rate and the remaining 47% of the debt incurred interest at a variable-rate.</w:t>
      </w:r>
    </w:p>
    <w:p>
      <w:pPr>
        <w:spacing w:after="0" w:line="187" w:lineRule="exact"/>
        <w:rPr>
          <w:sz w:val="20"/>
          <w:szCs w:val="20"/>
          <w:color w:val="auto"/>
        </w:rPr>
      </w:pPr>
    </w:p>
    <w:p>
      <w:pPr>
        <w:ind w:right="40" w:firstLine="346"/>
        <w:spacing w:after="0" w:line="259" w:lineRule="auto"/>
        <w:rPr>
          <w:sz w:val="20"/>
          <w:szCs w:val="20"/>
          <w:color w:val="auto"/>
        </w:rPr>
      </w:pPr>
      <w:r>
        <w:rPr>
          <w:rFonts w:ascii="Times New Roman" w:cs="Times New Roman" w:eastAsia="Times New Roman" w:hAnsi="Times New Roman"/>
          <w:sz w:val="19"/>
          <w:szCs w:val="19"/>
          <w:color w:val="auto"/>
        </w:rPr>
        <w:t>On April 1, 2021, we issued $500.0 million aggregate principal amount of 4.50% senior notes due 2029 (the “2029 Notes”). The 2029 Notes are guaranteed on a senior unsecured basis, jointly and severally, by all of our domestic subsidiaries that guarantee the Credit Agreement. The fair value of the fixed rate 2029 Notes will change with changes in market interest rates. Generally, the fair value of the fixed rate 2029 Notes will increase as interest rates fall and decrease as interest rates rise. The following table summarizes the carrying amount and fair value of the 2029 Notes, net of debt issuance costs. The fair value of the 2029 Notes is based on the closing trading price per $100 of the 2029 Notes as of the last day of trading (Level 2), which was $94.65 and $92.49 as of January 25, 2025 and January 27, 2024, respectively (dollars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220" w:type="dxa"/>
            <w:vAlign w:val="bottom"/>
            <w:tcBorders>
              <w:bottom w:val="single" w:sz="8" w:color="D5D5D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60" w:type="dxa"/>
            <w:vAlign w:val="bottom"/>
            <w:tcBorders>
              <w:bottom w:val="single" w:sz="8" w:color="D5D5D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9"/>
                <w:szCs w:val="19"/>
                <w:b w:val="1"/>
                <w:bCs w:val="1"/>
                <w:color w:val="auto"/>
              </w:rPr>
              <w:t>January 27, 2024</w:t>
            </w:r>
          </w:p>
        </w:tc>
      </w:tr>
      <w:tr>
        <w:trPr>
          <w:trHeight w:val="269"/>
        </w:trPr>
        <w:tc>
          <w:tcPr>
            <w:tcW w:w="622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Principal amount of 2029 Notes</w:t>
            </w:r>
          </w:p>
        </w:tc>
        <w:tc>
          <w:tcPr>
            <w:tcW w:w="1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500,000</w:t>
            </w:r>
          </w:p>
        </w:tc>
        <w:tc>
          <w:tcPr>
            <w:tcW w:w="60" w:type="dxa"/>
            <w:vAlign w:val="bottom"/>
            <w:shd w:val="clear" w:color="auto" w:fill="D5D5D5"/>
          </w:tcPr>
          <w:p>
            <w:pPr>
              <w:spacing w:after="0"/>
              <w:rPr>
                <w:sz w:val="23"/>
                <w:szCs w:val="23"/>
                <w:color w:val="auto"/>
              </w:rPr>
            </w:pPr>
          </w:p>
        </w:tc>
        <w:tc>
          <w:tcPr>
            <w:tcW w:w="160" w:type="dxa"/>
            <w:vAlign w:val="bottom"/>
            <w:shd w:val="clear" w:color="auto" w:fill="D5D5D5"/>
          </w:tcPr>
          <w:p>
            <w:pPr>
              <w:spacing w:after="0"/>
              <w:rPr>
                <w:sz w:val="23"/>
                <w:szCs w:val="23"/>
                <w:color w:val="auto"/>
              </w:rPr>
            </w:pPr>
          </w:p>
        </w:tc>
        <w:tc>
          <w:tcPr>
            <w:tcW w:w="16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$500,000</w:t>
            </w:r>
          </w:p>
        </w:tc>
      </w:tr>
      <w:tr>
        <w:trPr>
          <w:trHeight w:val="278"/>
        </w:trPr>
        <w:tc>
          <w:tcPr>
            <w:tcW w:w="6220" w:type="dxa"/>
            <w:vAlign w:val="bottom"/>
            <w:tcBorders>
              <w:bottom w:val="single" w:sz="8" w:color="D5D5D5"/>
            </w:tcBorders>
          </w:tcPr>
          <w:p>
            <w:pPr>
              <w:ind w:left="40"/>
              <w:spacing w:after="0"/>
              <w:rPr>
                <w:sz w:val="20"/>
                <w:szCs w:val="20"/>
                <w:color w:val="auto"/>
              </w:rPr>
            </w:pPr>
            <w:r>
              <w:rPr>
                <w:rFonts w:ascii="Times New Roman" w:cs="Times New Roman" w:eastAsia="Times New Roman" w:hAnsi="Times New Roman"/>
                <w:sz w:val="19"/>
                <w:szCs w:val="19"/>
                <w:color w:val="auto"/>
              </w:rPr>
              <w:t>Less: Debt issuance costs</w:t>
            </w: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(3,903)</w:t>
            </w:r>
          </w:p>
        </w:tc>
        <w:tc>
          <w:tcPr>
            <w:tcW w:w="60" w:type="dxa"/>
            <w:vAlign w:val="bottom"/>
            <w:tcBorders>
              <w:bottom w:val="single" w:sz="8" w:color="D5D5D5"/>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(4,820)</w:t>
            </w:r>
          </w:p>
        </w:tc>
      </w:tr>
      <w:tr>
        <w:trPr>
          <w:trHeight w:val="287"/>
        </w:trPr>
        <w:tc>
          <w:tcPr>
            <w:tcW w:w="6220" w:type="dxa"/>
            <w:vAlign w:val="bottom"/>
            <w:tcBorders>
              <w:bottom w:val="single" w:sz="8" w:color="D5D5D5"/>
            </w:tcBorders>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Net carrying amount of 2029 Notes</w:t>
            </w:r>
          </w:p>
        </w:tc>
        <w:tc>
          <w:tcPr>
            <w:tcW w:w="1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496,097</w:t>
            </w:r>
          </w:p>
        </w:tc>
        <w:tc>
          <w:tcPr>
            <w:tcW w:w="60" w:type="dxa"/>
            <w:vAlign w:val="bottom"/>
            <w:tcBorders>
              <w:bottom w:val="single" w:sz="8" w:color="D5D5D5"/>
            </w:tcBorders>
            <w:shd w:val="clear" w:color="auto" w:fill="D5D5D5"/>
          </w:tcPr>
          <w:p>
            <w:pPr>
              <w:spacing w:after="0"/>
              <w:rPr>
                <w:sz w:val="24"/>
                <w:szCs w:val="24"/>
                <w:color w:val="auto"/>
              </w:rPr>
            </w:pPr>
          </w:p>
        </w:tc>
        <w:tc>
          <w:tcPr>
            <w:tcW w:w="1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495,180</w:t>
            </w:r>
          </w:p>
        </w:tc>
      </w:tr>
    </w:tbl>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220" w:type="dxa"/>
            <w:vAlign w:val="bottom"/>
            <w:tcBorders>
              <w:bottom w:val="single" w:sz="8" w:color="D5D5D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60" w:type="dxa"/>
            <w:vAlign w:val="bottom"/>
            <w:tcBorders>
              <w:bottom w:val="single" w:sz="8" w:color="D5D5D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9"/>
                <w:szCs w:val="19"/>
                <w:b w:val="1"/>
                <w:bCs w:val="1"/>
                <w:color w:val="auto"/>
              </w:rPr>
              <w:t>January 27, 2024</w:t>
            </w:r>
          </w:p>
        </w:tc>
      </w:tr>
      <w:tr>
        <w:trPr>
          <w:trHeight w:val="269"/>
        </w:trPr>
        <w:tc>
          <w:tcPr>
            <w:tcW w:w="622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Fair value of principal amount of 2029 Notes</w:t>
            </w:r>
          </w:p>
        </w:tc>
        <w:tc>
          <w:tcPr>
            <w:tcW w:w="1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473,250</w:t>
            </w:r>
          </w:p>
        </w:tc>
        <w:tc>
          <w:tcPr>
            <w:tcW w:w="22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462,450</w:t>
            </w:r>
          </w:p>
        </w:tc>
      </w:tr>
      <w:tr>
        <w:trPr>
          <w:trHeight w:val="278"/>
        </w:trPr>
        <w:tc>
          <w:tcPr>
            <w:tcW w:w="6220" w:type="dxa"/>
            <w:vAlign w:val="bottom"/>
            <w:tcBorders>
              <w:bottom w:val="single" w:sz="8" w:color="D5D5D5"/>
            </w:tcBorders>
          </w:tcPr>
          <w:p>
            <w:pPr>
              <w:ind w:left="40"/>
              <w:spacing w:after="0"/>
              <w:rPr>
                <w:sz w:val="20"/>
                <w:szCs w:val="20"/>
                <w:color w:val="auto"/>
              </w:rPr>
            </w:pPr>
            <w:r>
              <w:rPr>
                <w:rFonts w:ascii="Times New Roman" w:cs="Times New Roman" w:eastAsia="Times New Roman" w:hAnsi="Times New Roman"/>
                <w:sz w:val="19"/>
                <w:szCs w:val="19"/>
                <w:color w:val="auto"/>
              </w:rPr>
              <w:t>Less: Debt issuance costs</w:t>
            </w: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(3,903)</w:t>
            </w:r>
          </w:p>
        </w:tc>
        <w:tc>
          <w:tcPr>
            <w:tcW w:w="60" w:type="dxa"/>
            <w:vAlign w:val="bottom"/>
            <w:tcBorders>
              <w:bottom w:val="single" w:sz="8" w:color="D5D5D5"/>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(4,820)</w:t>
            </w:r>
          </w:p>
        </w:tc>
      </w:tr>
      <w:tr>
        <w:trPr>
          <w:trHeight w:val="287"/>
        </w:trPr>
        <w:tc>
          <w:tcPr>
            <w:tcW w:w="6220" w:type="dxa"/>
            <w:vAlign w:val="bottom"/>
            <w:tcBorders>
              <w:bottom w:val="single" w:sz="8" w:color="D5D5D5"/>
            </w:tcBorders>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Fair value of 2029 Notes</w:t>
            </w:r>
          </w:p>
        </w:tc>
        <w:tc>
          <w:tcPr>
            <w:tcW w:w="1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469,347</w:t>
            </w:r>
          </w:p>
        </w:tc>
        <w:tc>
          <w:tcPr>
            <w:tcW w:w="60" w:type="dxa"/>
            <w:vAlign w:val="bottom"/>
            <w:tcBorders>
              <w:bottom w:val="single" w:sz="8" w:color="D5D5D5"/>
            </w:tcBorders>
            <w:shd w:val="clear" w:color="auto" w:fill="D5D5D5"/>
          </w:tcPr>
          <w:p>
            <w:pPr>
              <w:spacing w:after="0"/>
              <w:rPr>
                <w:sz w:val="24"/>
                <w:szCs w:val="24"/>
                <w:color w:val="auto"/>
              </w:rPr>
            </w:pPr>
          </w:p>
        </w:tc>
        <w:tc>
          <w:tcPr>
            <w:tcW w:w="1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457,630</w:t>
            </w:r>
          </w:p>
        </w:tc>
      </w:tr>
    </w:tbl>
    <w:p>
      <w:pPr>
        <w:spacing w:after="0" w:line="200" w:lineRule="exact"/>
        <w:rPr>
          <w:sz w:val="20"/>
          <w:szCs w:val="20"/>
          <w:color w:val="auto"/>
        </w:rPr>
      </w:pPr>
    </w:p>
    <w:p>
      <w:pPr>
        <w:sectPr>
          <w:pgSz w:w="11880" w:h="15480" w:orient="portrait"/>
          <w:cols w:equalWidth="0" w:num="1">
            <w:col w:w="9840"/>
          </w:cols>
          <w:pgMar w:left="1000" w:top="892"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254000</wp:posOffset>
            </wp:positionV>
            <wp:extent cx="76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6">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254000</wp:posOffset>
            </wp:positionV>
            <wp:extent cx="76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7">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40"/>
          </w:cols>
          <w:pgMar w:left="1000" w:top="892" w:right="1040" w:bottom="0" w:gutter="0" w:footer="0" w:header="0"/>
          <w:type w:val="continuous"/>
        </w:sectPr>
      </w:pPr>
    </w:p>
    <w:bookmarkStart w:id="46" w:name="page47"/>
    <w:bookmarkEnd w:id="46"/>
    <w:p>
      <w:pPr>
        <w:ind w:firstLine="346"/>
        <w:spacing w:after="0" w:line="289" w:lineRule="auto"/>
        <w:rPr>
          <w:sz w:val="20"/>
          <w:szCs w:val="20"/>
          <w:color w:val="auto"/>
        </w:rPr>
      </w:pPr>
      <w:r>
        <w:rPr>
          <w:rFonts w:ascii="Times New Roman" w:cs="Times New Roman" w:eastAsia="Times New Roman" w:hAnsi="Times New Roman"/>
          <w:sz w:val="19"/>
          <w:szCs w:val="19"/>
          <w:color w:val="auto"/>
        </w:rPr>
        <w:t>A hypothetical 50 basis point change in the market interest rates in effect would result in an increase or decrease in the fair value of the 2029 Notes of approximately $9.3 million, calculated on a discounted cash flow basis as of January 25, 2025.</w:t>
      </w:r>
    </w:p>
    <w:p>
      <w:pPr>
        <w:spacing w:after="0" w:line="165" w:lineRule="exact"/>
        <w:rPr>
          <w:sz w:val="20"/>
          <w:szCs w:val="20"/>
          <w:color w:val="auto"/>
        </w:rPr>
      </w:pPr>
    </w:p>
    <w:p>
      <w:pPr>
        <w:ind w:firstLine="346"/>
        <w:spacing w:after="0" w:line="262" w:lineRule="auto"/>
        <w:rPr>
          <w:sz w:val="20"/>
          <w:szCs w:val="20"/>
          <w:color w:val="auto"/>
        </w:rPr>
      </w:pPr>
      <w:r>
        <w:rPr>
          <w:rFonts w:ascii="Times New Roman" w:cs="Times New Roman" w:eastAsia="Times New Roman" w:hAnsi="Times New Roman"/>
          <w:sz w:val="19"/>
          <w:szCs w:val="19"/>
          <w:color w:val="auto"/>
        </w:rPr>
        <w:t>Our Credit Agreement provides borrowings at a variable rate of interest. On January 25, 2025, we had variable rate debt outstanding of $450.0 million under our term loan facility. Interest related to these borrowings fluctuates based on Term SOFR or the Base rate, each, as defined in the Credit Agreement and as described above. At the current level of borrowings, for every 50 basis point change in the interest rate, interest expense associated with such borrowings would correspondingly change by approximately $2.3 million annually.</w:t>
      </w:r>
    </w:p>
    <w:p>
      <w:pPr>
        <w:sectPr>
          <w:pgSz w:w="11880" w:h="15480" w:orient="portrait"/>
          <w:cols w:equalWidth="0" w:num="1">
            <w:col w:w="9760"/>
          </w:cols>
          <w:pgMar w:left="1000" w:top="897"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41</w:t>
      </w:r>
    </w:p>
    <w:p>
      <w:pPr>
        <w:spacing w:after="0" w:line="20" w:lineRule="exact"/>
        <w:rPr>
          <w:sz w:val="20"/>
          <w:szCs w:val="20"/>
          <w:color w:val="auto"/>
        </w:rPr>
      </w:pPr>
    </w:p>
    <w:p>
      <w:pPr>
        <w:sectPr>
          <w:pgSz w:w="11880" w:h="15480" w:orient="portrait"/>
          <w:cols w:equalWidth="0" w:num="1">
            <w:col w:w="9760"/>
          </w:cols>
          <w:pgMar w:left="1000" w:top="897" w:right="1120" w:bottom="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56"/>
        </w:trPr>
        <w:tc>
          <w:tcPr>
            <w:tcW w:w="86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Item 8</w:t>
            </w:r>
            <w:r>
              <w:rPr>
                <w:rFonts w:ascii="Times New Roman" w:cs="Times New Roman" w:eastAsia="Times New Roman" w:hAnsi="Times New Roman"/>
                <w:sz w:val="19"/>
                <w:szCs w:val="19"/>
                <w:b w:val="1"/>
                <w:bCs w:val="1"/>
                <w:i w:val="1"/>
                <w:iCs w:val="1"/>
                <w:color w:val="auto"/>
              </w:rPr>
              <w:t>. Financial Statements and Supplementary Data.</w:t>
            </w:r>
          </w:p>
        </w:tc>
        <w:tc>
          <w:tcPr>
            <w:tcW w:w="1160" w:type="dxa"/>
            <w:vAlign w:val="bottom"/>
          </w:tcPr>
          <w:p>
            <w:pPr>
              <w:spacing w:after="0"/>
              <w:rPr>
                <w:sz w:val="22"/>
                <w:szCs w:val="22"/>
                <w:color w:val="auto"/>
              </w:rPr>
            </w:pPr>
          </w:p>
        </w:tc>
      </w:tr>
      <w:tr>
        <w:trPr>
          <w:trHeight w:val="461"/>
        </w:trPr>
        <w:tc>
          <w:tcPr>
            <w:tcW w:w="8680" w:type="dxa"/>
            <w:vAlign w:val="bottom"/>
          </w:tcPr>
          <w:p>
            <w:pPr>
              <w:ind w:left="3120"/>
              <w:spacing w:after="0"/>
              <w:rPr>
                <w:sz w:val="20"/>
                <w:szCs w:val="20"/>
                <w:color w:val="auto"/>
              </w:rPr>
            </w:pPr>
            <w:r>
              <w:rPr>
                <w:rFonts w:ascii="Times New Roman" w:cs="Times New Roman" w:eastAsia="Times New Roman" w:hAnsi="Times New Roman"/>
                <w:sz w:val="19"/>
                <w:szCs w:val="19"/>
                <w:b w:val="1"/>
                <w:bCs w:val="1"/>
                <w:color w:val="auto"/>
              </w:rPr>
              <w:t>Index to Consolidated Financial Statements</w:t>
            </w:r>
          </w:p>
        </w:tc>
        <w:tc>
          <w:tcPr>
            <w:tcW w:w="1160" w:type="dxa"/>
            <w:vAlign w:val="bottom"/>
          </w:tcPr>
          <w:p>
            <w:pPr>
              <w:spacing w:after="0"/>
              <w:rPr>
                <w:sz w:val="24"/>
                <w:szCs w:val="24"/>
                <w:color w:val="auto"/>
              </w:rPr>
            </w:pPr>
          </w:p>
        </w:tc>
      </w:tr>
      <w:tr>
        <w:trPr>
          <w:trHeight w:val="330"/>
        </w:trPr>
        <w:tc>
          <w:tcPr>
            <w:tcW w:w="868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Page</w:t>
            </w:r>
          </w:p>
        </w:tc>
      </w:tr>
      <w:tr>
        <w:trPr>
          <w:trHeight w:val="257"/>
        </w:trPr>
        <w:tc>
          <w:tcPr>
            <w:tcW w:w="86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Consolidated Balance Sheets</w:t>
            </w:r>
          </w:p>
        </w:tc>
        <w:tc>
          <w:tcPr>
            <w:tcW w:w="11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43</w:t>
            </w:r>
          </w:p>
        </w:tc>
      </w:tr>
      <w:tr>
        <w:trPr>
          <w:trHeight w:val="288"/>
        </w:trPr>
        <w:tc>
          <w:tcPr>
            <w:tcW w:w="86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Consolidated Statements of Operations</w:t>
            </w:r>
          </w:p>
        </w:tc>
        <w:tc>
          <w:tcPr>
            <w:tcW w:w="11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44</w:t>
            </w:r>
          </w:p>
        </w:tc>
      </w:tr>
      <w:tr>
        <w:trPr>
          <w:trHeight w:val="288"/>
        </w:trPr>
        <w:tc>
          <w:tcPr>
            <w:tcW w:w="86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Consolidated Statements of Comprehensive Income</w:t>
            </w:r>
          </w:p>
        </w:tc>
        <w:tc>
          <w:tcPr>
            <w:tcW w:w="11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45</w:t>
            </w:r>
          </w:p>
        </w:tc>
      </w:tr>
      <w:tr>
        <w:trPr>
          <w:trHeight w:val="288"/>
        </w:trPr>
        <w:tc>
          <w:tcPr>
            <w:tcW w:w="86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Consolidated Statements of Stockholders’ Equity</w:t>
            </w:r>
          </w:p>
        </w:tc>
        <w:tc>
          <w:tcPr>
            <w:tcW w:w="11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46</w:t>
            </w:r>
          </w:p>
        </w:tc>
      </w:tr>
      <w:tr>
        <w:trPr>
          <w:trHeight w:val="288"/>
        </w:trPr>
        <w:tc>
          <w:tcPr>
            <w:tcW w:w="86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Consolidated Statements of Cash Flows</w:t>
            </w:r>
          </w:p>
        </w:tc>
        <w:tc>
          <w:tcPr>
            <w:tcW w:w="11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47</w:t>
            </w:r>
          </w:p>
        </w:tc>
      </w:tr>
      <w:tr>
        <w:trPr>
          <w:trHeight w:val="288"/>
        </w:trPr>
        <w:tc>
          <w:tcPr>
            <w:tcW w:w="86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Notes to the Consolidated Financial Statements</w:t>
            </w:r>
          </w:p>
        </w:tc>
        <w:tc>
          <w:tcPr>
            <w:tcW w:w="11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49</w:t>
            </w:r>
          </w:p>
        </w:tc>
      </w:tr>
      <w:tr>
        <w:trPr>
          <w:trHeight w:val="288"/>
        </w:trPr>
        <w:tc>
          <w:tcPr>
            <w:tcW w:w="86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Report of Independent Registered Public Accounting Firm (PCAOB ID 238)</w:t>
            </w:r>
          </w:p>
        </w:tc>
        <w:tc>
          <w:tcPr>
            <w:tcW w:w="11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75</w:t>
            </w:r>
          </w:p>
        </w:tc>
      </w:tr>
    </w:tbl>
    <w:p>
      <w:pPr>
        <w:jc w:val="center"/>
        <w:spacing w:after="0"/>
        <w:rPr>
          <w:sz w:val="20"/>
          <w:szCs w:val="20"/>
          <w:color w:val="auto"/>
        </w:rPr>
        <w:sectPr>
          <w:pgSz w:w="11880" w:h="15480" w:orient="portrait"/>
          <w:cols w:equalWidth="0" w:num="1">
            <w:col w:w="9840"/>
          </w:cols>
          <w:pgMar w:left="1000" w:top="889" w:right="1040" w:bottom="0" w:gutter="0" w:footer="0" w:header="0"/>
        </w:sect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254000</wp:posOffset>
            </wp:positionV>
            <wp:extent cx="76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0">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254000</wp:posOffset>
            </wp:positionV>
            <wp:extent cx="76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1">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40"/>
          </w:cols>
          <w:pgMar w:left="1000" w:top="889" w:right="1040" w:bottom="0"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t>DYCOM INDUSTRIES, INC.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880" w:type="dxa"/>
            <w:vAlign w:val="bottom"/>
          </w:tcPr>
          <w:p>
            <w:pPr>
              <w:spacing w:after="0"/>
              <w:rPr>
                <w:sz w:val="23"/>
                <w:szCs w:val="23"/>
                <w:color w:val="auto"/>
              </w:rPr>
            </w:pPr>
          </w:p>
        </w:tc>
        <w:tc>
          <w:tcPr>
            <w:tcW w:w="1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60" w:type="dxa"/>
            <w:vAlign w:val="bottom"/>
          </w:tcPr>
          <w:p>
            <w:pPr>
              <w:spacing w:after="0"/>
              <w:rPr>
                <w:sz w:val="23"/>
                <w:szCs w:val="23"/>
                <w:color w:val="auto"/>
              </w:rPr>
            </w:pPr>
          </w:p>
        </w:tc>
        <w:tc>
          <w:tcPr>
            <w:tcW w:w="15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9"/>
                <w:szCs w:val="19"/>
                <w:b w:val="1"/>
                <w:bCs w:val="1"/>
                <w:color w:val="auto"/>
              </w:rPr>
              <w:t>January 27, 2024</w:t>
            </w:r>
          </w:p>
        </w:tc>
        <w:tc>
          <w:tcPr>
            <w:tcW w:w="0" w:type="dxa"/>
            <w:vAlign w:val="bottom"/>
          </w:tcPr>
          <w:p>
            <w:pPr>
              <w:spacing w:after="0"/>
              <w:rPr>
                <w:sz w:val="1"/>
                <w:szCs w:val="1"/>
                <w:color w:val="auto"/>
              </w:rPr>
            </w:pPr>
          </w:p>
        </w:tc>
      </w:tr>
      <w:tr>
        <w:trPr>
          <w:trHeight w:val="242"/>
        </w:trPr>
        <w:tc>
          <w:tcPr>
            <w:tcW w:w="68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6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Current assets:</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88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Cash and equivalents</w:t>
            </w:r>
          </w:p>
        </w:tc>
        <w:tc>
          <w:tcPr>
            <w:tcW w:w="42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92,670</w:t>
            </w:r>
          </w:p>
        </w:tc>
        <w:tc>
          <w:tcPr>
            <w:tcW w:w="48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101,086</w:t>
            </w:r>
          </w:p>
        </w:tc>
        <w:tc>
          <w:tcPr>
            <w:tcW w:w="0" w:type="dxa"/>
            <w:vAlign w:val="bottom"/>
          </w:tcPr>
          <w:p>
            <w:pPr>
              <w:spacing w:after="0"/>
              <w:rPr>
                <w:sz w:val="1"/>
                <w:szCs w:val="1"/>
                <w:color w:val="auto"/>
              </w:rPr>
            </w:pPr>
          </w:p>
        </w:tc>
      </w:tr>
      <w:tr>
        <w:trPr>
          <w:trHeight w:val="282"/>
        </w:trPr>
        <w:tc>
          <w:tcPr>
            <w:tcW w:w="68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Accounts receivable, net (Note 6)</w:t>
            </w: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1,373,738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1,243,256</w:t>
            </w:r>
          </w:p>
        </w:tc>
        <w:tc>
          <w:tcPr>
            <w:tcW w:w="0" w:type="dxa"/>
            <w:vAlign w:val="bottom"/>
          </w:tcPr>
          <w:p>
            <w:pPr>
              <w:spacing w:after="0"/>
              <w:rPr>
                <w:sz w:val="1"/>
                <w:szCs w:val="1"/>
                <w:color w:val="auto"/>
              </w:rPr>
            </w:pPr>
          </w:p>
        </w:tc>
      </w:tr>
      <w:tr>
        <w:trPr>
          <w:trHeight w:val="294"/>
        </w:trPr>
        <w:tc>
          <w:tcPr>
            <w:tcW w:w="688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Contract assets</w:t>
            </w:r>
          </w:p>
        </w:tc>
        <w:tc>
          <w:tcPr>
            <w:tcW w:w="420" w:type="dxa"/>
            <w:vAlign w:val="bottom"/>
            <w:shd w:val="clear" w:color="auto" w:fill="D5D5D5"/>
          </w:tcPr>
          <w:p>
            <w:pPr>
              <w:spacing w:after="0"/>
              <w:rPr>
                <w:sz w:val="24"/>
                <w:szCs w:val="24"/>
                <w:color w:val="auto"/>
              </w:rPr>
            </w:pP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63,375</w:t>
            </w:r>
          </w:p>
        </w:tc>
        <w:tc>
          <w:tcPr>
            <w:tcW w:w="60" w:type="dxa"/>
            <w:vAlign w:val="bottom"/>
            <w:shd w:val="clear" w:color="auto" w:fill="D5D5D5"/>
          </w:tcPr>
          <w:p>
            <w:pPr>
              <w:spacing w:after="0"/>
              <w:rPr>
                <w:sz w:val="24"/>
                <w:szCs w:val="24"/>
                <w:color w:val="auto"/>
              </w:rPr>
            </w:pPr>
          </w:p>
        </w:tc>
        <w:tc>
          <w:tcPr>
            <w:tcW w:w="420" w:type="dxa"/>
            <w:vAlign w:val="bottom"/>
            <w:shd w:val="clear" w:color="auto" w:fill="D5D5D5"/>
          </w:tcPr>
          <w:p>
            <w:pPr>
              <w:spacing w:after="0"/>
              <w:rPr>
                <w:sz w:val="24"/>
                <w:szCs w:val="24"/>
                <w:color w:val="auto"/>
              </w:rPr>
            </w:pP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52,211</w:t>
            </w:r>
          </w:p>
        </w:tc>
        <w:tc>
          <w:tcPr>
            <w:tcW w:w="0" w:type="dxa"/>
            <w:vAlign w:val="bottom"/>
          </w:tcPr>
          <w:p>
            <w:pPr>
              <w:spacing w:after="0"/>
              <w:rPr>
                <w:sz w:val="1"/>
                <w:szCs w:val="1"/>
                <w:color w:val="auto"/>
              </w:rPr>
            </w:pPr>
          </w:p>
        </w:tc>
      </w:tr>
      <w:tr>
        <w:trPr>
          <w:trHeight w:val="282"/>
        </w:trPr>
        <w:tc>
          <w:tcPr>
            <w:tcW w:w="68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Inventories</w:t>
            </w: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127,255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108,565</w:t>
            </w:r>
          </w:p>
        </w:tc>
        <w:tc>
          <w:tcPr>
            <w:tcW w:w="0" w:type="dxa"/>
            <w:vAlign w:val="bottom"/>
          </w:tcPr>
          <w:p>
            <w:pPr>
              <w:spacing w:after="0"/>
              <w:rPr>
                <w:sz w:val="1"/>
                <w:szCs w:val="1"/>
                <w:color w:val="auto"/>
              </w:rPr>
            </w:pPr>
          </w:p>
        </w:tc>
      </w:tr>
      <w:tr>
        <w:trPr>
          <w:trHeight w:val="294"/>
        </w:trPr>
        <w:tc>
          <w:tcPr>
            <w:tcW w:w="688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Income tax receivable</w:t>
            </w:r>
          </w:p>
        </w:tc>
        <w:tc>
          <w:tcPr>
            <w:tcW w:w="420" w:type="dxa"/>
            <w:vAlign w:val="bottom"/>
            <w:shd w:val="clear" w:color="auto" w:fill="D5D5D5"/>
          </w:tcPr>
          <w:p>
            <w:pPr>
              <w:spacing w:after="0"/>
              <w:rPr>
                <w:sz w:val="24"/>
                <w:szCs w:val="24"/>
                <w:color w:val="auto"/>
              </w:rPr>
            </w:pP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2,963</w:t>
            </w:r>
          </w:p>
        </w:tc>
        <w:tc>
          <w:tcPr>
            <w:tcW w:w="60" w:type="dxa"/>
            <w:vAlign w:val="bottom"/>
            <w:shd w:val="clear" w:color="auto" w:fill="D5D5D5"/>
          </w:tcPr>
          <w:p>
            <w:pPr>
              <w:spacing w:after="0"/>
              <w:rPr>
                <w:sz w:val="24"/>
                <w:szCs w:val="24"/>
                <w:color w:val="auto"/>
              </w:rPr>
            </w:pPr>
          </w:p>
        </w:tc>
        <w:tc>
          <w:tcPr>
            <w:tcW w:w="420" w:type="dxa"/>
            <w:vAlign w:val="bottom"/>
            <w:shd w:val="clear" w:color="auto" w:fill="D5D5D5"/>
          </w:tcPr>
          <w:p>
            <w:pPr>
              <w:spacing w:after="0"/>
              <w:rPr>
                <w:sz w:val="24"/>
                <w:szCs w:val="24"/>
                <w:color w:val="auto"/>
              </w:rPr>
            </w:pP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2,665</w:t>
            </w:r>
          </w:p>
        </w:tc>
        <w:tc>
          <w:tcPr>
            <w:tcW w:w="0" w:type="dxa"/>
            <w:vAlign w:val="bottom"/>
          </w:tcPr>
          <w:p>
            <w:pPr>
              <w:spacing w:after="0"/>
              <w:rPr>
                <w:sz w:val="1"/>
                <w:szCs w:val="1"/>
                <w:color w:val="auto"/>
              </w:rPr>
            </w:pPr>
          </w:p>
        </w:tc>
      </w:tr>
      <w:tr>
        <w:trPr>
          <w:trHeight w:val="278"/>
        </w:trPr>
        <w:tc>
          <w:tcPr>
            <w:tcW w:w="6880" w:type="dxa"/>
            <w:vAlign w:val="bottom"/>
            <w:tcBorders>
              <w:bottom w:val="single" w:sz="8" w:color="D5D5D5"/>
            </w:tcBorders>
          </w:tcPr>
          <w:p>
            <w:pPr>
              <w:ind w:left="180"/>
              <w:spacing w:after="0"/>
              <w:rPr>
                <w:sz w:val="20"/>
                <w:szCs w:val="20"/>
                <w:color w:val="auto"/>
              </w:rPr>
            </w:pPr>
            <w:r>
              <w:rPr>
                <w:rFonts w:ascii="Times New Roman" w:cs="Times New Roman" w:eastAsia="Times New Roman" w:hAnsi="Times New Roman"/>
                <w:sz w:val="19"/>
                <w:szCs w:val="19"/>
                <w:color w:val="auto"/>
              </w:rPr>
              <w:t>Other current assets</w:t>
            </w: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34,629</w:t>
            </w:r>
          </w:p>
        </w:tc>
        <w:tc>
          <w:tcPr>
            <w:tcW w:w="60" w:type="dxa"/>
            <w:vAlign w:val="bottom"/>
            <w:tcBorders>
              <w:bottom w:val="single" w:sz="8" w:color="D5D5D5"/>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42,253</w:t>
            </w:r>
          </w:p>
        </w:tc>
        <w:tc>
          <w:tcPr>
            <w:tcW w:w="0" w:type="dxa"/>
            <w:vAlign w:val="bottom"/>
          </w:tcPr>
          <w:p>
            <w:pPr>
              <w:spacing w:after="0"/>
              <w:rPr>
                <w:sz w:val="1"/>
                <w:szCs w:val="1"/>
                <w:color w:val="auto"/>
              </w:rPr>
            </w:pPr>
          </w:p>
        </w:tc>
      </w:tr>
      <w:tr>
        <w:trPr>
          <w:trHeight w:val="278"/>
        </w:trPr>
        <w:tc>
          <w:tcPr>
            <w:tcW w:w="6880" w:type="dxa"/>
            <w:vAlign w:val="bottom"/>
            <w:shd w:val="clear" w:color="auto" w:fill="D5D5D5"/>
          </w:tcPr>
          <w:p>
            <w:pPr>
              <w:ind w:left="260"/>
              <w:spacing w:after="0"/>
              <w:rPr>
                <w:sz w:val="20"/>
                <w:szCs w:val="20"/>
                <w:color w:val="auto"/>
              </w:rPr>
            </w:pPr>
            <w:r>
              <w:rPr>
                <w:rFonts w:ascii="Times New Roman" w:cs="Times New Roman" w:eastAsia="Times New Roman" w:hAnsi="Times New Roman"/>
                <w:sz w:val="19"/>
                <w:szCs w:val="19"/>
                <w:color w:val="auto"/>
              </w:rPr>
              <w:t>Total current assets</w:t>
            </w:r>
          </w:p>
        </w:tc>
        <w:tc>
          <w:tcPr>
            <w:tcW w:w="420" w:type="dxa"/>
            <w:vAlign w:val="bottom"/>
            <w:shd w:val="clear" w:color="auto" w:fill="D5D5D5"/>
          </w:tcPr>
          <w:p>
            <w:pPr>
              <w:spacing w:after="0"/>
              <w:rPr>
                <w:sz w:val="24"/>
                <w:szCs w:val="24"/>
                <w:color w:val="auto"/>
              </w:rPr>
            </w:pP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1,694,630</w:t>
            </w:r>
          </w:p>
        </w:tc>
        <w:tc>
          <w:tcPr>
            <w:tcW w:w="60" w:type="dxa"/>
            <w:vAlign w:val="bottom"/>
            <w:shd w:val="clear" w:color="auto" w:fill="D5D5D5"/>
          </w:tcPr>
          <w:p>
            <w:pPr>
              <w:spacing w:after="0"/>
              <w:rPr>
                <w:sz w:val="24"/>
                <w:szCs w:val="24"/>
                <w:color w:val="auto"/>
              </w:rPr>
            </w:pPr>
          </w:p>
        </w:tc>
        <w:tc>
          <w:tcPr>
            <w:tcW w:w="420" w:type="dxa"/>
            <w:vAlign w:val="bottom"/>
            <w:shd w:val="clear" w:color="auto" w:fill="D5D5D5"/>
          </w:tcPr>
          <w:p>
            <w:pPr>
              <w:spacing w:after="0"/>
              <w:rPr>
                <w:sz w:val="24"/>
                <w:szCs w:val="24"/>
                <w:color w:val="auto"/>
              </w:rPr>
            </w:pP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1,550,036</w:t>
            </w:r>
          </w:p>
        </w:tc>
        <w:tc>
          <w:tcPr>
            <w:tcW w:w="0" w:type="dxa"/>
            <w:vAlign w:val="bottom"/>
          </w:tcPr>
          <w:p>
            <w:pPr>
              <w:spacing w:after="0"/>
              <w:rPr>
                <w:sz w:val="1"/>
                <w:szCs w:val="1"/>
                <w:color w:val="auto"/>
              </w:rPr>
            </w:pPr>
          </w:p>
        </w:tc>
      </w:tr>
      <w:tr>
        <w:trPr>
          <w:trHeight w:val="412"/>
        </w:trPr>
        <w:tc>
          <w:tcPr>
            <w:tcW w:w="6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Property and equipment, net</w:t>
            </w: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541,921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444,909</w:t>
            </w:r>
          </w:p>
        </w:tc>
        <w:tc>
          <w:tcPr>
            <w:tcW w:w="0" w:type="dxa"/>
            <w:vAlign w:val="bottom"/>
          </w:tcPr>
          <w:p>
            <w:pPr>
              <w:spacing w:after="0"/>
              <w:rPr>
                <w:sz w:val="1"/>
                <w:szCs w:val="1"/>
                <w:color w:val="auto"/>
              </w:rPr>
            </w:pPr>
          </w:p>
        </w:tc>
      </w:tr>
      <w:tr>
        <w:trPr>
          <w:trHeight w:val="294"/>
        </w:trPr>
        <w:tc>
          <w:tcPr>
            <w:tcW w:w="68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Operating lease right-of-use assets</w:t>
            </w:r>
          </w:p>
        </w:tc>
        <w:tc>
          <w:tcPr>
            <w:tcW w:w="420" w:type="dxa"/>
            <w:vAlign w:val="bottom"/>
            <w:shd w:val="clear" w:color="auto" w:fill="D5D5D5"/>
          </w:tcPr>
          <w:p>
            <w:pPr>
              <w:spacing w:after="0"/>
              <w:rPr>
                <w:sz w:val="24"/>
                <w:szCs w:val="24"/>
                <w:color w:val="auto"/>
              </w:rPr>
            </w:pP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112,151</w:t>
            </w:r>
          </w:p>
        </w:tc>
        <w:tc>
          <w:tcPr>
            <w:tcW w:w="60" w:type="dxa"/>
            <w:vAlign w:val="bottom"/>
            <w:shd w:val="clear" w:color="auto" w:fill="D5D5D5"/>
          </w:tcPr>
          <w:p>
            <w:pPr>
              <w:spacing w:after="0"/>
              <w:rPr>
                <w:sz w:val="24"/>
                <w:szCs w:val="24"/>
                <w:color w:val="auto"/>
              </w:rPr>
            </w:pPr>
          </w:p>
        </w:tc>
        <w:tc>
          <w:tcPr>
            <w:tcW w:w="420" w:type="dxa"/>
            <w:vAlign w:val="bottom"/>
            <w:shd w:val="clear" w:color="auto" w:fill="D5D5D5"/>
          </w:tcPr>
          <w:p>
            <w:pPr>
              <w:spacing w:after="0"/>
              <w:rPr>
                <w:sz w:val="24"/>
                <w:szCs w:val="24"/>
                <w:color w:val="auto"/>
              </w:rPr>
            </w:pP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76,348</w:t>
            </w:r>
          </w:p>
        </w:tc>
        <w:tc>
          <w:tcPr>
            <w:tcW w:w="0" w:type="dxa"/>
            <w:vAlign w:val="bottom"/>
          </w:tcPr>
          <w:p>
            <w:pPr>
              <w:spacing w:after="0"/>
              <w:rPr>
                <w:sz w:val="1"/>
                <w:szCs w:val="1"/>
                <w:color w:val="auto"/>
              </w:rPr>
            </w:pPr>
          </w:p>
        </w:tc>
      </w:tr>
      <w:tr>
        <w:trPr>
          <w:trHeight w:val="282"/>
        </w:trPr>
        <w:tc>
          <w:tcPr>
            <w:tcW w:w="6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Goodwill</w:t>
            </w: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330,330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311,991</w:t>
            </w:r>
          </w:p>
        </w:tc>
        <w:tc>
          <w:tcPr>
            <w:tcW w:w="0" w:type="dxa"/>
            <w:vAlign w:val="bottom"/>
          </w:tcPr>
          <w:p>
            <w:pPr>
              <w:spacing w:after="0"/>
              <w:rPr>
                <w:sz w:val="1"/>
                <w:szCs w:val="1"/>
                <w:color w:val="auto"/>
              </w:rPr>
            </w:pPr>
          </w:p>
        </w:tc>
      </w:tr>
      <w:tr>
        <w:trPr>
          <w:trHeight w:val="294"/>
        </w:trPr>
        <w:tc>
          <w:tcPr>
            <w:tcW w:w="68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Intangible assets, net</w:t>
            </w:r>
          </w:p>
        </w:tc>
        <w:tc>
          <w:tcPr>
            <w:tcW w:w="420" w:type="dxa"/>
            <w:vAlign w:val="bottom"/>
            <w:shd w:val="clear" w:color="auto" w:fill="D5D5D5"/>
          </w:tcPr>
          <w:p>
            <w:pPr>
              <w:spacing w:after="0"/>
              <w:rPr>
                <w:sz w:val="24"/>
                <w:szCs w:val="24"/>
                <w:color w:val="auto"/>
              </w:rPr>
            </w:pP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219,746</w:t>
            </w:r>
          </w:p>
        </w:tc>
        <w:tc>
          <w:tcPr>
            <w:tcW w:w="60" w:type="dxa"/>
            <w:vAlign w:val="bottom"/>
            <w:shd w:val="clear" w:color="auto" w:fill="D5D5D5"/>
          </w:tcPr>
          <w:p>
            <w:pPr>
              <w:spacing w:after="0"/>
              <w:rPr>
                <w:sz w:val="24"/>
                <w:szCs w:val="24"/>
                <w:color w:val="auto"/>
              </w:rPr>
            </w:pPr>
          </w:p>
        </w:tc>
        <w:tc>
          <w:tcPr>
            <w:tcW w:w="420" w:type="dxa"/>
            <w:vAlign w:val="bottom"/>
            <w:shd w:val="clear" w:color="auto" w:fill="D5D5D5"/>
          </w:tcPr>
          <w:p>
            <w:pPr>
              <w:spacing w:after="0"/>
              <w:rPr>
                <w:sz w:val="24"/>
                <w:szCs w:val="24"/>
                <w:color w:val="auto"/>
              </w:rPr>
            </w:pP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108,954</w:t>
            </w:r>
          </w:p>
        </w:tc>
        <w:tc>
          <w:tcPr>
            <w:tcW w:w="0" w:type="dxa"/>
            <w:vAlign w:val="bottom"/>
          </w:tcPr>
          <w:p>
            <w:pPr>
              <w:spacing w:after="0"/>
              <w:rPr>
                <w:sz w:val="1"/>
                <w:szCs w:val="1"/>
                <w:color w:val="auto"/>
              </w:rPr>
            </w:pPr>
          </w:p>
        </w:tc>
      </w:tr>
      <w:tr>
        <w:trPr>
          <w:trHeight w:val="278"/>
        </w:trPr>
        <w:tc>
          <w:tcPr>
            <w:tcW w:w="6880" w:type="dxa"/>
            <w:vAlign w:val="bottom"/>
            <w:tcBorders>
              <w:bottom w:val="single" w:sz="8" w:color="D5D5D5"/>
            </w:tcBorders>
          </w:tcPr>
          <w:p>
            <w:pPr>
              <w:ind w:left="60"/>
              <w:spacing w:after="0"/>
              <w:rPr>
                <w:sz w:val="20"/>
                <w:szCs w:val="20"/>
                <w:color w:val="auto"/>
              </w:rPr>
            </w:pPr>
            <w:r>
              <w:rPr>
                <w:rFonts w:ascii="Times New Roman" w:cs="Times New Roman" w:eastAsia="Times New Roman" w:hAnsi="Times New Roman"/>
                <w:sz w:val="19"/>
                <w:szCs w:val="19"/>
                <w:color w:val="auto"/>
              </w:rPr>
              <w:t>Other assets</w:t>
            </w: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46,589</w:t>
            </w:r>
          </w:p>
        </w:tc>
        <w:tc>
          <w:tcPr>
            <w:tcW w:w="60" w:type="dxa"/>
            <w:vAlign w:val="bottom"/>
            <w:tcBorders>
              <w:bottom w:val="single" w:sz="8" w:color="D5D5D5"/>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24,647</w:t>
            </w:r>
          </w:p>
        </w:tc>
        <w:tc>
          <w:tcPr>
            <w:tcW w:w="0" w:type="dxa"/>
            <w:vAlign w:val="bottom"/>
          </w:tcPr>
          <w:p>
            <w:pPr>
              <w:spacing w:after="0"/>
              <w:rPr>
                <w:sz w:val="1"/>
                <w:szCs w:val="1"/>
                <w:color w:val="auto"/>
              </w:rPr>
            </w:pPr>
          </w:p>
        </w:tc>
      </w:tr>
      <w:tr>
        <w:trPr>
          <w:trHeight w:val="287"/>
        </w:trPr>
        <w:tc>
          <w:tcPr>
            <w:tcW w:w="6880" w:type="dxa"/>
            <w:vAlign w:val="bottom"/>
            <w:shd w:val="clear" w:color="auto" w:fill="D5D5D5"/>
          </w:tcPr>
          <w:p>
            <w:pPr>
              <w:ind w:left="260"/>
              <w:spacing w:after="0"/>
              <w:rPr>
                <w:sz w:val="20"/>
                <w:szCs w:val="20"/>
                <w:color w:val="auto"/>
              </w:rPr>
            </w:pPr>
            <w:r>
              <w:rPr>
                <w:rFonts w:ascii="Times New Roman" w:cs="Times New Roman" w:eastAsia="Times New Roman" w:hAnsi="Times New Roman"/>
                <w:sz w:val="19"/>
                <w:szCs w:val="19"/>
                <w:color w:val="auto"/>
              </w:rPr>
              <w:t>Total assets</w:t>
            </w:r>
          </w:p>
        </w:tc>
        <w:tc>
          <w:tcPr>
            <w:tcW w:w="42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2,945,367</w:t>
            </w:r>
          </w:p>
        </w:tc>
        <w:tc>
          <w:tcPr>
            <w:tcW w:w="48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2,516,885</w:t>
            </w:r>
          </w:p>
        </w:tc>
        <w:tc>
          <w:tcPr>
            <w:tcW w:w="0" w:type="dxa"/>
            <w:vAlign w:val="bottom"/>
          </w:tcPr>
          <w:p>
            <w:pPr>
              <w:spacing w:after="0"/>
              <w:rPr>
                <w:sz w:val="1"/>
                <w:szCs w:val="1"/>
                <w:color w:val="auto"/>
              </w:rPr>
            </w:pPr>
          </w:p>
        </w:tc>
      </w:tr>
      <w:tr>
        <w:trPr>
          <w:trHeight w:val="247"/>
        </w:trPr>
        <w:tc>
          <w:tcPr>
            <w:tcW w:w="6880" w:type="dxa"/>
            <w:vAlign w:val="bottom"/>
            <w:tcBorders>
              <w:top w:val="single" w:sz="8" w:color="D5D5D5"/>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LIABILITIES AND STOCKHOLDERS’ EQUITY</w:t>
            </w:r>
          </w:p>
        </w:tc>
        <w:tc>
          <w:tcPr>
            <w:tcW w:w="4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60" w:type="dxa"/>
            <w:vAlign w:val="bottom"/>
            <w:tcBorders>
              <w:top w:val="single" w:sz="8" w:color="D5D5D5"/>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6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Current liabilities:</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88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Accounts payable</w:t>
            </w:r>
          </w:p>
        </w:tc>
        <w:tc>
          <w:tcPr>
            <w:tcW w:w="42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223,490</w:t>
            </w:r>
          </w:p>
        </w:tc>
        <w:tc>
          <w:tcPr>
            <w:tcW w:w="48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222,121</w:t>
            </w:r>
          </w:p>
        </w:tc>
        <w:tc>
          <w:tcPr>
            <w:tcW w:w="0" w:type="dxa"/>
            <w:vAlign w:val="bottom"/>
          </w:tcPr>
          <w:p>
            <w:pPr>
              <w:spacing w:after="0"/>
              <w:rPr>
                <w:sz w:val="1"/>
                <w:szCs w:val="1"/>
                <w:color w:val="auto"/>
              </w:rPr>
            </w:pPr>
          </w:p>
        </w:tc>
      </w:tr>
      <w:tr>
        <w:trPr>
          <w:trHeight w:val="282"/>
        </w:trPr>
        <w:tc>
          <w:tcPr>
            <w:tcW w:w="68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Current portion of debt</w:t>
            </w: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17,500</w:t>
            </w:r>
          </w:p>
        </w:tc>
        <w:tc>
          <w:tcPr>
            <w:tcW w:w="0" w:type="dxa"/>
            <w:vAlign w:val="bottom"/>
          </w:tcPr>
          <w:p>
            <w:pPr>
              <w:spacing w:after="0"/>
              <w:rPr>
                <w:sz w:val="1"/>
                <w:szCs w:val="1"/>
                <w:color w:val="auto"/>
              </w:rPr>
            </w:pPr>
          </w:p>
        </w:tc>
      </w:tr>
      <w:tr>
        <w:trPr>
          <w:trHeight w:val="294"/>
        </w:trPr>
        <w:tc>
          <w:tcPr>
            <w:tcW w:w="688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Contract liabilities</w:t>
            </w:r>
          </w:p>
        </w:tc>
        <w:tc>
          <w:tcPr>
            <w:tcW w:w="420" w:type="dxa"/>
            <w:vAlign w:val="bottom"/>
            <w:shd w:val="clear" w:color="auto" w:fill="D5D5D5"/>
          </w:tcPr>
          <w:p>
            <w:pPr>
              <w:spacing w:after="0"/>
              <w:rPr>
                <w:sz w:val="24"/>
                <w:szCs w:val="24"/>
                <w:color w:val="auto"/>
              </w:rPr>
            </w:pP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73,548</w:t>
            </w:r>
          </w:p>
        </w:tc>
        <w:tc>
          <w:tcPr>
            <w:tcW w:w="60" w:type="dxa"/>
            <w:vAlign w:val="bottom"/>
            <w:shd w:val="clear" w:color="auto" w:fill="D5D5D5"/>
          </w:tcPr>
          <w:p>
            <w:pPr>
              <w:spacing w:after="0"/>
              <w:rPr>
                <w:sz w:val="24"/>
                <w:szCs w:val="24"/>
                <w:color w:val="auto"/>
              </w:rPr>
            </w:pPr>
          </w:p>
        </w:tc>
        <w:tc>
          <w:tcPr>
            <w:tcW w:w="420" w:type="dxa"/>
            <w:vAlign w:val="bottom"/>
            <w:shd w:val="clear" w:color="auto" w:fill="D5D5D5"/>
          </w:tcPr>
          <w:p>
            <w:pPr>
              <w:spacing w:after="0"/>
              <w:rPr>
                <w:sz w:val="24"/>
                <w:szCs w:val="24"/>
                <w:color w:val="auto"/>
              </w:rPr>
            </w:pP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39,122</w:t>
            </w:r>
          </w:p>
        </w:tc>
        <w:tc>
          <w:tcPr>
            <w:tcW w:w="0" w:type="dxa"/>
            <w:vAlign w:val="bottom"/>
          </w:tcPr>
          <w:p>
            <w:pPr>
              <w:spacing w:after="0"/>
              <w:rPr>
                <w:sz w:val="1"/>
                <w:szCs w:val="1"/>
                <w:color w:val="auto"/>
              </w:rPr>
            </w:pPr>
          </w:p>
        </w:tc>
      </w:tr>
      <w:tr>
        <w:trPr>
          <w:trHeight w:val="282"/>
        </w:trPr>
        <w:tc>
          <w:tcPr>
            <w:tcW w:w="68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Accrued insurance claims</w:t>
            </w: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46,686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44,466</w:t>
            </w:r>
          </w:p>
        </w:tc>
        <w:tc>
          <w:tcPr>
            <w:tcW w:w="0" w:type="dxa"/>
            <w:vAlign w:val="bottom"/>
          </w:tcPr>
          <w:p>
            <w:pPr>
              <w:spacing w:after="0"/>
              <w:rPr>
                <w:sz w:val="1"/>
                <w:szCs w:val="1"/>
                <w:color w:val="auto"/>
              </w:rPr>
            </w:pPr>
          </w:p>
        </w:tc>
      </w:tr>
      <w:tr>
        <w:trPr>
          <w:trHeight w:val="294"/>
        </w:trPr>
        <w:tc>
          <w:tcPr>
            <w:tcW w:w="688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Operating lease liabilities</w:t>
            </w:r>
          </w:p>
        </w:tc>
        <w:tc>
          <w:tcPr>
            <w:tcW w:w="420" w:type="dxa"/>
            <w:vAlign w:val="bottom"/>
            <w:shd w:val="clear" w:color="auto" w:fill="D5D5D5"/>
          </w:tcPr>
          <w:p>
            <w:pPr>
              <w:spacing w:after="0"/>
              <w:rPr>
                <w:sz w:val="24"/>
                <w:szCs w:val="24"/>
                <w:color w:val="auto"/>
              </w:rPr>
            </w:pP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35,823</w:t>
            </w:r>
          </w:p>
        </w:tc>
        <w:tc>
          <w:tcPr>
            <w:tcW w:w="60" w:type="dxa"/>
            <w:vAlign w:val="bottom"/>
            <w:shd w:val="clear" w:color="auto" w:fill="D5D5D5"/>
          </w:tcPr>
          <w:p>
            <w:pPr>
              <w:spacing w:after="0"/>
              <w:rPr>
                <w:sz w:val="24"/>
                <w:szCs w:val="24"/>
                <w:color w:val="auto"/>
              </w:rPr>
            </w:pPr>
          </w:p>
        </w:tc>
        <w:tc>
          <w:tcPr>
            <w:tcW w:w="420" w:type="dxa"/>
            <w:vAlign w:val="bottom"/>
            <w:shd w:val="clear" w:color="auto" w:fill="D5D5D5"/>
          </w:tcPr>
          <w:p>
            <w:pPr>
              <w:spacing w:after="0"/>
              <w:rPr>
                <w:sz w:val="24"/>
                <w:szCs w:val="24"/>
                <w:color w:val="auto"/>
              </w:rPr>
            </w:pP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32,015</w:t>
            </w:r>
          </w:p>
        </w:tc>
        <w:tc>
          <w:tcPr>
            <w:tcW w:w="0" w:type="dxa"/>
            <w:vAlign w:val="bottom"/>
          </w:tcPr>
          <w:p>
            <w:pPr>
              <w:spacing w:after="0"/>
              <w:rPr>
                <w:sz w:val="1"/>
                <w:szCs w:val="1"/>
                <w:color w:val="auto"/>
              </w:rPr>
            </w:pPr>
          </w:p>
        </w:tc>
      </w:tr>
      <w:tr>
        <w:trPr>
          <w:trHeight w:val="282"/>
        </w:trPr>
        <w:tc>
          <w:tcPr>
            <w:tcW w:w="68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Income taxes payable</w:t>
            </w: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30,636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3,861</w:t>
            </w:r>
          </w:p>
        </w:tc>
        <w:tc>
          <w:tcPr>
            <w:tcW w:w="0" w:type="dxa"/>
            <w:vAlign w:val="bottom"/>
          </w:tcPr>
          <w:p>
            <w:pPr>
              <w:spacing w:after="0"/>
              <w:rPr>
                <w:sz w:val="1"/>
                <w:szCs w:val="1"/>
                <w:color w:val="auto"/>
              </w:rPr>
            </w:pPr>
          </w:p>
        </w:tc>
      </w:tr>
      <w:tr>
        <w:trPr>
          <w:trHeight w:val="284"/>
        </w:trPr>
        <w:tc>
          <w:tcPr>
            <w:tcW w:w="6880" w:type="dxa"/>
            <w:vAlign w:val="bottom"/>
            <w:tcBorders>
              <w:bottom w:val="single" w:sz="8" w:color="D5D5D5"/>
            </w:tcBorders>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Other accrued liabilities</w:t>
            </w:r>
          </w:p>
        </w:tc>
        <w:tc>
          <w:tcPr>
            <w:tcW w:w="420" w:type="dxa"/>
            <w:vAlign w:val="bottom"/>
            <w:tcBorders>
              <w:bottom w:val="single" w:sz="8" w:color="auto"/>
            </w:tcBorders>
            <w:shd w:val="clear" w:color="auto" w:fill="D5D5D5"/>
          </w:tcPr>
          <w:p>
            <w:pPr>
              <w:spacing w:after="0"/>
              <w:rPr>
                <w:sz w:val="24"/>
                <w:szCs w:val="24"/>
                <w:color w:val="auto"/>
              </w:rPr>
            </w:pPr>
          </w:p>
        </w:tc>
        <w:tc>
          <w:tcPr>
            <w:tcW w:w="11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166,970</w:t>
            </w:r>
          </w:p>
        </w:tc>
        <w:tc>
          <w:tcPr>
            <w:tcW w:w="60" w:type="dxa"/>
            <w:vAlign w:val="bottom"/>
            <w:tcBorders>
              <w:bottom w:val="single" w:sz="8" w:color="D5D5D5"/>
            </w:tcBorders>
            <w:shd w:val="clear" w:color="auto" w:fill="D5D5D5"/>
          </w:tcPr>
          <w:p>
            <w:pPr>
              <w:spacing w:after="0"/>
              <w:rPr>
                <w:sz w:val="24"/>
                <w:szCs w:val="24"/>
                <w:color w:val="auto"/>
              </w:rPr>
            </w:pPr>
          </w:p>
        </w:tc>
        <w:tc>
          <w:tcPr>
            <w:tcW w:w="420" w:type="dxa"/>
            <w:vAlign w:val="bottom"/>
            <w:tcBorders>
              <w:bottom w:val="single" w:sz="8" w:color="auto"/>
            </w:tcBorders>
            <w:shd w:val="clear" w:color="auto" w:fill="D5D5D5"/>
          </w:tcPr>
          <w:p>
            <w:pPr>
              <w:spacing w:after="0"/>
              <w:rPr>
                <w:sz w:val="24"/>
                <w:szCs w:val="24"/>
                <w:color w:val="auto"/>
              </w:rPr>
            </w:pPr>
          </w:p>
        </w:tc>
        <w:tc>
          <w:tcPr>
            <w:tcW w:w="11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147,219</w:t>
            </w:r>
          </w:p>
        </w:tc>
        <w:tc>
          <w:tcPr>
            <w:tcW w:w="0" w:type="dxa"/>
            <w:vAlign w:val="bottom"/>
          </w:tcPr>
          <w:p>
            <w:pPr>
              <w:spacing w:after="0"/>
              <w:rPr>
                <w:sz w:val="1"/>
                <w:szCs w:val="1"/>
                <w:color w:val="auto"/>
              </w:rPr>
            </w:pPr>
          </w:p>
        </w:tc>
      </w:tr>
      <w:tr>
        <w:trPr>
          <w:trHeight w:val="272"/>
        </w:trPr>
        <w:tc>
          <w:tcPr>
            <w:tcW w:w="68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Total current liabilities</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587,153</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506,304</w:t>
            </w:r>
          </w:p>
        </w:tc>
        <w:tc>
          <w:tcPr>
            <w:tcW w:w="0" w:type="dxa"/>
            <w:vAlign w:val="bottom"/>
          </w:tcPr>
          <w:p>
            <w:pPr>
              <w:spacing w:after="0"/>
              <w:rPr>
                <w:sz w:val="1"/>
                <w:szCs w:val="1"/>
                <w:color w:val="auto"/>
              </w:rPr>
            </w:pPr>
          </w:p>
        </w:tc>
      </w:tr>
      <w:tr>
        <w:trPr>
          <w:trHeight w:val="294"/>
        </w:trPr>
        <w:tc>
          <w:tcPr>
            <w:tcW w:w="68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Long-term debt</w:t>
            </w:r>
          </w:p>
        </w:tc>
        <w:tc>
          <w:tcPr>
            <w:tcW w:w="420" w:type="dxa"/>
            <w:vAlign w:val="bottom"/>
            <w:shd w:val="clear" w:color="auto" w:fill="D5D5D5"/>
          </w:tcPr>
          <w:p>
            <w:pPr>
              <w:spacing w:after="0"/>
              <w:rPr>
                <w:sz w:val="24"/>
                <w:szCs w:val="24"/>
                <w:color w:val="auto"/>
              </w:rPr>
            </w:pP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933,212</w:t>
            </w:r>
          </w:p>
        </w:tc>
        <w:tc>
          <w:tcPr>
            <w:tcW w:w="60" w:type="dxa"/>
            <w:vAlign w:val="bottom"/>
            <w:shd w:val="clear" w:color="auto" w:fill="D5D5D5"/>
          </w:tcPr>
          <w:p>
            <w:pPr>
              <w:spacing w:after="0"/>
              <w:rPr>
                <w:sz w:val="24"/>
                <w:szCs w:val="24"/>
                <w:color w:val="auto"/>
              </w:rPr>
            </w:pPr>
          </w:p>
        </w:tc>
        <w:tc>
          <w:tcPr>
            <w:tcW w:w="420" w:type="dxa"/>
            <w:vAlign w:val="bottom"/>
            <w:shd w:val="clear" w:color="auto" w:fill="D5D5D5"/>
          </w:tcPr>
          <w:p>
            <w:pPr>
              <w:spacing w:after="0"/>
              <w:rPr>
                <w:sz w:val="24"/>
                <w:szCs w:val="24"/>
                <w:color w:val="auto"/>
              </w:rPr>
            </w:pP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791,415</w:t>
            </w:r>
          </w:p>
        </w:tc>
        <w:tc>
          <w:tcPr>
            <w:tcW w:w="0" w:type="dxa"/>
            <w:vAlign w:val="bottom"/>
          </w:tcPr>
          <w:p>
            <w:pPr>
              <w:spacing w:after="0"/>
              <w:rPr>
                <w:sz w:val="1"/>
                <w:szCs w:val="1"/>
                <w:color w:val="auto"/>
              </w:rPr>
            </w:pPr>
          </w:p>
        </w:tc>
      </w:tr>
      <w:tr>
        <w:trPr>
          <w:trHeight w:val="282"/>
        </w:trPr>
        <w:tc>
          <w:tcPr>
            <w:tcW w:w="6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Accrued insurance claims - non-current</w:t>
            </w: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49,836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49,447</w:t>
            </w:r>
          </w:p>
        </w:tc>
        <w:tc>
          <w:tcPr>
            <w:tcW w:w="0" w:type="dxa"/>
            <w:vAlign w:val="bottom"/>
          </w:tcPr>
          <w:p>
            <w:pPr>
              <w:spacing w:after="0"/>
              <w:rPr>
                <w:sz w:val="1"/>
                <w:szCs w:val="1"/>
                <w:color w:val="auto"/>
              </w:rPr>
            </w:pPr>
          </w:p>
        </w:tc>
      </w:tr>
      <w:tr>
        <w:trPr>
          <w:trHeight w:val="294"/>
        </w:trPr>
        <w:tc>
          <w:tcPr>
            <w:tcW w:w="68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Operating lease liabilities - non-current</w:t>
            </w:r>
          </w:p>
        </w:tc>
        <w:tc>
          <w:tcPr>
            <w:tcW w:w="420" w:type="dxa"/>
            <w:vAlign w:val="bottom"/>
            <w:shd w:val="clear" w:color="auto" w:fill="D5D5D5"/>
          </w:tcPr>
          <w:p>
            <w:pPr>
              <w:spacing w:after="0"/>
              <w:rPr>
                <w:sz w:val="24"/>
                <w:szCs w:val="24"/>
                <w:color w:val="auto"/>
              </w:rPr>
            </w:pP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76,928</w:t>
            </w:r>
          </w:p>
        </w:tc>
        <w:tc>
          <w:tcPr>
            <w:tcW w:w="60" w:type="dxa"/>
            <w:vAlign w:val="bottom"/>
            <w:shd w:val="clear" w:color="auto" w:fill="D5D5D5"/>
          </w:tcPr>
          <w:p>
            <w:pPr>
              <w:spacing w:after="0"/>
              <w:rPr>
                <w:sz w:val="24"/>
                <w:szCs w:val="24"/>
                <w:color w:val="auto"/>
              </w:rPr>
            </w:pPr>
          </w:p>
        </w:tc>
        <w:tc>
          <w:tcPr>
            <w:tcW w:w="420" w:type="dxa"/>
            <w:vAlign w:val="bottom"/>
            <w:shd w:val="clear" w:color="auto" w:fill="D5D5D5"/>
          </w:tcPr>
          <w:p>
            <w:pPr>
              <w:spacing w:after="0"/>
              <w:rPr>
                <w:sz w:val="24"/>
                <w:szCs w:val="24"/>
                <w:color w:val="auto"/>
              </w:rPr>
            </w:pP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44,110</w:t>
            </w:r>
          </w:p>
        </w:tc>
        <w:tc>
          <w:tcPr>
            <w:tcW w:w="0" w:type="dxa"/>
            <w:vAlign w:val="bottom"/>
          </w:tcPr>
          <w:p>
            <w:pPr>
              <w:spacing w:after="0"/>
              <w:rPr>
                <w:sz w:val="1"/>
                <w:szCs w:val="1"/>
                <w:color w:val="auto"/>
              </w:rPr>
            </w:pPr>
          </w:p>
        </w:tc>
      </w:tr>
      <w:tr>
        <w:trPr>
          <w:trHeight w:val="282"/>
        </w:trPr>
        <w:tc>
          <w:tcPr>
            <w:tcW w:w="6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Deferred tax liabilities, net - non-current</w:t>
            </w: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32,172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49,562</w:t>
            </w:r>
          </w:p>
        </w:tc>
        <w:tc>
          <w:tcPr>
            <w:tcW w:w="0" w:type="dxa"/>
            <w:vAlign w:val="bottom"/>
          </w:tcPr>
          <w:p>
            <w:pPr>
              <w:spacing w:after="0"/>
              <w:rPr>
                <w:sz w:val="1"/>
                <w:szCs w:val="1"/>
                <w:color w:val="auto"/>
              </w:rPr>
            </w:pPr>
          </w:p>
        </w:tc>
      </w:tr>
      <w:tr>
        <w:trPr>
          <w:trHeight w:val="284"/>
        </w:trPr>
        <w:tc>
          <w:tcPr>
            <w:tcW w:w="6880" w:type="dxa"/>
            <w:vAlign w:val="bottom"/>
            <w:tcBorders>
              <w:bottom w:val="single" w:sz="8" w:color="D5D5D5"/>
            </w:tcBorders>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Other liabilities</w:t>
            </w:r>
          </w:p>
        </w:tc>
        <w:tc>
          <w:tcPr>
            <w:tcW w:w="420" w:type="dxa"/>
            <w:vAlign w:val="bottom"/>
            <w:tcBorders>
              <w:bottom w:val="single" w:sz="8" w:color="auto"/>
            </w:tcBorders>
            <w:shd w:val="clear" w:color="auto" w:fill="D5D5D5"/>
          </w:tcPr>
          <w:p>
            <w:pPr>
              <w:spacing w:after="0"/>
              <w:rPr>
                <w:sz w:val="24"/>
                <w:szCs w:val="24"/>
                <w:color w:val="auto"/>
              </w:rPr>
            </w:pPr>
          </w:p>
        </w:tc>
        <w:tc>
          <w:tcPr>
            <w:tcW w:w="11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26,969</w:t>
            </w:r>
          </w:p>
        </w:tc>
        <w:tc>
          <w:tcPr>
            <w:tcW w:w="60" w:type="dxa"/>
            <w:vAlign w:val="bottom"/>
            <w:tcBorders>
              <w:bottom w:val="single" w:sz="8" w:color="D5D5D5"/>
            </w:tcBorders>
            <w:shd w:val="clear" w:color="auto" w:fill="D5D5D5"/>
          </w:tcPr>
          <w:p>
            <w:pPr>
              <w:spacing w:after="0"/>
              <w:rPr>
                <w:sz w:val="24"/>
                <w:szCs w:val="24"/>
                <w:color w:val="auto"/>
              </w:rPr>
            </w:pPr>
          </w:p>
        </w:tc>
        <w:tc>
          <w:tcPr>
            <w:tcW w:w="420" w:type="dxa"/>
            <w:vAlign w:val="bottom"/>
            <w:tcBorders>
              <w:bottom w:val="single" w:sz="8" w:color="auto"/>
            </w:tcBorders>
            <w:shd w:val="clear" w:color="auto" w:fill="D5D5D5"/>
          </w:tcPr>
          <w:p>
            <w:pPr>
              <w:spacing w:after="0"/>
              <w:rPr>
                <w:sz w:val="24"/>
                <w:szCs w:val="24"/>
                <w:color w:val="auto"/>
              </w:rPr>
            </w:pPr>
          </w:p>
        </w:tc>
        <w:tc>
          <w:tcPr>
            <w:tcW w:w="11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21,391</w:t>
            </w:r>
          </w:p>
        </w:tc>
        <w:tc>
          <w:tcPr>
            <w:tcW w:w="0" w:type="dxa"/>
            <w:vAlign w:val="bottom"/>
          </w:tcPr>
          <w:p>
            <w:pPr>
              <w:spacing w:after="0"/>
              <w:rPr>
                <w:sz w:val="1"/>
                <w:szCs w:val="1"/>
                <w:color w:val="auto"/>
              </w:rPr>
            </w:pPr>
          </w:p>
        </w:tc>
      </w:tr>
      <w:tr>
        <w:trPr>
          <w:trHeight w:val="268"/>
        </w:trPr>
        <w:tc>
          <w:tcPr>
            <w:tcW w:w="68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Total liabilities</w:t>
            </w: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1,706,270</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1,462,229</w:t>
            </w:r>
          </w:p>
        </w:tc>
        <w:tc>
          <w:tcPr>
            <w:tcW w:w="0" w:type="dxa"/>
            <w:vAlign w:val="bottom"/>
          </w:tcPr>
          <w:p>
            <w:pPr>
              <w:spacing w:after="0"/>
              <w:rPr>
                <w:sz w:val="1"/>
                <w:szCs w:val="1"/>
                <w:color w:val="auto"/>
              </w:rPr>
            </w:pPr>
          </w:p>
        </w:tc>
      </w:tr>
      <w:tr>
        <w:trPr>
          <w:trHeight w:val="266"/>
        </w:trPr>
        <w:tc>
          <w:tcPr>
            <w:tcW w:w="6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COMMITMENTS AND CONTINGENCIES (Note 22)</w:t>
            </w: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6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Stockholders’ equity:</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880" w:type="dxa"/>
            <w:vAlign w:val="bottom"/>
            <w:shd w:val="clear" w:color="auto" w:fill="D5D5D5"/>
          </w:tcPr>
          <w:p>
            <w:pPr>
              <w:ind w:left="100"/>
              <w:spacing w:after="0"/>
              <w:rPr>
                <w:sz w:val="20"/>
                <w:szCs w:val="20"/>
                <w:color w:val="auto"/>
              </w:rPr>
            </w:pPr>
            <w:r>
              <w:rPr>
                <w:rFonts w:ascii="Times New Roman" w:cs="Times New Roman" w:eastAsia="Times New Roman" w:hAnsi="Times New Roman"/>
                <w:sz w:val="19"/>
                <w:szCs w:val="19"/>
                <w:color w:val="auto"/>
              </w:rPr>
              <w:t>Preferred stock, par value $1.00 per share: 1,000,000 shares authorized: no shares</w:t>
            </w:r>
          </w:p>
        </w:tc>
        <w:tc>
          <w:tcPr>
            <w:tcW w:w="420" w:type="dxa"/>
            <w:vAlign w:val="bottom"/>
            <w:shd w:val="clear" w:color="auto" w:fill="D5D5D5"/>
          </w:tcPr>
          <w:p>
            <w:pPr>
              <w:spacing w:after="0"/>
              <w:rPr>
                <w:sz w:val="19"/>
                <w:szCs w:val="19"/>
                <w:color w:val="auto"/>
              </w:rPr>
            </w:pPr>
          </w:p>
        </w:tc>
        <w:tc>
          <w:tcPr>
            <w:tcW w:w="1120" w:type="dxa"/>
            <w:vAlign w:val="bottom"/>
            <w:vMerge w:val="restart"/>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D5D5D5"/>
          </w:tcPr>
          <w:p>
            <w:pPr>
              <w:spacing w:after="0"/>
              <w:rPr>
                <w:sz w:val="19"/>
                <w:szCs w:val="19"/>
                <w:color w:val="auto"/>
              </w:rPr>
            </w:pPr>
          </w:p>
        </w:tc>
        <w:tc>
          <w:tcPr>
            <w:tcW w:w="420" w:type="dxa"/>
            <w:vAlign w:val="bottom"/>
            <w:shd w:val="clear" w:color="auto" w:fill="D5D5D5"/>
          </w:tcPr>
          <w:p>
            <w:pPr>
              <w:spacing w:after="0"/>
              <w:rPr>
                <w:sz w:val="19"/>
                <w:szCs w:val="19"/>
                <w:color w:val="auto"/>
              </w:rPr>
            </w:pPr>
          </w:p>
        </w:tc>
        <w:tc>
          <w:tcPr>
            <w:tcW w:w="1120" w:type="dxa"/>
            <w:vAlign w:val="bottom"/>
            <w:vMerge w:val="restart"/>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62"/>
        </w:trPr>
        <w:tc>
          <w:tcPr>
            <w:tcW w:w="68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issued and outstanding</w:t>
            </w:r>
          </w:p>
        </w:tc>
        <w:tc>
          <w:tcPr>
            <w:tcW w:w="420" w:type="dxa"/>
            <w:vAlign w:val="bottom"/>
            <w:shd w:val="clear" w:color="auto" w:fill="D5D5D5"/>
          </w:tcPr>
          <w:p>
            <w:pPr>
              <w:spacing w:after="0"/>
              <w:rPr>
                <w:sz w:val="22"/>
                <w:szCs w:val="22"/>
                <w:color w:val="auto"/>
              </w:rPr>
            </w:pPr>
          </w:p>
        </w:tc>
        <w:tc>
          <w:tcPr>
            <w:tcW w:w="1120" w:type="dxa"/>
            <w:vAlign w:val="bottom"/>
            <w:vMerge w:val="continue"/>
            <w:shd w:val="clear" w:color="auto" w:fill="D5D5D5"/>
          </w:tcPr>
          <w:p>
            <w:pPr>
              <w:spacing w:after="0"/>
              <w:rPr>
                <w:sz w:val="22"/>
                <w:szCs w:val="22"/>
                <w:color w:val="auto"/>
              </w:rPr>
            </w:pPr>
          </w:p>
        </w:tc>
        <w:tc>
          <w:tcPr>
            <w:tcW w:w="60" w:type="dxa"/>
            <w:vAlign w:val="bottom"/>
            <w:shd w:val="clear" w:color="auto" w:fill="D5D5D5"/>
          </w:tcPr>
          <w:p>
            <w:pPr>
              <w:spacing w:after="0"/>
              <w:rPr>
                <w:sz w:val="22"/>
                <w:szCs w:val="22"/>
                <w:color w:val="auto"/>
              </w:rPr>
            </w:pPr>
          </w:p>
        </w:tc>
        <w:tc>
          <w:tcPr>
            <w:tcW w:w="420" w:type="dxa"/>
            <w:vAlign w:val="bottom"/>
            <w:shd w:val="clear" w:color="auto" w:fill="D5D5D5"/>
          </w:tcPr>
          <w:p>
            <w:pPr>
              <w:spacing w:after="0"/>
              <w:rPr>
                <w:sz w:val="22"/>
                <w:szCs w:val="22"/>
                <w:color w:val="auto"/>
              </w:rPr>
            </w:pPr>
          </w:p>
        </w:tc>
        <w:tc>
          <w:tcPr>
            <w:tcW w:w="1120" w:type="dxa"/>
            <w:vAlign w:val="bottom"/>
            <w:vMerge w:val="continue"/>
            <w:shd w:val="clear" w:color="auto" w:fill="D5D5D5"/>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6880" w:type="dxa"/>
            <w:vAlign w:val="bottom"/>
          </w:tcPr>
          <w:p>
            <w:pPr>
              <w:ind w:left="100"/>
              <w:spacing w:after="0" w:line="214" w:lineRule="exact"/>
              <w:rPr>
                <w:sz w:val="20"/>
                <w:szCs w:val="20"/>
                <w:color w:val="auto"/>
              </w:rPr>
            </w:pPr>
            <w:r>
              <w:rPr>
                <w:rFonts w:ascii="Times New Roman" w:cs="Times New Roman" w:eastAsia="Times New Roman" w:hAnsi="Times New Roman"/>
                <w:sz w:val="19"/>
                <w:szCs w:val="19"/>
                <w:color w:val="auto"/>
              </w:rPr>
              <w:t>Common stock, par value $0.33 1/3 per share: 150,000,000 shares authorized:</w:t>
            </w:r>
          </w:p>
        </w:tc>
        <w:tc>
          <w:tcPr>
            <w:tcW w:w="42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9,659</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9,697</w:t>
            </w:r>
          </w:p>
        </w:tc>
        <w:tc>
          <w:tcPr>
            <w:tcW w:w="0" w:type="dxa"/>
            <w:vAlign w:val="bottom"/>
          </w:tcPr>
          <w:p>
            <w:pPr>
              <w:spacing w:after="0"/>
              <w:rPr>
                <w:sz w:val="1"/>
                <w:szCs w:val="1"/>
                <w:color w:val="auto"/>
              </w:rPr>
            </w:pPr>
          </w:p>
        </w:tc>
      </w:tr>
      <w:tr>
        <w:trPr>
          <w:trHeight w:val="257"/>
        </w:trPr>
        <w:tc>
          <w:tcPr>
            <w:tcW w:w="6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28,978,949 and 29,091,278 issued and outstanding, respectively</w:t>
            </w:r>
          </w:p>
        </w:tc>
        <w:tc>
          <w:tcPr>
            <w:tcW w:w="42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68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Additional paid-in capital</w:t>
            </w:r>
          </w:p>
        </w:tc>
        <w:tc>
          <w:tcPr>
            <w:tcW w:w="420" w:type="dxa"/>
            <w:vAlign w:val="bottom"/>
            <w:shd w:val="clear" w:color="auto" w:fill="D5D5D5"/>
          </w:tcPr>
          <w:p>
            <w:pPr>
              <w:spacing w:after="0"/>
              <w:rPr>
                <w:sz w:val="24"/>
                <w:szCs w:val="24"/>
                <w:color w:val="auto"/>
              </w:rPr>
            </w:pP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8,991</w:t>
            </w:r>
          </w:p>
        </w:tc>
        <w:tc>
          <w:tcPr>
            <w:tcW w:w="60" w:type="dxa"/>
            <w:vAlign w:val="bottom"/>
            <w:shd w:val="clear" w:color="auto" w:fill="D5D5D5"/>
          </w:tcPr>
          <w:p>
            <w:pPr>
              <w:spacing w:after="0"/>
              <w:rPr>
                <w:sz w:val="24"/>
                <w:szCs w:val="24"/>
                <w:color w:val="auto"/>
              </w:rPr>
            </w:pPr>
          </w:p>
        </w:tc>
        <w:tc>
          <w:tcPr>
            <w:tcW w:w="420" w:type="dxa"/>
            <w:vAlign w:val="bottom"/>
            <w:shd w:val="clear" w:color="auto" w:fill="D5D5D5"/>
          </w:tcPr>
          <w:p>
            <w:pPr>
              <w:spacing w:after="0"/>
              <w:rPr>
                <w:sz w:val="24"/>
                <w:szCs w:val="24"/>
                <w:color w:val="auto"/>
              </w:rPr>
            </w:pP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6,217</w:t>
            </w:r>
          </w:p>
        </w:tc>
        <w:tc>
          <w:tcPr>
            <w:tcW w:w="0" w:type="dxa"/>
            <w:vAlign w:val="bottom"/>
          </w:tcPr>
          <w:p>
            <w:pPr>
              <w:spacing w:after="0"/>
              <w:rPr>
                <w:sz w:val="1"/>
                <w:szCs w:val="1"/>
                <w:color w:val="auto"/>
              </w:rPr>
            </w:pPr>
          </w:p>
        </w:tc>
      </w:tr>
      <w:tr>
        <w:trPr>
          <w:trHeight w:val="282"/>
        </w:trPr>
        <w:tc>
          <w:tcPr>
            <w:tcW w:w="6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Accumulated other comprehensive loss</w:t>
            </w: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(1,547)</w:t>
            </w:r>
          </w:p>
        </w:tc>
        <w:tc>
          <w:tcPr>
            <w:tcW w:w="0" w:type="dxa"/>
            <w:vAlign w:val="bottom"/>
          </w:tcPr>
          <w:p>
            <w:pPr>
              <w:spacing w:after="0"/>
              <w:rPr>
                <w:sz w:val="1"/>
                <w:szCs w:val="1"/>
                <w:color w:val="auto"/>
              </w:rPr>
            </w:pPr>
          </w:p>
        </w:tc>
      </w:tr>
      <w:tr>
        <w:trPr>
          <w:trHeight w:val="284"/>
        </w:trPr>
        <w:tc>
          <w:tcPr>
            <w:tcW w:w="6880" w:type="dxa"/>
            <w:vAlign w:val="bottom"/>
            <w:tcBorders>
              <w:bottom w:val="single" w:sz="8" w:color="D5D5D5"/>
            </w:tcBorders>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Retained earnings</w:t>
            </w:r>
          </w:p>
        </w:tc>
        <w:tc>
          <w:tcPr>
            <w:tcW w:w="420" w:type="dxa"/>
            <w:vAlign w:val="bottom"/>
            <w:tcBorders>
              <w:bottom w:val="single" w:sz="8" w:color="auto"/>
            </w:tcBorders>
            <w:shd w:val="clear" w:color="auto" w:fill="D5D5D5"/>
          </w:tcPr>
          <w:p>
            <w:pPr>
              <w:spacing w:after="0"/>
              <w:rPr>
                <w:sz w:val="24"/>
                <w:szCs w:val="24"/>
                <w:color w:val="auto"/>
              </w:rPr>
            </w:pPr>
          </w:p>
        </w:tc>
        <w:tc>
          <w:tcPr>
            <w:tcW w:w="11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1,220,447</w:t>
            </w:r>
          </w:p>
        </w:tc>
        <w:tc>
          <w:tcPr>
            <w:tcW w:w="60" w:type="dxa"/>
            <w:vAlign w:val="bottom"/>
            <w:tcBorders>
              <w:bottom w:val="single" w:sz="8" w:color="D5D5D5"/>
            </w:tcBorders>
            <w:shd w:val="clear" w:color="auto" w:fill="D5D5D5"/>
          </w:tcPr>
          <w:p>
            <w:pPr>
              <w:spacing w:after="0"/>
              <w:rPr>
                <w:sz w:val="24"/>
                <w:szCs w:val="24"/>
                <w:color w:val="auto"/>
              </w:rPr>
            </w:pPr>
          </w:p>
        </w:tc>
        <w:tc>
          <w:tcPr>
            <w:tcW w:w="420" w:type="dxa"/>
            <w:vAlign w:val="bottom"/>
            <w:tcBorders>
              <w:bottom w:val="single" w:sz="8" w:color="auto"/>
            </w:tcBorders>
            <w:shd w:val="clear" w:color="auto" w:fill="D5D5D5"/>
          </w:tcPr>
          <w:p>
            <w:pPr>
              <w:spacing w:after="0"/>
              <w:rPr>
                <w:sz w:val="24"/>
                <w:szCs w:val="24"/>
                <w:color w:val="auto"/>
              </w:rPr>
            </w:pPr>
          </w:p>
        </w:tc>
        <w:tc>
          <w:tcPr>
            <w:tcW w:w="11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1,040,289</w:t>
            </w:r>
          </w:p>
        </w:tc>
        <w:tc>
          <w:tcPr>
            <w:tcW w:w="0" w:type="dxa"/>
            <w:vAlign w:val="bottom"/>
          </w:tcPr>
          <w:p>
            <w:pPr>
              <w:spacing w:after="0"/>
              <w:rPr>
                <w:sz w:val="1"/>
                <w:szCs w:val="1"/>
                <w:color w:val="auto"/>
              </w:rPr>
            </w:pPr>
          </w:p>
        </w:tc>
      </w:tr>
      <w:tr>
        <w:trPr>
          <w:trHeight w:val="268"/>
        </w:trPr>
        <w:tc>
          <w:tcPr>
            <w:tcW w:w="6880" w:type="dxa"/>
            <w:vAlign w:val="bottom"/>
            <w:tcBorders>
              <w:bottom w:val="single" w:sz="8" w:color="D5D5D5"/>
            </w:tcBorders>
          </w:tcPr>
          <w:p>
            <w:pPr>
              <w:ind w:left="260"/>
              <w:spacing w:after="0"/>
              <w:rPr>
                <w:sz w:val="20"/>
                <w:szCs w:val="20"/>
                <w:color w:val="auto"/>
              </w:rPr>
            </w:pPr>
            <w:r>
              <w:rPr>
                <w:rFonts w:ascii="Times New Roman" w:cs="Times New Roman" w:eastAsia="Times New Roman" w:hAnsi="Times New Roman"/>
                <w:sz w:val="19"/>
                <w:szCs w:val="19"/>
                <w:color w:val="auto"/>
              </w:rPr>
              <w:t>Total stockholders’ equity</w:t>
            </w: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1,239,097</w:t>
            </w:r>
          </w:p>
        </w:tc>
        <w:tc>
          <w:tcPr>
            <w:tcW w:w="60" w:type="dxa"/>
            <w:vAlign w:val="bottom"/>
            <w:tcBorders>
              <w:bottom w:val="single" w:sz="8" w:color="D5D5D5"/>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1,054,656</w:t>
            </w:r>
          </w:p>
        </w:tc>
        <w:tc>
          <w:tcPr>
            <w:tcW w:w="0" w:type="dxa"/>
            <w:vAlign w:val="bottom"/>
          </w:tcPr>
          <w:p>
            <w:pPr>
              <w:spacing w:after="0"/>
              <w:rPr>
                <w:sz w:val="1"/>
                <w:szCs w:val="1"/>
                <w:color w:val="auto"/>
              </w:rPr>
            </w:pPr>
          </w:p>
        </w:tc>
      </w:tr>
      <w:tr>
        <w:trPr>
          <w:trHeight w:val="258"/>
        </w:trPr>
        <w:tc>
          <w:tcPr>
            <w:tcW w:w="6880" w:type="dxa"/>
            <w:vAlign w:val="bottom"/>
            <w:tcBorders>
              <w:bottom w:val="single" w:sz="8" w:color="D5D5D5"/>
            </w:tcBorders>
            <w:shd w:val="clear" w:color="auto" w:fill="D5D5D5"/>
          </w:tcPr>
          <w:p>
            <w:pPr>
              <w:ind w:left="260"/>
              <w:spacing w:after="0"/>
              <w:rPr>
                <w:sz w:val="20"/>
                <w:szCs w:val="20"/>
                <w:color w:val="auto"/>
              </w:rPr>
            </w:pPr>
            <w:r>
              <w:rPr>
                <w:rFonts w:ascii="Times New Roman" w:cs="Times New Roman" w:eastAsia="Times New Roman" w:hAnsi="Times New Roman"/>
                <w:sz w:val="19"/>
                <w:szCs w:val="19"/>
                <w:color w:val="auto"/>
              </w:rPr>
              <w:t>Total liabilities and stockholders’ equity</w:t>
            </w:r>
          </w:p>
        </w:tc>
        <w:tc>
          <w:tcPr>
            <w:tcW w:w="420" w:type="dxa"/>
            <w:vAlign w:val="bottom"/>
            <w:tcBorders>
              <w:bottom w:val="single" w:sz="8" w:color="auto"/>
            </w:tcBorders>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2,945,367</w:t>
            </w:r>
          </w:p>
        </w:tc>
        <w:tc>
          <w:tcPr>
            <w:tcW w:w="60" w:type="dxa"/>
            <w:vAlign w:val="bottom"/>
            <w:tcBorders>
              <w:bottom w:val="single" w:sz="8" w:color="D5D5D5"/>
            </w:tcBorders>
            <w:shd w:val="clear" w:color="auto" w:fill="D5D5D5"/>
          </w:tcPr>
          <w:p>
            <w:pPr>
              <w:spacing w:after="0"/>
              <w:rPr>
                <w:sz w:val="22"/>
                <w:szCs w:val="22"/>
                <w:color w:val="auto"/>
              </w:rPr>
            </w:pPr>
          </w:p>
        </w:tc>
        <w:tc>
          <w:tcPr>
            <w:tcW w:w="420" w:type="dxa"/>
            <w:vAlign w:val="bottom"/>
            <w:tcBorders>
              <w:bottom w:val="single" w:sz="8" w:color="auto"/>
            </w:tcBorders>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2,516,885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6350</wp:posOffset>
            </wp:positionV>
            <wp:extent cx="2002155" cy="120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4">
                      <a:extLst>
                        <a:ext uri="{28A0092B-C50C-407E-A947-70E740481C1C}"/>
                      </a:extLst>
                    </a:blip>
                    <a:srcRect/>
                    <a:stretch>
                      <a:fillRect/>
                    </a:stretch>
                  </pic:blipFill>
                  <pic:spPr bwMode="auto">
                    <a:xfrm>
                      <a:off x="0" y="0"/>
                      <a:ext cx="2002155" cy="12065"/>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See notes to the consolidated financial statements.</w:t>
      </w:r>
    </w:p>
    <w:p>
      <w:pPr>
        <w:sectPr>
          <w:pgSz w:w="11880" w:h="15480" w:orient="portrait"/>
          <w:cols w:equalWidth="0" w:num="1">
            <w:col w:w="10020"/>
          </w:cols>
          <w:pgMar w:left="980" w:top="934"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254000</wp:posOffset>
            </wp:positionV>
            <wp:extent cx="76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5">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6913880</wp:posOffset>
            </wp:positionH>
            <wp:positionV relativeFrom="paragraph">
              <wp:posOffset>254000</wp:posOffset>
            </wp:positionV>
            <wp:extent cx="76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6">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10020"/>
          </w:cols>
          <w:pgMar w:left="980" w:top="934" w:right="880" w:bottom="0" w:gutter="0" w:footer="0" w:header="0"/>
          <w:type w:val="continuous"/>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t>DYCOM INDUSTRIES, INC.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(Dollars in thousands, except share amounts)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9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580" w:type="dxa"/>
            <w:vAlign w:val="bottom"/>
            <w:tcBorders>
              <w:bottom w:val="single" w:sz="8" w:color="auto"/>
            </w:tcBorders>
            <w:gridSpan w:val="6"/>
          </w:tcPr>
          <w:p>
            <w:pPr>
              <w:jc w:val="center"/>
              <w:ind w:left="984"/>
              <w:spacing w:after="0"/>
              <w:rPr>
                <w:sz w:val="20"/>
                <w:szCs w:val="20"/>
                <w:color w:val="auto"/>
              </w:rPr>
            </w:pPr>
            <w:r>
              <w:rPr>
                <w:rFonts w:ascii="Times New Roman" w:cs="Times New Roman" w:eastAsia="Times New Roman" w:hAnsi="Times New Roman"/>
                <w:sz w:val="19"/>
                <w:szCs w:val="19"/>
                <w:b w:val="1"/>
                <w:bCs w:val="1"/>
                <w:color w:val="auto"/>
              </w:rPr>
              <w:t>Fiscal Year Ended</w:t>
            </w: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5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9"/>
                <w:szCs w:val="19"/>
                <w:b w:val="1"/>
                <w:bCs w:val="1"/>
                <w:color w:val="auto"/>
                <w:w w:val="99"/>
              </w:rPr>
              <w:t>January 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tcPr>
          <w:p>
            <w:pPr>
              <w:jc w:val="center"/>
              <w:ind w:right="260"/>
              <w:spacing w:after="0" w:line="180" w:lineRule="exact"/>
              <w:rPr>
                <w:sz w:val="20"/>
                <w:szCs w:val="20"/>
                <w:color w:val="auto"/>
              </w:rPr>
            </w:pPr>
            <w:r>
              <w:rPr>
                <w:rFonts w:ascii="Times New Roman" w:cs="Times New Roman" w:eastAsia="Times New Roman" w:hAnsi="Times New Roman"/>
                <w:sz w:val="19"/>
                <w:szCs w:val="19"/>
                <w:b w:val="1"/>
                <w:bCs w:val="1"/>
                <w:color w:val="auto"/>
              </w:rPr>
              <w:t>January 27,</w:t>
            </w:r>
          </w:p>
        </w:tc>
        <w:tc>
          <w:tcPr>
            <w:tcW w:w="100" w:type="dxa"/>
            <w:vAlign w:val="bottom"/>
          </w:tcPr>
          <w:p>
            <w:pPr>
              <w:spacing w:after="0"/>
              <w:rPr>
                <w:sz w:val="15"/>
                <w:szCs w:val="15"/>
                <w:color w:val="auto"/>
              </w:rPr>
            </w:pPr>
          </w:p>
        </w:tc>
        <w:tc>
          <w:tcPr>
            <w:tcW w:w="112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9"/>
                <w:szCs w:val="19"/>
                <w:b w:val="1"/>
                <w:bCs w:val="1"/>
                <w:color w:val="auto"/>
                <w:w w:val="99"/>
              </w:rPr>
              <w:t>January 28,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9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9"/>
                <w:szCs w:val="19"/>
                <w:b w:val="1"/>
                <w:bCs w:val="1"/>
                <w:color w:val="auto"/>
                <w:w w:val="99"/>
              </w:rPr>
              <w:t>2024</w:t>
            </w: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9"/>
                <w:szCs w:val="19"/>
                <w:b w:val="1"/>
                <w:bCs w:val="1"/>
                <w:color w:val="auto"/>
              </w:rPr>
              <w:t>2023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5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59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Contract revenues</w:t>
            </w:r>
          </w:p>
        </w:tc>
        <w:tc>
          <w:tcPr>
            <w:tcW w:w="1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4,702,014</w:t>
            </w:r>
          </w:p>
        </w:tc>
        <w:tc>
          <w:tcPr>
            <w:tcW w:w="22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4,175,574</w:t>
            </w:r>
          </w:p>
        </w:tc>
        <w:tc>
          <w:tcPr>
            <w:tcW w:w="80" w:type="dxa"/>
            <w:vAlign w:val="bottom"/>
            <w:shd w:val="clear" w:color="auto" w:fill="D5D5D5"/>
          </w:tcPr>
          <w:p>
            <w:pPr>
              <w:spacing w:after="0"/>
              <w:rPr>
                <w:sz w:val="24"/>
                <w:szCs w:val="24"/>
                <w:color w:val="auto"/>
              </w:rPr>
            </w:pPr>
          </w:p>
        </w:tc>
        <w:tc>
          <w:tcPr>
            <w:tcW w:w="40" w:type="dxa"/>
            <w:vAlign w:val="bottom"/>
            <w:shd w:val="clear" w:color="auto" w:fill="D5D5D5"/>
          </w:tcPr>
          <w:p>
            <w:pPr>
              <w:spacing w:after="0"/>
              <w:rPr>
                <w:sz w:val="24"/>
                <w:szCs w:val="24"/>
                <w:color w:val="auto"/>
              </w:rPr>
            </w:pPr>
          </w:p>
        </w:tc>
        <w:tc>
          <w:tcPr>
            <w:tcW w:w="1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3,808,462</w:t>
            </w:r>
          </w:p>
        </w:tc>
        <w:tc>
          <w:tcPr>
            <w:tcW w:w="8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980" w:type="dxa"/>
            <w:vAlign w:val="bottom"/>
            <w:tcBorders>
              <w:top w:val="single" w:sz="8" w:color="D5D5D5"/>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Borders>
              <w:top w:val="single" w:sz="8" w:color="D5D5D5"/>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Borders>
              <w:top w:val="single" w:sz="8" w:color="D5D5D5"/>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Borders>
              <w:top w:val="single" w:sz="8" w:color="D5D5D5"/>
            </w:tcBorders>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59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Costs of earned revenues, excluding depreciation and amortization</w:t>
            </w:r>
          </w:p>
        </w:tc>
        <w:tc>
          <w:tcPr>
            <w:tcW w:w="140" w:type="dxa"/>
            <w:vAlign w:val="bottom"/>
            <w:shd w:val="clear" w:color="auto" w:fill="D5D5D5"/>
          </w:tcPr>
          <w:p>
            <w:pPr>
              <w:spacing w:after="0"/>
              <w:rPr>
                <w:sz w:val="24"/>
                <w:szCs w:val="24"/>
                <w:color w:val="auto"/>
              </w:rPr>
            </w:pP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3,769,877</w:t>
            </w:r>
          </w:p>
        </w:tc>
        <w:tc>
          <w:tcPr>
            <w:tcW w:w="80" w:type="dxa"/>
            <w:vAlign w:val="bottom"/>
            <w:shd w:val="clear" w:color="auto" w:fill="D5D5D5"/>
          </w:tcPr>
          <w:p>
            <w:pPr>
              <w:spacing w:after="0"/>
              <w:rPr>
                <w:sz w:val="24"/>
                <w:szCs w:val="24"/>
                <w:color w:val="auto"/>
              </w:rPr>
            </w:pPr>
          </w:p>
        </w:tc>
        <w:tc>
          <w:tcPr>
            <w:tcW w:w="140" w:type="dxa"/>
            <w:vAlign w:val="bottom"/>
            <w:shd w:val="clear" w:color="auto" w:fill="D5D5D5"/>
          </w:tcPr>
          <w:p>
            <w:pPr>
              <w:spacing w:after="0"/>
              <w:rPr>
                <w:sz w:val="24"/>
                <w:szCs w:val="24"/>
                <w:color w:val="auto"/>
              </w:rPr>
            </w:pP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3,361,815</w:t>
            </w:r>
          </w:p>
        </w:tc>
        <w:tc>
          <w:tcPr>
            <w:tcW w:w="80" w:type="dxa"/>
            <w:vAlign w:val="bottom"/>
            <w:shd w:val="clear" w:color="auto" w:fill="D5D5D5"/>
          </w:tcPr>
          <w:p>
            <w:pPr>
              <w:spacing w:after="0"/>
              <w:rPr>
                <w:sz w:val="24"/>
                <w:szCs w:val="24"/>
                <w:color w:val="auto"/>
              </w:rPr>
            </w:pPr>
          </w:p>
        </w:tc>
        <w:tc>
          <w:tcPr>
            <w:tcW w:w="40" w:type="dxa"/>
            <w:vAlign w:val="bottom"/>
            <w:shd w:val="clear" w:color="auto" w:fill="D5D5D5"/>
          </w:tcPr>
          <w:p>
            <w:pPr>
              <w:spacing w:after="0"/>
              <w:rPr>
                <w:sz w:val="24"/>
                <w:szCs w:val="24"/>
                <w:color w:val="auto"/>
              </w:rPr>
            </w:pPr>
          </w:p>
        </w:tc>
        <w:tc>
          <w:tcPr>
            <w:tcW w:w="100" w:type="dxa"/>
            <w:vAlign w:val="bottom"/>
            <w:shd w:val="clear" w:color="auto" w:fill="D5D5D5"/>
          </w:tcPr>
          <w:p>
            <w:pPr>
              <w:spacing w:after="0"/>
              <w:rPr>
                <w:sz w:val="24"/>
                <w:szCs w:val="24"/>
                <w:color w:val="auto"/>
              </w:rPr>
            </w:pP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3,160,264</w:t>
            </w:r>
          </w:p>
        </w:tc>
        <w:tc>
          <w:tcPr>
            <w:tcW w:w="8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9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General and administrative</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393,030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327,674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293,478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980" w:type="dxa"/>
            <w:vAlign w:val="bottom"/>
            <w:tcBorders>
              <w:bottom w:val="single" w:sz="8" w:color="D5D5D5"/>
            </w:tcBorders>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Depreciation and amortization</w:t>
            </w:r>
          </w:p>
        </w:tc>
        <w:tc>
          <w:tcPr>
            <w:tcW w:w="140" w:type="dxa"/>
            <w:vAlign w:val="bottom"/>
            <w:tcBorders>
              <w:bottom w:val="single" w:sz="8" w:color="auto"/>
            </w:tcBorders>
            <w:shd w:val="clear" w:color="auto" w:fill="D5D5D5"/>
          </w:tcPr>
          <w:p>
            <w:pPr>
              <w:spacing w:after="0"/>
              <w:rPr>
                <w:sz w:val="24"/>
                <w:szCs w:val="24"/>
                <w:color w:val="auto"/>
              </w:rPr>
            </w:pPr>
          </w:p>
        </w:tc>
        <w:tc>
          <w:tcPr>
            <w:tcW w:w="11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198,571</w:t>
            </w:r>
          </w:p>
        </w:tc>
        <w:tc>
          <w:tcPr>
            <w:tcW w:w="80" w:type="dxa"/>
            <w:vAlign w:val="bottom"/>
            <w:tcBorders>
              <w:bottom w:val="single" w:sz="8" w:color="D5D5D5"/>
            </w:tcBorders>
            <w:shd w:val="clear" w:color="auto" w:fill="D5D5D5"/>
          </w:tcPr>
          <w:p>
            <w:pPr>
              <w:spacing w:after="0"/>
              <w:rPr>
                <w:sz w:val="24"/>
                <w:szCs w:val="24"/>
                <w:color w:val="auto"/>
              </w:rPr>
            </w:pPr>
          </w:p>
        </w:tc>
        <w:tc>
          <w:tcPr>
            <w:tcW w:w="140" w:type="dxa"/>
            <w:vAlign w:val="bottom"/>
            <w:tcBorders>
              <w:bottom w:val="single" w:sz="8" w:color="auto"/>
            </w:tcBorders>
            <w:shd w:val="clear" w:color="auto" w:fill="D5D5D5"/>
          </w:tcPr>
          <w:p>
            <w:pPr>
              <w:spacing w:after="0"/>
              <w:rPr>
                <w:sz w:val="24"/>
                <w:szCs w:val="24"/>
                <w:color w:val="auto"/>
              </w:rPr>
            </w:pPr>
          </w:p>
        </w:tc>
        <w:tc>
          <w:tcPr>
            <w:tcW w:w="11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163,092</w:t>
            </w:r>
          </w:p>
        </w:tc>
        <w:tc>
          <w:tcPr>
            <w:tcW w:w="80" w:type="dxa"/>
            <w:vAlign w:val="bottom"/>
            <w:tcBorders>
              <w:bottom w:val="single" w:sz="8" w:color="D5D5D5"/>
            </w:tcBorders>
            <w:shd w:val="clear" w:color="auto" w:fill="D5D5D5"/>
          </w:tcPr>
          <w:p>
            <w:pPr>
              <w:spacing w:after="0"/>
              <w:rPr>
                <w:sz w:val="24"/>
                <w:szCs w:val="24"/>
                <w:color w:val="auto"/>
              </w:rPr>
            </w:pPr>
          </w:p>
        </w:tc>
        <w:tc>
          <w:tcPr>
            <w:tcW w:w="40" w:type="dxa"/>
            <w:vAlign w:val="bottom"/>
            <w:tcBorders>
              <w:bottom w:val="single" w:sz="8" w:color="auto"/>
            </w:tcBorders>
            <w:shd w:val="clear" w:color="auto" w:fill="D5D5D5"/>
          </w:tcPr>
          <w:p>
            <w:pPr>
              <w:spacing w:after="0"/>
              <w:rPr>
                <w:sz w:val="24"/>
                <w:szCs w:val="24"/>
                <w:color w:val="auto"/>
              </w:rPr>
            </w:pPr>
          </w:p>
        </w:tc>
        <w:tc>
          <w:tcPr>
            <w:tcW w:w="100" w:type="dxa"/>
            <w:vAlign w:val="bottom"/>
            <w:tcBorders>
              <w:bottom w:val="single" w:sz="8" w:color="auto"/>
            </w:tcBorders>
            <w:shd w:val="clear" w:color="auto" w:fill="D5D5D5"/>
          </w:tcPr>
          <w:p>
            <w:pPr>
              <w:spacing w:after="0"/>
              <w:rPr>
                <w:sz w:val="24"/>
                <w:szCs w:val="24"/>
                <w:color w:val="auto"/>
              </w:rPr>
            </w:pPr>
          </w:p>
        </w:tc>
        <w:tc>
          <w:tcPr>
            <w:tcW w:w="11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144,181</w:t>
            </w:r>
          </w:p>
        </w:tc>
        <w:tc>
          <w:tcPr>
            <w:tcW w:w="80" w:type="dxa"/>
            <w:vAlign w:val="bottom"/>
            <w:tcBorders>
              <w:bottom w:val="single" w:sz="8" w:color="D5D5D5"/>
            </w:tcBorders>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9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Total</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4,361,478</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3,852,581</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3,597,923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9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Interest expense, net</w:t>
            </w:r>
          </w:p>
        </w:tc>
        <w:tc>
          <w:tcPr>
            <w:tcW w:w="140" w:type="dxa"/>
            <w:vAlign w:val="bottom"/>
            <w:shd w:val="clear" w:color="auto" w:fill="D5D5D5"/>
          </w:tcPr>
          <w:p>
            <w:pPr>
              <w:spacing w:after="0"/>
              <w:rPr>
                <w:sz w:val="24"/>
                <w:szCs w:val="24"/>
                <w:color w:val="auto"/>
              </w:rPr>
            </w:pP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(60,994)</w:t>
            </w:r>
          </w:p>
        </w:tc>
        <w:tc>
          <w:tcPr>
            <w:tcW w:w="80" w:type="dxa"/>
            <w:vAlign w:val="bottom"/>
            <w:shd w:val="clear" w:color="auto" w:fill="D5D5D5"/>
          </w:tcPr>
          <w:p>
            <w:pPr>
              <w:spacing w:after="0"/>
              <w:rPr>
                <w:sz w:val="24"/>
                <w:szCs w:val="24"/>
                <w:color w:val="auto"/>
              </w:rPr>
            </w:pPr>
          </w:p>
        </w:tc>
        <w:tc>
          <w:tcPr>
            <w:tcW w:w="140" w:type="dxa"/>
            <w:vAlign w:val="bottom"/>
            <w:shd w:val="clear" w:color="auto" w:fill="D5D5D5"/>
          </w:tcPr>
          <w:p>
            <w:pPr>
              <w:spacing w:after="0"/>
              <w:rPr>
                <w:sz w:val="24"/>
                <w:szCs w:val="24"/>
                <w:color w:val="auto"/>
              </w:rPr>
            </w:pP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(52,603)</w:t>
            </w:r>
          </w:p>
        </w:tc>
        <w:tc>
          <w:tcPr>
            <w:tcW w:w="80" w:type="dxa"/>
            <w:vAlign w:val="bottom"/>
            <w:shd w:val="clear" w:color="auto" w:fill="D5D5D5"/>
          </w:tcPr>
          <w:p>
            <w:pPr>
              <w:spacing w:after="0"/>
              <w:rPr>
                <w:sz w:val="24"/>
                <w:szCs w:val="24"/>
                <w:color w:val="auto"/>
              </w:rPr>
            </w:pPr>
          </w:p>
        </w:tc>
        <w:tc>
          <w:tcPr>
            <w:tcW w:w="40" w:type="dxa"/>
            <w:vAlign w:val="bottom"/>
            <w:shd w:val="clear" w:color="auto" w:fill="D5D5D5"/>
          </w:tcPr>
          <w:p>
            <w:pPr>
              <w:spacing w:after="0"/>
              <w:rPr>
                <w:sz w:val="24"/>
                <w:szCs w:val="24"/>
                <w:color w:val="auto"/>
              </w:rPr>
            </w:pPr>
          </w:p>
        </w:tc>
        <w:tc>
          <w:tcPr>
            <w:tcW w:w="100" w:type="dxa"/>
            <w:vAlign w:val="bottom"/>
            <w:shd w:val="clear" w:color="auto" w:fill="D5D5D5"/>
          </w:tcPr>
          <w:p>
            <w:pPr>
              <w:spacing w:after="0"/>
              <w:rPr>
                <w:sz w:val="24"/>
                <w:szCs w:val="24"/>
                <w:color w:val="auto"/>
              </w:rPr>
            </w:pP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(40,618)</w:t>
            </w:r>
          </w:p>
        </w:tc>
        <w:tc>
          <w:tcPr>
            <w:tcW w:w="8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9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Loss on debt extinguishment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84"/>
        </w:trPr>
        <w:tc>
          <w:tcPr>
            <w:tcW w:w="5980" w:type="dxa"/>
            <w:vAlign w:val="bottom"/>
            <w:tcBorders>
              <w:bottom w:val="single" w:sz="8" w:color="D5D5D5"/>
            </w:tcBorders>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Other income, net</w:t>
            </w:r>
          </w:p>
        </w:tc>
        <w:tc>
          <w:tcPr>
            <w:tcW w:w="140" w:type="dxa"/>
            <w:vAlign w:val="bottom"/>
            <w:tcBorders>
              <w:bottom w:val="single" w:sz="8" w:color="auto"/>
            </w:tcBorders>
            <w:shd w:val="clear" w:color="auto" w:fill="D5D5D5"/>
          </w:tcPr>
          <w:p>
            <w:pPr>
              <w:spacing w:after="0"/>
              <w:rPr>
                <w:sz w:val="24"/>
                <w:szCs w:val="24"/>
                <w:color w:val="auto"/>
              </w:rPr>
            </w:pPr>
          </w:p>
        </w:tc>
        <w:tc>
          <w:tcPr>
            <w:tcW w:w="11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29,213</w:t>
            </w:r>
          </w:p>
        </w:tc>
        <w:tc>
          <w:tcPr>
            <w:tcW w:w="80" w:type="dxa"/>
            <w:vAlign w:val="bottom"/>
            <w:tcBorders>
              <w:bottom w:val="single" w:sz="8" w:color="D5D5D5"/>
            </w:tcBorders>
            <w:shd w:val="clear" w:color="auto" w:fill="D5D5D5"/>
          </w:tcPr>
          <w:p>
            <w:pPr>
              <w:spacing w:after="0"/>
              <w:rPr>
                <w:sz w:val="24"/>
                <w:szCs w:val="24"/>
                <w:color w:val="auto"/>
              </w:rPr>
            </w:pPr>
          </w:p>
        </w:tc>
        <w:tc>
          <w:tcPr>
            <w:tcW w:w="140" w:type="dxa"/>
            <w:vAlign w:val="bottom"/>
            <w:tcBorders>
              <w:bottom w:val="single" w:sz="8" w:color="auto"/>
            </w:tcBorders>
            <w:shd w:val="clear" w:color="auto" w:fill="D5D5D5"/>
          </w:tcPr>
          <w:p>
            <w:pPr>
              <w:spacing w:after="0"/>
              <w:rPr>
                <w:sz w:val="24"/>
                <w:szCs w:val="24"/>
                <w:color w:val="auto"/>
              </w:rPr>
            </w:pPr>
          </w:p>
        </w:tc>
        <w:tc>
          <w:tcPr>
            <w:tcW w:w="11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21,609</w:t>
            </w:r>
          </w:p>
        </w:tc>
        <w:tc>
          <w:tcPr>
            <w:tcW w:w="80" w:type="dxa"/>
            <w:vAlign w:val="bottom"/>
            <w:tcBorders>
              <w:bottom w:val="single" w:sz="8" w:color="D5D5D5"/>
            </w:tcBorders>
            <w:shd w:val="clear" w:color="auto" w:fill="D5D5D5"/>
          </w:tcPr>
          <w:p>
            <w:pPr>
              <w:spacing w:after="0"/>
              <w:rPr>
                <w:sz w:val="24"/>
                <w:szCs w:val="24"/>
                <w:color w:val="auto"/>
              </w:rPr>
            </w:pPr>
          </w:p>
        </w:tc>
        <w:tc>
          <w:tcPr>
            <w:tcW w:w="40" w:type="dxa"/>
            <w:vAlign w:val="bottom"/>
            <w:tcBorders>
              <w:bottom w:val="single" w:sz="8" w:color="auto"/>
            </w:tcBorders>
            <w:shd w:val="clear" w:color="auto" w:fill="D5D5D5"/>
          </w:tcPr>
          <w:p>
            <w:pPr>
              <w:spacing w:after="0"/>
              <w:rPr>
                <w:sz w:val="24"/>
                <w:szCs w:val="24"/>
                <w:color w:val="auto"/>
              </w:rPr>
            </w:pPr>
          </w:p>
        </w:tc>
        <w:tc>
          <w:tcPr>
            <w:tcW w:w="100" w:type="dxa"/>
            <w:vAlign w:val="bottom"/>
            <w:tcBorders>
              <w:bottom w:val="single" w:sz="8" w:color="auto"/>
            </w:tcBorders>
            <w:shd w:val="clear" w:color="auto" w:fill="D5D5D5"/>
          </w:tcPr>
          <w:p>
            <w:pPr>
              <w:spacing w:after="0"/>
              <w:rPr>
                <w:sz w:val="24"/>
                <w:szCs w:val="24"/>
                <w:color w:val="auto"/>
              </w:rPr>
            </w:pPr>
          </w:p>
        </w:tc>
        <w:tc>
          <w:tcPr>
            <w:tcW w:w="11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10,201</w:t>
            </w:r>
          </w:p>
        </w:tc>
        <w:tc>
          <w:tcPr>
            <w:tcW w:w="80" w:type="dxa"/>
            <w:vAlign w:val="bottom"/>
            <w:tcBorders>
              <w:bottom w:val="single" w:sz="8" w:color="D5D5D5"/>
            </w:tcBorders>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9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Income before income taxes</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307,790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291,999</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180,122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5980" w:type="dxa"/>
            <w:vAlign w:val="bottom"/>
            <w:shd w:val="clear" w:color="auto" w:fill="D5D5D5"/>
          </w:tcPr>
          <w:p>
            <w:pPr>
              <w:spacing w:after="0"/>
              <w:rPr>
                <w:sz w:val="24"/>
                <w:szCs w:val="24"/>
                <w:color w:val="auto"/>
              </w:rPr>
            </w:pPr>
          </w:p>
        </w:tc>
        <w:tc>
          <w:tcPr>
            <w:tcW w:w="140" w:type="dxa"/>
            <w:vAlign w:val="bottom"/>
            <w:shd w:val="clear" w:color="auto" w:fill="D5D5D5"/>
          </w:tcPr>
          <w:p>
            <w:pPr>
              <w:spacing w:after="0"/>
              <w:rPr>
                <w:sz w:val="24"/>
                <w:szCs w:val="24"/>
                <w:color w:val="auto"/>
              </w:rPr>
            </w:pPr>
          </w:p>
        </w:tc>
        <w:tc>
          <w:tcPr>
            <w:tcW w:w="1120" w:type="dxa"/>
            <w:vAlign w:val="bottom"/>
            <w:shd w:val="clear" w:color="auto" w:fill="D5D5D5"/>
          </w:tcPr>
          <w:p>
            <w:pPr>
              <w:spacing w:after="0"/>
              <w:rPr>
                <w:sz w:val="24"/>
                <w:szCs w:val="24"/>
                <w:color w:val="auto"/>
              </w:rPr>
            </w:pPr>
          </w:p>
        </w:tc>
        <w:tc>
          <w:tcPr>
            <w:tcW w:w="80" w:type="dxa"/>
            <w:vAlign w:val="bottom"/>
            <w:shd w:val="clear" w:color="auto" w:fill="D5D5D5"/>
          </w:tcPr>
          <w:p>
            <w:pPr>
              <w:spacing w:after="0"/>
              <w:rPr>
                <w:sz w:val="24"/>
                <w:szCs w:val="24"/>
                <w:color w:val="auto"/>
              </w:rPr>
            </w:pPr>
          </w:p>
        </w:tc>
        <w:tc>
          <w:tcPr>
            <w:tcW w:w="140" w:type="dxa"/>
            <w:vAlign w:val="bottom"/>
            <w:shd w:val="clear" w:color="auto" w:fill="D5D5D5"/>
          </w:tcPr>
          <w:p>
            <w:pPr>
              <w:spacing w:after="0"/>
              <w:rPr>
                <w:sz w:val="24"/>
                <w:szCs w:val="24"/>
                <w:color w:val="auto"/>
              </w:rPr>
            </w:pPr>
          </w:p>
        </w:tc>
        <w:tc>
          <w:tcPr>
            <w:tcW w:w="1120" w:type="dxa"/>
            <w:vAlign w:val="bottom"/>
            <w:shd w:val="clear" w:color="auto" w:fill="D5D5D5"/>
          </w:tcPr>
          <w:p>
            <w:pPr>
              <w:spacing w:after="0"/>
              <w:rPr>
                <w:sz w:val="24"/>
                <w:szCs w:val="24"/>
                <w:color w:val="auto"/>
              </w:rPr>
            </w:pPr>
          </w:p>
        </w:tc>
        <w:tc>
          <w:tcPr>
            <w:tcW w:w="80" w:type="dxa"/>
            <w:vAlign w:val="bottom"/>
            <w:shd w:val="clear" w:color="auto" w:fill="D5D5D5"/>
          </w:tcPr>
          <w:p>
            <w:pPr>
              <w:spacing w:after="0"/>
              <w:rPr>
                <w:sz w:val="24"/>
                <w:szCs w:val="24"/>
                <w:color w:val="auto"/>
              </w:rPr>
            </w:pPr>
          </w:p>
        </w:tc>
        <w:tc>
          <w:tcPr>
            <w:tcW w:w="40" w:type="dxa"/>
            <w:vAlign w:val="bottom"/>
            <w:shd w:val="clear" w:color="auto" w:fill="D5D5D5"/>
          </w:tcPr>
          <w:p>
            <w:pPr>
              <w:spacing w:after="0"/>
              <w:rPr>
                <w:sz w:val="24"/>
                <w:szCs w:val="24"/>
                <w:color w:val="auto"/>
              </w:rPr>
            </w:pPr>
          </w:p>
        </w:tc>
        <w:tc>
          <w:tcPr>
            <w:tcW w:w="100" w:type="dxa"/>
            <w:vAlign w:val="bottom"/>
            <w:shd w:val="clear" w:color="auto" w:fill="D5D5D5"/>
          </w:tcPr>
          <w:p>
            <w:pPr>
              <w:spacing w:after="0"/>
              <w:rPr>
                <w:sz w:val="24"/>
                <w:szCs w:val="24"/>
                <w:color w:val="auto"/>
              </w:rPr>
            </w:pPr>
          </w:p>
        </w:tc>
        <w:tc>
          <w:tcPr>
            <w:tcW w:w="1120" w:type="dxa"/>
            <w:vAlign w:val="bottom"/>
            <w:shd w:val="clear" w:color="auto" w:fill="D5D5D5"/>
          </w:tcPr>
          <w:p>
            <w:pPr>
              <w:spacing w:after="0"/>
              <w:rPr>
                <w:sz w:val="24"/>
                <w:szCs w:val="24"/>
                <w:color w:val="auto"/>
              </w:rPr>
            </w:pPr>
          </w:p>
        </w:tc>
        <w:tc>
          <w:tcPr>
            <w:tcW w:w="8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980" w:type="dxa"/>
            <w:vAlign w:val="bottom"/>
            <w:tcBorders>
              <w:bottom w:val="single" w:sz="8" w:color="D5D5D5"/>
            </w:tcBorders>
          </w:tcPr>
          <w:p>
            <w:pPr>
              <w:ind w:left="180"/>
              <w:spacing w:after="0"/>
              <w:rPr>
                <w:sz w:val="20"/>
                <w:szCs w:val="20"/>
                <w:color w:val="auto"/>
              </w:rPr>
            </w:pPr>
            <w:r>
              <w:rPr>
                <w:rFonts w:ascii="Times New Roman" w:cs="Times New Roman" w:eastAsia="Times New Roman" w:hAnsi="Times New Roman"/>
                <w:sz w:val="19"/>
                <w:szCs w:val="19"/>
                <w:color w:val="auto"/>
              </w:rPr>
              <w:t>Provision for income taxes</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74,377</w:t>
            </w:r>
          </w:p>
        </w:tc>
        <w:tc>
          <w:tcPr>
            <w:tcW w:w="80" w:type="dxa"/>
            <w:vAlign w:val="bottom"/>
            <w:tcBorders>
              <w:bottom w:val="single" w:sz="8" w:color="D5D5D5"/>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73,076</w:t>
            </w:r>
          </w:p>
        </w:tc>
        <w:tc>
          <w:tcPr>
            <w:tcW w:w="80" w:type="dxa"/>
            <w:vAlign w:val="bottom"/>
            <w:tcBorders>
              <w:bottom w:val="single" w:sz="8" w:color="D5D5D5"/>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37,909</w:t>
            </w:r>
          </w:p>
        </w:tc>
        <w:tc>
          <w:tcPr>
            <w:tcW w:w="80" w:type="dxa"/>
            <w:vAlign w:val="bottom"/>
            <w:tcBorders>
              <w:bottom w:val="single" w:sz="8" w:color="D5D5D5"/>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980" w:type="dxa"/>
            <w:vAlign w:val="bottom"/>
            <w:shd w:val="clear" w:color="auto" w:fill="D5D5D5"/>
          </w:tcPr>
          <w:p>
            <w:pPr>
              <w:spacing w:after="0"/>
              <w:rPr>
                <w:sz w:val="24"/>
                <w:szCs w:val="24"/>
                <w:color w:val="auto"/>
              </w:rPr>
            </w:pPr>
          </w:p>
        </w:tc>
        <w:tc>
          <w:tcPr>
            <w:tcW w:w="140" w:type="dxa"/>
            <w:vAlign w:val="bottom"/>
            <w:shd w:val="clear" w:color="auto" w:fill="D5D5D5"/>
          </w:tcPr>
          <w:p>
            <w:pPr>
              <w:spacing w:after="0"/>
              <w:rPr>
                <w:sz w:val="24"/>
                <w:szCs w:val="24"/>
                <w:color w:val="auto"/>
              </w:rPr>
            </w:pPr>
          </w:p>
        </w:tc>
        <w:tc>
          <w:tcPr>
            <w:tcW w:w="1120" w:type="dxa"/>
            <w:vAlign w:val="bottom"/>
            <w:shd w:val="clear" w:color="auto" w:fill="D5D5D5"/>
          </w:tcPr>
          <w:p>
            <w:pPr>
              <w:spacing w:after="0"/>
              <w:rPr>
                <w:sz w:val="24"/>
                <w:szCs w:val="24"/>
                <w:color w:val="auto"/>
              </w:rPr>
            </w:pPr>
          </w:p>
        </w:tc>
        <w:tc>
          <w:tcPr>
            <w:tcW w:w="80" w:type="dxa"/>
            <w:vAlign w:val="bottom"/>
            <w:shd w:val="clear" w:color="auto" w:fill="D5D5D5"/>
          </w:tcPr>
          <w:p>
            <w:pPr>
              <w:spacing w:after="0"/>
              <w:rPr>
                <w:sz w:val="24"/>
                <w:szCs w:val="24"/>
                <w:color w:val="auto"/>
              </w:rPr>
            </w:pPr>
          </w:p>
        </w:tc>
        <w:tc>
          <w:tcPr>
            <w:tcW w:w="140" w:type="dxa"/>
            <w:vAlign w:val="bottom"/>
            <w:shd w:val="clear" w:color="auto" w:fill="D5D5D5"/>
          </w:tcPr>
          <w:p>
            <w:pPr>
              <w:spacing w:after="0"/>
              <w:rPr>
                <w:sz w:val="24"/>
                <w:szCs w:val="24"/>
                <w:color w:val="auto"/>
              </w:rPr>
            </w:pPr>
          </w:p>
        </w:tc>
        <w:tc>
          <w:tcPr>
            <w:tcW w:w="1120" w:type="dxa"/>
            <w:vAlign w:val="bottom"/>
            <w:shd w:val="clear" w:color="auto" w:fill="D5D5D5"/>
          </w:tcPr>
          <w:p>
            <w:pPr>
              <w:spacing w:after="0"/>
              <w:rPr>
                <w:sz w:val="24"/>
                <w:szCs w:val="24"/>
                <w:color w:val="auto"/>
              </w:rPr>
            </w:pPr>
          </w:p>
        </w:tc>
        <w:tc>
          <w:tcPr>
            <w:tcW w:w="80" w:type="dxa"/>
            <w:vAlign w:val="bottom"/>
            <w:shd w:val="clear" w:color="auto" w:fill="D5D5D5"/>
          </w:tcPr>
          <w:p>
            <w:pPr>
              <w:spacing w:after="0"/>
              <w:rPr>
                <w:sz w:val="24"/>
                <w:szCs w:val="24"/>
                <w:color w:val="auto"/>
              </w:rPr>
            </w:pPr>
          </w:p>
        </w:tc>
        <w:tc>
          <w:tcPr>
            <w:tcW w:w="40" w:type="dxa"/>
            <w:vAlign w:val="bottom"/>
            <w:shd w:val="clear" w:color="auto" w:fill="D5D5D5"/>
          </w:tcPr>
          <w:p>
            <w:pPr>
              <w:spacing w:after="0"/>
              <w:rPr>
                <w:sz w:val="24"/>
                <w:szCs w:val="24"/>
                <w:color w:val="auto"/>
              </w:rPr>
            </w:pPr>
          </w:p>
        </w:tc>
        <w:tc>
          <w:tcPr>
            <w:tcW w:w="100" w:type="dxa"/>
            <w:vAlign w:val="bottom"/>
            <w:shd w:val="clear" w:color="auto" w:fill="D5D5D5"/>
          </w:tcPr>
          <w:p>
            <w:pPr>
              <w:spacing w:after="0"/>
              <w:rPr>
                <w:sz w:val="24"/>
                <w:szCs w:val="24"/>
                <w:color w:val="auto"/>
              </w:rPr>
            </w:pPr>
          </w:p>
        </w:tc>
        <w:tc>
          <w:tcPr>
            <w:tcW w:w="1120" w:type="dxa"/>
            <w:vAlign w:val="bottom"/>
            <w:shd w:val="clear" w:color="auto" w:fill="D5D5D5"/>
          </w:tcPr>
          <w:p>
            <w:pPr>
              <w:spacing w:after="0"/>
              <w:rPr>
                <w:sz w:val="24"/>
                <w:szCs w:val="24"/>
                <w:color w:val="auto"/>
              </w:rPr>
            </w:pPr>
          </w:p>
        </w:tc>
        <w:tc>
          <w:tcPr>
            <w:tcW w:w="8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9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233,413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218,923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142,213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Earnings per common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9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Basic earnings per common share</w:t>
            </w:r>
          </w:p>
        </w:tc>
        <w:tc>
          <w:tcPr>
            <w:tcW w:w="1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8.02</w:t>
            </w:r>
          </w:p>
        </w:tc>
        <w:tc>
          <w:tcPr>
            <w:tcW w:w="22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7.46</w:t>
            </w:r>
          </w:p>
        </w:tc>
        <w:tc>
          <w:tcPr>
            <w:tcW w:w="80" w:type="dxa"/>
            <w:vAlign w:val="bottom"/>
            <w:shd w:val="clear" w:color="auto" w:fill="D5D5D5"/>
          </w:tcPr>
          <w:p>
            <w:pPr>
              <w:spacing w:after="0"/>
              <w:rPr>
                <w:sz w:val="24"/>
                <w:szCs w:val="24"/>
                <w:color w:val="auto"/>
              </w:rPr>
            </w:pPr>
          </w:p>
        </w:tc>
        <w:tc>
          <w:tcPr>
            <w:tcW w:w="40" w:type="dxa"/>
            <w:vAlign w:val="bottom"/>
            <w:shd w:val="clear" w:color="auto" w:fill="D5D5D5"/>
          </w:tcPr>
          <w:p>
            <w:pPr>
              <w:spacing w:after="0"/>
              <w:rPr>
                <w:sz w:val="24"/>
                <w:szCs w:val="24"/>
                <w:color w:val="auto"/>
              </w:rPr>
            </w:pPr>
          </w:p>
        </w:tc>
        <w:tc>
          <w:tcPr>
            <w:tcW w:w="1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4.81</w:t>
            </w:r>
          </w:p>
        </w:tc>
        <w:tc>
          <w:tcPr>
            <w:tcW w:w="8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980" w:type="dxa"/>
            <w:vAlign w:val="bottom"/>
            <w:tcBorders>
              <w:top w:val="single" w:sz="8" w:color="D5D5D5"/>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80" w:type="dxa"/>
            <w:vAlign w:val="bottom"/>
            <w:tcBorders>
              <w:top w:val="single" w:sz="8" w:color="D5D5D5"/>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80" w:type="dxa"/>
            <w:vAlign w:val="bottom"/>
            <w:tcBorders>
              <w:top w:val="single" w:sz="8" w:color="D5D5D5"/>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80" w:type="dxa"/>
            <w:vAlign w:val="bottom"/>
            <w:tcBorders>
              <w:top w:val="single" w:sz="8" w:color="D5D5D5"/>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980" w:type="dxa"/>
            <w:vAlign w:val="bottom"/>
            <w:tcBorders>
              <w:bottom w:val="single" w:sz="8" w:color="D5D5D5"/>
            </w:tcBorders>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Diluted earnings per common share</w:t>
            </w:r>
          </w:p>
        </w:tc>
        <w:tc>
          <w:tcPr>
            <w:tcW w:w="14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7.92</w:t>
            </w:r>
          </w:p>
        </w:tc>
        <w:tc>
          <w:tcPr>
            <w:tcW w:w="80" w:type="dxa"/>
            <w:vAlign w:val="bottom"/>
            <w:tcBorders>
              <w:bottom w:val="single" w:sz="8" w:color="D5D5D5"/>
            </w:tcBorders>
            <w:shd w:val="clear" w:color="auto" w:fill="D5D5D5"/>
          </w:tcPr>
          <w:p>
            <w:pPr>
              <w:spacing w:after="0"/>
              <w:rPr>
                <w:sz w:val="24"/>
                <w:szCs w:val="24"/>
                <w:color w:val="auto"/>
              </w:rPr>
            </w:pPr>
          </w:p>
        </w:tc>
        <w:tc>
          <w:tcPr>
            <w:tcW w:w="14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7.37</w:t>
            </w:r>
          </w:p>
        </w:tc>
        <w:tc>
          <w:tcPr>
            <w:tcW w:w="80" w:type="dxa"/>
            <w:vAlign w:val="bottom"/>
            <w:tcBorders>
              <w:bottom w:val="single" w:sz="8" w:color="D5D5D5"/>
            </w:tcBorders>
            <w:shd w:val="clear" w:color="auto" w:fill="D5D5D5"/>
          </w:tcPr>
          <w:p>
            <w:pPr>
              <w:spacing w:after="0"/>
              <w:rPr>
                <w:sz w:val="24"/>
                <w:szCs w:val="24"/>
                <w:color w:val="auto"/>
              </w:rPr>
            </w:pPr>
          </w:p>
        </w:tc>
        <w:tc>
          <w:tcPr>
            <w:tcW w:w="40" w:type="dxa"/>
            <w:vAlign w:val="bottom"/>
            <w:tcBorders>
              <w:bottom w:val="single" w:sz="8" w:color="auto"/>
            </w:tcBorders>
            <w:shd w:val="clear" w:color="auto" w:fill="D5D5D5"/>
          </w:tcPr>
          <w:p>
            <w:pPr>
              <w:spacing w:after="0"/>
              <w:rPr>
                <w:sz w:val="24"/>
                <w:szCs w:val="24"/>
                <w:color w:val="auto"/>
              </w:rPr>
            </w:pPr>
          </w:p>
        </w:tc>
        <w:tc>
          <w:tcPr>
            <w:tcW w:w="1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4.74</w:t>
            </w:r>
          </w:p>
        </w:tc>
        <w:tc>
          <w:tcPr>
            <w:tcW w:w="80" w:type="dxa"/>
            <w:vAlign w:val="bottom"/>
            <w:tcBorders>
              <w:bottom w:val="single" w:sz="8" w:color="D5D5D5"/>
            </w:tcBorders>
            <w:shd w:val="clear" w:color="auto" w:fill="D5D5D5"/>
          </w:tcPr>
          <w:p>
            <w:pPr>
              <w:spacing w:after="0"/>
              <w:rPr>
                <w:sz w:val="24"/>
                <w:szCs w:val="24"/>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Shares used in computing earnings per common share: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186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Basic</w:t>
            </w:r>
          </w:p>
        </w:tc>
        <w:tc>
          <w:tcPr>
            <w:tcW w:w="538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29,112,573</w:t>
            </w:r>
          </w:p>
        </w:tc>
        <w:tc>
          <w:tcPr>
            <w:tcW w:w="134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29,333,054</w:t>
            </w:r>
          </w:p>
        </w:tc>
        <w:tc>
          <w:tcPr>
            <w:tcW w:w="134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29,549,990</w:t>
            </w:r>
          </w:p>
        </w:tc>
        <w:tc>
          <w:tcPr>
            <w:tcW w:w="80" w:type="dxa"/>
            <w:vAlign w:val="bottom"/>
            <w:shd w:val="clear" w:color="auto" w:fill="D5D5D5"/>
          </w:tcPr>
          <w:p>
            <w:pPr>
              <w:spacing w:after="0"/>
              <w:rPr>
                <w:sz w:val="24"/>
                <w:szCs w:val="24"/>
                <w:color w:val="auto"/>
              </w:rPr>
            </w:pPr>
          </w:p>
        </w:tc>
      </w:tr>
      <w:tr>
        <w:trPr>
          <w:trHeight w:val="259"/>
        </w:trPr>
        <w:tc>
          <w:tcPr>
            <w:tcW w:w="1860" w:type="dxa"/>
            <w:vAlign w:val="bottom"/>
            <w:tcBorders>
              <w:top w:val="single" w:sz="8" w:color="D5D5D5"/>
            </w:tcBorders>
          </w:tcPr>
          <w:p>
            <w:pPr>
              <w:spacing w:after="0"/>
              <w:rPr>
                <w:sz w:val="22"/>
                <w:szCs w:val="22"/>
                <w:color w:val="auto"/>
              </w:rPr>
            </w:pPr>
          </w:p>
        </w:tc>
        <w:tc>
          <w:tcPr>
            <w:tcW w:w="4120" w:type="dxa"/>
            <w:vAlign w:val="bottom"/>
            <w:tcBorders>
              <w:top w:val="single" w:sz="8" w:color="D5D5D5"/>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80" w:type="dxa"/>
            <w:vAlign w:val="bottom"/>
            <w:tcBorders>
              <w:top w:val="single" w:sz="8" w:color="D5D5D5"/>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80" w:type="dxa"/>
            <w:vAlign w:val="bottom"/>
            <w:tcBorders>
              <w:top w:val="single" w:sz="8" w:color="D5D5D5"/>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80" w:type="dxa"/>
            <w:vAlign w:val="bottom"/>
            <w:tcBorders>
              <w:top w:val="single" w:sz="8" w:color="D5D5D5"/>
            </w:tcBorders>
          </w:tcPr>
          <w:p>
            <w:pPr>
              <w:spacing w:after="0"/>
              <w:rPr>
                <w:sz w:val="22"/>
                <w:szCs w:val="22"/>
                <w:color w:val="auto"/>
              </w:rPr>
            </w:pPr>
          </w:p>
        </w:tc>
      </w:tr>
      <w:tr>
        <w:trPr>
          <w:trHeight w:val="297"/>
        </w:trPr>
        <w:tc>
          <w:tcPr>
            <w:tcW w:w="1860" w:type="dxa"/>
            <w:vAlign w:val="bottom"/>
            <w:tcBorders>
              <w:bottom w:val="single" w:sz="8" w:color="D5D5D5"/>
            </w:tcBorders>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Diluted</w:t>
            </w:r>
          </w:p>
        </w:tc>
        <w:tc>
          <w:tcPr>
            <w:tcW w:w="4120" w:type="dxa"/>
            <w:vAlign w:val="bottom"/>
            <w:tcBorders>
              <w:bottom w:val="single" w:sz="8" w:color="D5D5D5"/>
            </w:tcBorders>
            <w:shd w:val="clear" w:color="auto" w:fill="D5D5D5"/>
          </w:tcPr>
          <w:p>
            <w:pPr>
              <w:spacing w:after="0"/>
              <w:rPr>
                <w:sz w:val="24"/>
                <w:szCs w:val="24"/>
                <w:color w:val="auto"/>
              </w:rPr>
            </w:pPr>
          </w:p>
        </w:tc>
        <w:tc>
          <w:tcPr>
            <w:tcW w:w="12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29,481,791</w:t>
            </w:r>
          </w:p>
        </w:tc>
        <w:tc>
          <w:tcPr>
            <w:tcW w:w="80" w:type="dxa"/>
            <w:vAlign w:val="bottom"/>
            <w:tcBorders>
              <w:bottom w:val="single" w:sz="8" w:color="D5D5D5"/>
            </w:tcBorders>
            <w:shd w:val="clear" w:color="auto" w:fill="D5D5D5"/>
          </w:tcPr>
          <w:p>
            <w:pPr>
              <w:spacing w:after="0"/>
              <w:rPr>
                <w:sz w:val="24"/>
                <w:szCs w:val="24"/>
                <w:color w:val="auto"/>
              </w:rPr>
            </w:pPr>
          </w:p>
        </w:tc>
        <w:tc>
          <w:tcPr>
            <w:tcW w:w="12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29,698,926</w:t>
            </w:r>
          </w:p>
        </w:tc>
        <w:tc>
          <w:tcPr>
            <w:tcW w:w="80" w:type="dxa"/>
            <w:vAlign w:val="bottom"/>
            <w:tcBorders>
              <w:bottom w:val="single" w:sz="8" w:color="D5D5D5"/>
            </w:tcBorders>
            <w:shd w:val="clear" w:color="auto" w:fill="D5D5D5"/>
          </w:tcPr>
          <w:p>
            <w:pPr>
              <w:spacing w:after="0"/>
              <w:rPr>
                <w:sz w:val="24"/>
                <w:szCs w:val="24"/>
                <w:color w:val="auto"/>
              </w:rPr>
            </w:pPr>
          </w:p>
        </w:tc>
        <w:tc>
          <w:tcPr>
            <w:tcW w:w="12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29,996,591</w:t>
            </w:r>
          </w:p>
        </w:tc>
        <w:tc>
          <w:tcPr>
            <w:tcW w:w="80" w:type="dxa"/>
            <w:vAlign w:val="bottom"/>
            <w:tcBorders>
              <w:bottom w:val="single" w:sz="8" w:color="D5D5D5"/>
            </w:tcBorders>
            <w:shd w:val="clear" w:color="auto" w:fill="D5D5D5"/>
          </w:tcPr>
          <w:p>
            <w:pPr>
              <w:spacing w:after="0"/>
              <w:rPr>
                <w:sz w:val="24"/>
                <w:szCs w:val="24"/>
                <w:color w:val="auto"/>
              </w:rPr>
            </w:pPr>
          </w:p>
        </w:tc>
      </w:tr>
      <w:tr>
        <w:trPr>
          <w:trHeight w:val="535"/>
        </w:trPr>
        <w:tc>
          <w:tcPr>
            <w:tcW w:w="1860" w:type="dxa"/>
            <w:vAlign w:val="bottom"/>
          </w:tcPr>
          <w:p>
            <w:pPr>
              <w:spacing w:after="0"/>
              <w:rPr>
                <w:sz w:val="24"/>
                <w:szCs w:val="24"/>
                <w:color w:val="auto"/>
              </w:rPr>
            </w:pPr>
          </w:p>
        </w:tc>
        <w:tc>
          <w:tcPr>
            <w:tcW w:w="5380" w:type="dxa"/>
            <w:vAlign w:val="bottom"/>
            <w:gridSpan w:val="2"/>
          </w:tcPr>
          <w:p>
            <w:pPr>
              <w:jc w:val="right"/>
              <w:ind w:right="224"/>
              <w:spacing w:after="0"/>
              <w:rPr>
                <w:sz w:val="20"/>
                <w:szCs w:val="20"/>
                <w:color w:val="auto"/>
              </w:rPr>
            </w:pPr>
            <w:r>
              <w:rPr>
                <w:rFonts w:ascii="Times New Roman" w:cs="Times New Roman" w:eastAsia="Times New Roman" w:hAnsi="Times New Roman"/>
                <w:sz w:val="19"/>
                <w:szCs w:val="19"/>
                <w:color w:val="auto"/>
              </w:rPr>
              <w:t>See notes to the consolidated financial statements.</w:t>
            </w: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0" w:lineRule="exact"/>
        <w:rPr>
          <w:sz w:val="20"/>
          <w:szCs w:val="20"/>
          <w:color w:val="auto"/>
        </w:rPr>
      </w:pPr>
    </w:p>
    <w:p>
      <w:pPr>
        <w:sectPr>
          <w:pgSz w:w="11880" w:h="15480" w:orient="portrait"/>
          <w:cols w:equalWidth="0" w:num="1">
            <w:col w:w="10000"/>
          </w:cols>
          <w:pgMar w:left="980" w:top="93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254000</wp:posOffset>
            </wp:positionV>
            <wp:extent cx="76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9">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6913880</wp:posOffset>
            </wp:positionH>
            <wp:positionV relativeFrom="paragraph">
              <wp:posOffset>254000</wp:posOffset>
            </wp:positionV>
            <wp:extent cx="76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0">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10000"/>
          </w:cols>
          <w:pgMar w:left="980" w:top="934" w:right="900" w:bottom="0" w:gutter="0" w:footer="0" w:header="0"/>
          <w:type w:val="continuous"/>
        </w:sectPr>
      </w:pPr>
    </w:p>
    <w:bookmarkStart w:id="50" w:name="page51"/>
    <w:bookmarkEnd w:id="50"/>
    <w:p>
      <w:pPr>
        <w:jc w:val="center"/>
        <w:spacing w:after="0" w:line="273" w:lineRule="auto"/>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t>DYCOM INDUSTRIES, INC. AND SUBSIDIARIES CONSOLIDATED STATEMENTS OF COMPREHENSIVE INCOME (Dollars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gridSpan w:val="6"/>
          </w:tcPr>
          <w:p>
            <w:pPr>
              <w:jc w:val="center"/>
              <w:ind w:left="524"/>
              <w:spacing w:after="0"/>
              <w:rPr>
                <w:sz w:val="20"/>
                <w:szCs w:val="20"/>
                <w:color w:val="auto"/>
              </w:rPr>
            </w:pPr>
            <w:r>
              <w:rPr>
                <w:rFonts w:ascii="Times New Roman" w:cs="Times New Roman" w:eastAsia="Times New Roman" w:hAnsi="Times New Roman"/>
                <w:sz w:val="19"/>
                <w:szCs w:val="19"/>
                <w:b w:val="1"/>
                <w:bCs w:val="1"/>
                <w:color w:val="auto"/>
              </w:rPr>
              <w:t>Fiscal Year Ended</w:t>
            </w:r>
          </w:p>
        </w:tc>
        <w:tc>
          <w:tcPr>
            <w:tcW w:w="8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180"/>
        </w:trPr>
        <w:tc>
          <w:tcPr>
            <w:tcW w:w="6400" w:type="dxa"/>
            <w:vAlign w:val="bottom"/>
          </w:tcPr>
          <w:p>
            <w:pPr>
              <w:spacing w:after="0"/>
              <w:rPr>
                <w:sz w:val="15"/>
                <w:szCs w:val="15"/>
                <w:color w:val="auto"/>
              </w:rPr>
            </w:pPr>
          </w:p>
        </w:tc>
        <w:tc>
          <w:tcPr>
            <w:tcW w:w="1140" w:type="dxa"/>
            <w:vAlign w:val="bottom"/>
            <w:gridSpan w:val="2"/>
          </w:tcPr>
          <w:p>
            <w:pPr>
              <w:jc w:val="right"/>
              <w:ind w:right="4"/>
              <w:spacing w:after="0" w:line="180" w:lineRule="exact"/>
              <w:rPr>
                <w:sz w:val="20"/>
                <w:szCs w:val="20"/>
                <w:color w:val="auto"/>
              </w:rPr>
            </w:pPr>
            <w:r>
              <w:rPr>
                <w:rFonts w:ascii="Times New Roman" w:cs="Times New Roman" w:eastAsia="Times New Roman" w:hAnsi="Times New Roman"/>
                <w:sz w:val="19"/>
                <w:szCs w:val="19"/>
                <w:b w:val="1"/>
                <w:bCs w:val="1"/>
                <w:color w:val="auto"/>
              </w:rPr>
              <w:t>January 25,</w:t>
            </w:r>
          </w:p>
        </w:tc>
        <w:tc>
          <w:tcPr>
            <w:tcW w:w="60" w:type="dxa"/>
            <w:vAlign w:val="bottom"/>
          </w:tcPr>
          <w:p>
            <w:pPr>
              <w:spacing w:after="0"/>
              <w:rPr>
                <w:sz w:val="15"/>
                <w:szCs w:val="15"/>
                <w:color w:val="auto"/>
              </w:rPr>
            </w:pPr>
          </w:p>
        </w:tc>
        <w:tc>
          <w:tcPr>
            <w:tcW w:w="11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9"/>
                <w:szCs w:val="19"/>
                <w:b w:val="1"/>
                <w:bCs w:val="1"/>
                <w:color w:val="auto"/>
              </w:rPr>
              <w:t>January 27,</w:t>
            </w:r>
          </w:p>
        </w:tc>
        <w:tc>
          <w:tcPr>
            <w:tcW w:w="80" w:type="dxa"/>
            <w:vAlign w:val="bottom"/>
          </w:tcPr>
          <w:p>
            <w:pPr>
              <w:spacing w:after="0"/>
              <w:rPr>
                <w:sz w:val="15"/>
                <w:szCs w:val="15"/>
                <w:color w:val="auto"/>
              </w:rPr>
            </w:pPr>
          </w:p>
        </w:tc>
        <w:tc>
          <w:tcPr>
            <w:tcW w:w="1140" w:type="dxa"/>
            <w:vAlign w:val="bottom"/>
            <w:gridSpan w:val="2"/>
          </w:tcPr>
          <w:p>
            <w:pPr>
              <w:jc w:val="right"/>
              <w:ind w:right="4"/>
              <w:spacing w:after="0" w:line="180" w:lineRule="exact"/>
              <w:rPr>
                <w:sz w:val="20"/>
                <w:szCs w:val="20"/>
                <w:color w:val="auto"/>
              </w:rPr>
            </w:pPr>
            <w:r>
              <w:rPr>
                <w:rFonts w:ascii="Times New Roman" w:cs="Times New Roman" w:eastAsia="Times New Roman" w:hAnsi="Times New Roman"/>
                <w:sz w:val="19"/>
                <w:szCs w:val="19"/>
                <w:b w:val="1"/>
                <w:bCs w:val="1"/>
                <w:color w:val="auto"/>
              </w:rPr>
              <w:t>January 28,</w:t>
            </w:r>
          </w:p>
        </w:tc>
        <w:tc>
          <w:tcPr>
            <w:tcW w:w="60" w:type="dxa"/>
            <w:vAlign w:val="bottom"/>
          </w:tcPr>
          <w:p>
            <w:pPr>
              <w:spacing w:after="0"/>
              <w:rPr>
                <w:sz w:val="15"/>
                <w:szCs w:val="15"/>
                <w:color w:val="auto"/>
              </w:rPr>
            </w:pPr>
          </w:p>
        </w:tc>
      </w:tr>
      <w:tr>
        <w:trPr>
          <w:trHeight w:val="261"/>
        </w:trPr>
        <w:tc>
          <w:tcPr>
            <w:tcW w:w="6400" w:type="dxa"/>
            <w:vAlign w:val="bottom"/>
            <w:tcBorders>
              <w:bottom w:val="single" w:sz="8" w:color="D5D5D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9"/>
                <w:szCs w:val="19"/>
                <w:b w:val="1"/>
                <w:bCs w:val="1"/>
                <w:color w:val="auto"/>
              </w:rPr>
              <w:t>2025</w:t>
            </w:r>
          </w:p>
        </w:tc>
        <w:tc>
          <w:tcPr>
            <w:tcW w:w="60" w:type="dxa"/>
            <w:vAlign w:val="bottom"/>
            <w:tcBorders>
              <w:bottom w:val="single" w:sz="8" w:color="D5D5D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9"/>
                <w:szCs w:val="19"/>
                <w:b w:val="1"/>
                <w:bCs w:val="1"/>
                <w:color w:val="auto"/>
                <w:w w:val="99"/>
              </w:rPr>
              <w:t>2024</w:t>
            </w:r>
          </w:p>
        </w:tc>
        <w:tc>
          <w:tcPr>
            <w:tcW w:w="80" w:type="dxa"/>
            <w:vAlign w:val="bottom"/>
            <w:tcBorders>
              <w:bottom w:val="single" w:sz="8" w:color="D5D5D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9"/>
                <w:szCs w:val="19"/>
                <w:b w:val="1"/>
                <w:bCs w:val="1"/>
                <w:color w:val="auto"/>
              </w:rPr>
              <w:t>2023</w:t>
            </w:r>
          </w:p>
        </w:tc>
        <w:tc>
          <w:tcPr>
            <w:tcW w:w="60" w:type="dxa"/>
            <w:vAlign w:val="bottom"/>
            <w:tcBorders>
              <w:bottom w:val="single" w:sz="8" w:color="D5D5D5"/>
            </w:tcBorders>
          </w:tcPr>
          <w:p>
            <w:pPr>
              <w:spacing w:after="0"/>
              <w:rPr>
                <w:sz w:val="22"/>
                <w:szCs w:val="22"/>
                <w:color w:val="auto"/>
              </w:rPr>
            </w:pPr>
          </w:p>
        </w:tc>
      </w:tr>
      <w:tr>
        <w:trPr>
          <w:trHeight w:val="269"/>
        </w:trPr>
        <w:tc>
          <w:tcPr>
            <w:tcW w:w="640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Net income</w:t>
            </w:r>
          </w:p>
        </w:tc>
        <w:tc>
          <w:tcPr>
            <w:tcW w:w="260" w:type="dxa"/>
            <w:vAlign w:val="bottom"/>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233,413</w:t>
            </w:r>
          </w:p>
        </w:tc>
        <w:tc>
          <w:tcPr>
            <w:tcW w:w="320" w:type="dxa"/>
            <w:vAlign w:val="bottom"/>
            <w:gridSpan w:val="2"/>
            <w:shd w:val="clear" w:color="auto" w:fill="D5D5D5"/>
          </w:tcPr>
          <w:p>
            <w:pPr>
              <w:jc w:val="right"/>
              <w:ind w:right="4"/>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218,923</w:t>
            </w:r>
          </w:p>
        </w:tc>
        <w:tc>
          <w:tcPr>
            <w:tcW w:w="340" w:type="dxa"/>
            <w:vAlign w:val="bottom"/>
            <w:gridSpan w:val="2"/>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142,213</w:t>
            </w:r>
          </w:p>
        </w:tc>
        <w:tc>
          <w:tcPr>
            <w:tcW w:w="60" w:type="dxa"/>
            <w:vAlign w:val="bottom"/>
            <w:shd w:val="clear" w:color="auto" w:fill="D5D5D5"/>
          </w:tcPr>
          <w:p>
            <w:pPr>
              <w:spacing w:after="0"/>
              <w:rPr>
                <w:sz w:val="23"/>
                <w:szCs w:val="23"/>
                <w:color w:val="auto"/>
              </w:rPr>
            </w:pPr>
          </w:p>
        </w:tc>
      </w:tr>
      <w:tr>
        <w:trPr>
          <w:trHeight w:val="282"/>
        </w:trPr>
        <w:tc>
          <w:tcPr>
            <w:tcW w:w="64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Foreign currency translation gains (losses), net of tax</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w:t>
            </w:r>
          </w:p>
        </w:tc>
        <w:tc>
          <w:tcPr>
            <w:tcW w:w="60" w:type="dxa"/>
            <w:vAlign w:val="bottom"/>
          </w:tcPr>
          <w:p>
            <w:pPr>
              <w:spacing w:after="0"/>
              <w:rPr>
                <w:sz w:val="24"/>
                <w:szCs w:val="24"/>
                <w:color w:val="auto"/>
              </w:rPr>
            </w:pPr>
          </w:p>
        </w:tc>
      </w:tr>
      <w:tr>
        <w:trPr>
          <w:trHeight w:val="284"/>
        </w:trPr>
        <w:tc>
          <w:tcPr>
            <w:tcW w:w="6400" w:type="dxa"/>
            <w:vAlign w:val="bottom"/>
            <w:tcBorders>
              <w:bottom w:val="single" w:sz="8" w:color="D5D5D5"/>
            </w:tcBorders>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Disposal of foreign entity</w:t>
            </w:r>
          </w:p>
        </w:tc>
        <w:tc>
          <w:tcPr>
            <w:tcW w:w="260" w:type="dxa"/>
            <w:vAlign w:val="bottom"/>
            <w:tcBorders>
              <w:bottom w:val="single" w:sz="8" w:color="auto"/>
            </w:tcBorders>
            <w:shd w:val="clear" w:color="auto" w:fill="D5D5D5"/>
          </w:tcPr>
          <w:p>
            <w:pPr>
              <w:spacing w:after="0"/>
              <w:rPr>
                <w:sz w:val="24"/>
                <w:szCs w:val="24"/>
                <w:color w:val="auto"/>
              </w:rPr>
            </w:pPr>
          </w:p>
        </w:tc>
        <w:tc>
          <w:tcPr>
            <w:tcW w:w="8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1,547</w:t>
            </w:r>
          </w:p>
        </w:tc>
        <w:tc>
          <w:tcPr>
            <w:tcW w:w="60" w:type="dxa"/>
            <w:vAlign w:val="bottom"/>
            <w:tcBorders>
              <w:bottom w:val="single" w:sz="8" w:color="D5D5D5"/>
            </w:tcBorders>
            <w:shd w:val="clear" w:color="auto" w:fill="D5D5D5"/>
          </w:tcPr>
          <w:p>
            <w:pPr>
              <w:spacing w:after="0"/>
              <w:rPr>
                <w:sz w:val="24"/>
                <w:szCs w:val="24"/>
                <w:color w:val="auto"/>
              </w:rPr>
            </w:pPr>
          </w:p>
        </w:tc>
        <w:tc>
          <w:tcPr>
            <w:tcW w:w="260" w:type="dxa"/>
            <w:vAlign w:val="bottom"/>
            <w:tcBorders>
              <w:bottom w:val="single" w:sz="8" w:color="auto"/>
            </w:tcBorders>
            <w:shd w:val="clear" w:color="auto" w:fill="D5D5D5"/>
          </w:tcPr>
          <w:p>
            <w:pPr>
              <w:spacing w:after="0"/>
              <w:rPr>
                <w:sz w:val="24"/>
                <w:szCs w:val="24"/>
                <w:color w:val="auto"/>
              </w:rPr>
            </w:pPr>
          </w:p>
        </w:tc>
        <w:tc>
          <w:tcPr>
            <w:tcW w:w="8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bottom w:val="single" w:sz="8" w:color="D5D5D5"/>
            </w:tcBorders>
            <w:shd w:val="clear" w:color="auto" w:fill="D5D5D5"/>
          </w:tcPr>
          <w:p>
            <w:pPr>
              <w:spacing w:after="0"/>
              <w:rPr>
                <w:sz w:val="24"/>
                <w:szCs w:val="24"/>
                <w:color w:val="auto"/>
              </w:rPr>
            </w:pPr>
          </w:p>
        </w:tc>
        <w:tc>
          <w:tcPr>
            <w:tcW w:w="260" w:type="dxa"/>
            <w:vAlign w:val="bottom"/>
            <w:tcBorders>
              <w:bottom w:val="single" w:sz="8" w:color="auto"/>
            </w:tcBorders>
            <w:shd w:val="clear" w:color="auto" w:fill="D5D5D5"/>
          </w:tcPr>
          <w:p>
            <w:pPr>
              <w:spacing w:after="0"/>
              <w:rPr>
                <w:sz w:val="24"/>
                <w:szCs w:val="24"/>
                <w:color w:val="auto"/>
              </w:rPr>
            </w:pPr>
          </w:p>
        </w:tc>
        <w:tc>
          <w:tcPr>
            <w:tcW w:w="8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D5D5D5"/>
            </w:tcBorders>
            <w:shd w:val="clear" w:color="auto" w:fill="D5D5D5"/>
          </w:tcPr>
          <w:p>
            <w:pPr>
              <w:spacing w:after="0"/>
              <w:rPr>
                <w:sz w:val="24"/>
                <w:szCs w:val="24"/>
                <w:color w:val="auto"/>
              </w:rPr>
            </w:pPr>
          </w:p>
        </w:tc>
      </w:tr>
      <w:tr>
        <w:trPr>
          <w:trHeight w:val="250"/>
        </w:trPr>
        <w:tc>
          <w:tcPr>
            <w:tcW w:w="64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Comprehensive income</w:t>
            </w:r>
          </w:p>
        </w:tc>
        <w:tc>
          <w:tcPr>
            <w:tcW w:w="2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234,960</w:t>
            </w:r>
          </w:p>
        </w:tc>
        <w:tc>
          <w:tcPr>
            <w:tcW w:w="320" w:type="dxa"/>
            <w:vAlign w:val="bottom"/>
            <w:gridSpan w:val="2"/>
          </w:tcPr>
          <w:p>
            <w:pPr>
              <w:jc w:val="right"/>
              <w:ind w:right="4"/>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219,147</w:t>
            </w:r>
          </w:p>
        </w:tc>
        <w:tc>
          <w:tcPr>
            <w:tcW w:w="34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142,211</w:t>
            </w:r>
          </w:p>
        </w:tc>
        <w:tc>
          <w:tcPr>
            <w:tcW w:w="60" w:type="dxa"/>
            <w:vAlign w:val="bottom"/>
          </w:tcPr>
          <w:p>
            <w:pPr>
              <w:spacing w:after="0"/>
              <w:rPr>
                <w:sz w:val="21"/>
                <w:szCs w:val="21"/>
                <w:color w:val="auto"/>
              </w:rPr>
            </w:pPr>
          </w:p>
        </w:tc>
      </w:tr>
      <w:tr>
        <w:trPr>
          <w:trHeight w:val="20"/>
        </w:trPr>
        <w:tc>
          <w:tcPr>
            <w:tcW w:w="6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See notes to the consolidated financial statements.</w:t>
      </w:r>
    </w:p>
    <w:p>
      <w:pPr>
        <w:sectPr>
          <w:pgSz w:w="11880" w:h="15480" w:orient="portrait"/>
          <w:cols w:equalWidth="0" w:num="1">
            <w:col w:w="10020"/>
          </w:cols>
          <w:pgMar w:left="980" w:top="934"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254000</wp:posOffset>
            </wp:positionV>
            <wp:extent cx="76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3">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6913880</wp:posOffset>
            </wp:positionH>
            <wp:positionV relativeFrom="paragraph">
              <wp:posOffset>254000</wp:posOffset>
            </wp:positionV>
            <wp:extent cx="76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4">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10020"/>
          </w:cols>
          <w:pgMar w:left="980" w:top="934" w:right="880" w:bottom="0" w:gutter="0" w:footer="0" w:header="0"/>
          <w:type w:val="continuous"/>
        </w:sectPr>
      </w:pPr>
    </w:p>
    <w:bookmarkStart w:id="51" w:name="page52"/>
    <w:bookmarkEnd w:id="51"/>
    <w:p>
      <w:pPr>
        <w:jc w:val="center"/>
        <w:ind w:left="1020" w:right="2100"/>
        <w:spacing w:after="0" w:line="265" w:lineRule="auto"/>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t>DYCOM INDUSTRIES, INC. AND SUBSIDIARIES CONSOLIDATED STATEMENTS OF STOCKHOLDERS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EQUITY (Dollars in thousands)</w:t>
      </w:r>
    </w:p>
    <w:tbl>
      <w:tblPr>
        <w:tblLayout w:type="fixed"/>
        <w:tblInd w:w="0" w:type="dxa"/>
        <w:tblCellMar>
          <w:top w:w="0" w:type="dxa"/>
          <w:left w:w="0" w:type="dxa"/>
          <w:bottom w:w="0" w:type="dxa"/>
          <w:right w:w="0" w:type="dxa"/>
        </w:tblCellMar>
      </w:tblPr>
      <w:tr>
        <w:trPr>
          <w:trHeight w:val="195"/>
        </w:trPr>
        <w:tc>
          <w:tcPr>
            <w:tcW w:w="3580" w:type="dxa"/>
            <w:vAlign w:val="bottom"/>
          </w:tcPr>
          <w:p>
            <w:pPr>
              <w:spacing w:after="0"/>
              <w:rPr>
                <w:sz w:val="16"/>
                <w:szCs w:val="16"/>
                <w:color w:val="auto"/>
              </w:rPr>
            </w:pPr>
          </w:p>
        </w:tc>
        <w:tc>
          <w:tcPr>
            <w:tcW w:w="2040" w:type="dxa"/>
            <w:vAlign w:val="bottom"/>
            <w:gridSpan w:val="4"/>
            <w:vMerge w:val="restart"/>
          </w:tcPr>
          <w:p>
            <w:pPr>
              <w:jc w:val="right"/>
              <w:ind w:right="324"/>
              <w:spacing w:after="0"/>
              <w:rPr>
                <w:sz w:val="20"/>
                <w:szCs w:val="20"/>
                <w:color w:val="auto"/>
              </w:rPr>
            </w:pPr>
            <w:r>
              <w:rPr>
                <w:rFonts w:ascii="Times New Roman" w:cs="Times New Roman" w:eastAsia="Times New Roman" w:hAnsi="Times New Roman"/>
                <w:sz w:val="19"/>
                <w:szCs w:val="19"/>
                <w:color w:val="auto"/>
              </w:rPr>
              <w:t>Common Stock</w:t>
            </w:r>
          </w:p>
        </w:tc>
        <w:tc>
          <w:tcPr>
            <w:tcW w:w="60" w:type="dxa"/>
            <w:vAlign w:val="bottom"/>
          </w:tcPr>
          <w:p>
            <w:pPr>
              <w:spacing w:after="0"/>
              <w:rPr>
                <w:sz w:val="16"/>
                <w:szCs w:val="16"/>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Additional</w:t>
            </w:r>
          </w:p>
        </w:tc>
        <w:tc>
          <w:tcPr>
            <w:tcW w:w="60" w:type="dxa"/>
            <w:vAlign w:val="bottom"/>
          </w:tcPr>
          <w:p>
            <w:pPr>
              <w:spacing w:after="0"/>
              <w:rPr>
                <w:sz w:val="16"/>
                <w:szCs w:val="16"/>
                <w:color w:val="auto"/>
              </w:rPr>
            </w:pPr>
          </w:p>
        </w:tc>
        <w:tc>
          <w:tcPr>
            <w:tcW w:w="13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9"/>
                <w:szCs w:val="19"/>
                <w:color w:val="auto"/>
              </w:rPr>
              <w:t>Accumulated</w:t>
            </w: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204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center"/>
              <w:ind w:right="204"/>
              <w:spacing w:after="0" w:line="192" w:lineRule="exact"/>
              <w:rPr>
                <w:sz w:val="20"/>
                <w:szCs w:val="20"/>
                <w:color w:val="auto"/>
              </w:rPr>
            </w:pPr>
            <w:r>
              <w:rPr>
                <w:rFonts w:ascii="Times New Roman" w:cs="Times New Roman" w:eastAsia="Times New Roman" w:hAnsi="Times New Roman"/>
                <w:sz w:val="19"/>
                <w:szCs w:val="19"/>
                <w:color w:val="auto"/>
              </w:rPr>
              <w:t>Other</w:t>
            </w: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5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vMerge w:val="restart"/>
          </w:tcPr>
          <w:p>
            <w:pPr>
              <w:jc w:val="right"/>
              <w:ind w:right="104"/>
              <w:spacing w:after="0" w:line="192" w:lineRule="exact"/>
              <w:rPr>
                <w:sz w:val="20"/>
                <w:szCs w:val="20"/>
                <w:color w:val="auto"/>
              </w:rPr>
            </w:pPr>
            <w:r>
              <w:rPr>
                <w:rFonts w:ascii="Times New Roman" w:cs="Times New Roman" w:eastAsia="Times New Roman" w:hAnsi="Times New Roman"/>
                <w:sz w:val="19"/>
                <w:szCs w:val="19"/>
                <w:color w:val="auto"/>
                <w:w w:val="98"/>
              </w:rPr>
              <w:t>Paid-in</w:t>
            </w:r>
          </w:p>
        </w:tc>
        <w:tc>
          <w:tcPr>
            <w:tcW w:w="60" w:type="dxa"/>
            <w:vAlign w:val="bottom"/>
            <w:vMerge w:val="restart"/>
          </w:tcPr>
          <w:p>
            <w:pPr>
              <w:spacing w:after="0"/>
              <w:rPr>
                <w:sz w:val="4"/>
                <w:szCs w:val="4"/>
                <w:color w:val="auto"/>
              </w:rPr>
            </w:pPr>
          </w:p>
        </w:tc>
        <w:tc>
          <w:tcPr>
            <w:tcW w:w="1320" w:type="dxa"/>
            <w:vAlign w:val="bottom"/>
            <w:gridSpan w:val="2"/>
            <w:vMerge w:val="restart"/>
          </w:tcPr>
          <w:p>
            <w:pPr>
              <w:jc w:val="center"/>
              <w:spacing w:after="0" w:line="192" w:lineRule="exact"/>
              <w:rPr>
                <w:sz w:val="20"/>
                <w:szCs w:val="20"/>
                <w:color w:val="auto"/>
              </w:rPr>
            </w:pPr>
            <w:r>
              <w:rPr>
                <w:rFonts w:ascii="Times New Roman" w:cs="Times New Roman" w:eastAsia="Times New Roman" w:hAnsi="Times New Roman"/>
                <w:sz w:val="19"/>
                <w:szCs w:val="19"/>
                <w:color w:val="auto"/>
              </w:rPr>
              <w:t>Comprehensive</w:t>
            </w:r>
          </w:p>
        </w:tc>
        <w:tc>
          <w:tcPr>
            <w:tcW w:w="60" w:type="dxa"/>
            <w:vAlign w:val="bottom"/>
            <w:vMerge w:val="restart"/>
          </w:tcPr>
          <w:p>
            <w:pPr>
              <w:spacing w:after="0"/>
              <w:rPr>
                <w:sz w:val="4"/>
                <w:szCs w:val="4"/>
                <w:color w:val="auto"/>
              </w:rPr>
            </w:pPr>
          </w:p>
        </w:tc>
        <w:tc>
          <w:tcPr>
            <w:tcW w:w="940" w:type="dxa"/>
            <w:vAlign w:val="bottom"/>
            <w:vMerge w:val="restart"/>
          </w:tcPr>
          <w:p>
            <w:pPr>
              <w:jc w:val="center"/>
              <w:spacing w:after="0" w:line="192" w:lineRule="exact"/>
              <w:rPr>
                <w:sz w:val="20"/>
                <w:szCs w:val="20"/>
                <w:color w:val="auto"/>
              </w:rPr>
            </w:pPr>
            <w:r>
              <w:rPr>
                <w:rFonts w:ascii="Times New Roman" w:cs="Times New Roman" w:eastAsia="Times New Roman" w:hAnsi="Times New Roman"/>
                <w:sz w:val="19"/>
                <w:szCs w:val="19"/>
                <w:color w:val="auto"/>
              </w:rPr>
              <w:t>Retained</w:t>
            </w:r>
          </w:p>
        </w:tc>
        <w:tc>
          <w:tcPr>
            <w:tcW w:w="80" w:type="dxa"/>
            <w:vAlign w:val="bottom"/>
            <w:vMerge w:val="restart"/>
          </w:tcPr>
          <w:p>
            <w:pPr>
              <w:spacing w:after="0"/>
              <w:rPr>
                <w:sz w:val="4"/>
                <w:szCs w:val="4"/>
                <w:color w:val="auto"/>
              </w:rPr>
            </w:pPr>
          </w:p>
        </w:tc>
        <w:tc>
          <w:tcPr>
            <w:tcW w:w="920" w:type="dxa"/>
            <w:vAlign w:val="bottom"/>
            <w:vMerge w:val="restart"/>
          </w:tcPr>
          <w:p>
            <w:pPr>
              <w:jc w:val="center"/>
              <w:spacing w:after="0" w:line="192" w:lineRule="exact"/>
              <w:rPr>
                <w:sz w:val="20"/>
                <w:szCs w:val="20"/>
                <w:color w:val="auto"/>
              </w:rPr>
            </w:pPr>
            <w:r>
              <w:rPr>
                <w:rFonts w:ascii="Times New Roman" w:cs="Times New Roman" w:eastAsia="Times New Roman" w:hAnsi="Times New Roman"/>
                <w:sz w:val="19"/>
                <w:szCs w:val="19"/>
                <w:color w:val="auto"/>
                <w:w w:val="99"/>
              </w:rPr>
              <w:t>Total</w:t>
            </w:r>
          </w:p>
        </w:tc>
        <w:tc>
          <w:tcPr>
            <w:tcW w:w="0" w:type="dxa"/>
            <w:vAlign w:val="bottom"/>
          </w:tcPr>
          <w:p>
            <w:pPr>
              <w:spacing w:after="0"/>
              <w:rPr>
                <w:sz w:val="1"/>
                <w:szCs w:val="1"/>
                <w:color w:val="auto"/>
              </w:rPr>
            </w:pPr>
          </w:p>
        </w:tc>
      </w:tr>
      <w:tr>
        <w:trPr>
          <w:trHeight w:val="122"/>
        </w:trPr>
        <w:tc>
          <w:tcPr>
            <w:tcW w:w="3580" w:type="dxa"/>
            <w:vAlign w:val="bottom"/>
          </w:tcPr>
          <w:p>
            <w:pPr>
              <w:spacing w:after="0"/>
              <w:rPr>
                <w:sz w:val="10"/>
                <w:szCs w:val="10"/>
                <w:color w:val="auto"/>
              </w:rPr>
            </w:pPr>
          </w:p>
        </w:tc>
        <w:tc>
          <w:tcPr>
            <w:tcW w:w="1140" w:type="dxa"/>
            <w:vAlign w:val="bottom"/>
            <w:vMerge w:val="restart"/>
          </w:tcPr>
          <w:p>
            <w:pPr>
              <w:jc w:val="right"/>
              <w:ind w:right="204"/>
              <w:spacing w:after="0"/>
              <w:rPr>
                <w:sz w:val="20"/>
                <w:szCs w:val="20"/>
                <w:color w:val="auto"/>
              </w:rPr>
            </w:pPr>
            <w:r>
              <w:rPr>
                <w:rFonts w:ascii="Times New Roman" w:cs="Times New Roman" w:eastAsia="Times New Roman" w:hAnsi="Times New Roman"/>
                <w:sz w:val="19"/>
                <w:szCs w:val="19"/>
                <w:color w:val="auto"/>
              </w:rPr>
              <w:t>Shares</w:t>
            </w:r>
          </w:p>
        </w:tc>
        <w:tc>
          <w:tcPr>
            <w:tcW w:w="80" w:type="dxa"/>
            <w:vAlign w:val="bottom"/>
          </w:tcPr>
          <w:p>
            <w:pPr>
              <w:spacing w:after="0"/>
              <w:rPr>
                <w:sz w:val="10"/>
                <w:szCs w:val="10"/>
                <w:color w:val="auto"/>
              </w:rPr>
            </w:pPr>
          </w:p>
        </w:tc>
        <w:tc>
          <w:tcPr>
            <w:tcW w:w="82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9"/>
                <w:szCs w:val="19"/>
                <w:color w:val="auto"/>
              </w:rPr>
              <w:t>Amount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3580" w:type="dxa"/>
            <w:vAlign w:val="bottom"/>
            <w:tcBorders>
              <w:bottom w:val="single" w:sz="8" w:color="D5D5D5"/>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D5D5D5"/>
            </w:tcBorders>
          </w:tcPr>
          <w:p>
            <w:pPr>
              <w:spacing w:after="0"/>
              <w:rPr>
                <w:sz w:val="21"/>
                <w:szCs w:val="21"/>
                <w:color w:val="auto"/>
              </w:rPr>
            </w:pPr>
          </w:p>
        </w:tc>
        <w:tc>
          <w:tcPr>
            <w:tcW w:w="820" w:type="dxa"/>
            <w:vAlign w:val="bottom"/>
            <w:tcBorders>
              <w:bottom w:val="single" w:sz="8" w:color="auto"/>
            </w:tcBorders>
            <w:gridSpan w:val="2"/>
            <w:vMerge w:val="continue"/>
          </w:tcPr>
          <w:p>
            <w:pPr>
              <w:spacing w:after="0"/>
              <w:rPr>
                <w:sz w:val="21"/>
                <w:szCs w:val="21"/>
                <w:color w:val="auto"/>
              </w:rPr>
            </w:pPr>
          </w:p>
        </w:tc>
        <w:tc>
          <w:tcPr>
            <w:tcW w:w="60" w:type="dxa"/>
            <w:vAlign w:val="bottom"/>
            <w:tcBorders>
              <w:bottom w:val="single" w:sz="8" w:color="D5D5D5"/>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9"/>
                <w:szCs w:val="19"/>
                <w:color w:val="auto"/>
                <w:w w:val="98"/>
              </w:rPr>
              <w:t>Capital</w:t>
            </w:r>
          </w:p>
        </w:tc>
        <w:tc>
          <w:tcPr>
            <w:tcW w:w="60" w:type="dxa"/>
            <w:vAlign w:val="bottom"/>
            <w:tcBorders>
              <w:bottom w:val="single" w:sz="8" w:color="D5D5D5"/>
            </w:tcBorders>
          </w:tcPr>
          <w:p>
            <w:pPr>
              <w:spacing w:after="0"/>
              <w:rPr>
                <w:sz w:val="21"/>
                <w:szCs w:val="21"/>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color w:val="auto"/>
              </w:rPr>
              <w:t>Income (Loss)</w:t>
            </w:r>
          </w:p>
        </w:tc>
        <w:tc>
          <w:tcPr>
            <w:tcW w:w="60" w:type="dxa"/>
            <w:vAlign w:val="bottom"/>
            <w:tcBorders>
              <w:bottom w:val="single" w:sz="8" w:color="D5D5D5"/>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Earnings</w:t>
            </w:r>
          </w:p>
        </w:tc>
        <w:tc>
          <w:tcPr>
            <w:tcW w:w="80" w:type="dxa"/>
            <w:vAlign w:val="bottom"/>
            <w:tcBorders>
              <w:bottom w:val="single" w:sz="8" w:color="D5D5D5"/>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Equity</w:t>
            </w:r>
          </w:p>
        </w:tc>
        <w:tc>
          <w:tcPr>
            <w:tcW w:w="0" w:type="dxa"/>
            <w:vAlign w:val="bottom"/>
          </w:tcPr>
          <w:p>
            <w:pPr>
              <w:spacing w:after="0"/>
              <w:rPr>
                <w:sz w:val="1"/>
                <w:szCs w:val="1"/>
                <w:color w:val="auto"/>
              </w:rPr>
            </w:pPr>
          </w:p>
        </w:tc>
      </w:tr>
      <w:tr>
        <w:trPr>
          <w:trHeight w:val="278"/>
        </w:trPr>
        <w:tc>
          <w:tcPr>
            <w:tcW w:w="35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Balances as of January 29, 2022</w:t>
            </w:r>
          </w:p>
        </w:tc>
        <w:tc>
          <w:tcPr>
            <w:tcW w:w="11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29,612,867</w:t>
            </w:r>
          </w:p>
        </w:tc>
        <w:tc>
          <w:tcPr>
            <w:tcW w:w="30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9,871</w:t>
            </w:r>
          </w:p>
        </w:tc>
        <w:tc>
          <w:tcPr>
            <w:tcW w:w="24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2,028</w:t>
            </w:r>
          </w:p>
        </w:tc>
        <w:tc>
          <w:tcPr>
            <w:tcW w:w="360" w:type="dxa"/>
            <w:vAlign w:val="bottom"/>
            <w:gridSpan w:val="2"/>
            <w:shd w:val="clear" w:color="auto" w:fill="D5D5D5"/>
          </w:tcPr>
          <w:p>
            <w:pPr>
              <w:jc w:val="right"/>
              <w:ind w:right="64"/>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(1,769)</w:t>
            </w:r>
          </w:p>
        </w:tc>
        <w:tc>
          <w:tcPr>
            <w:tcW w:w="100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$ 748,414</w:t>
            </w:r>
          </w:p>
        </w:tc>
        <w:tc>
          <w:tcPr>
            <w:tcW w:w="100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$ 758,544</w:t>
            </w:r>
          </w:p>
        </w:tc>
        <w:tc>
          <w:tcPr>
            <w:tcW w:w="0" w:type="dxa"/>
            <w:vAlign w:val="bottom"/>
          </w:tcPr>
          <w:p>
            <w:pPr>
              <w:spacing w:after="0"/>
              <w:rPr>
                <w:sz w:val="1"/>
                <w:szCs w:val="1"/>
                <w:color w:val="auto"/>
              </w:rPr>
            </w:pPr>
          </w:p>
        </w:tc>
      </w:tr>
      <w:tr>
        <w:trPr>
          <w:trHeight w:val="282"/>
        </w:trPr>
        <w:tc>
          <w:tcPr>
            <w:tcW w:w="35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Stock options exercised</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119,430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4,517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4,557</w:t>
            </w:r>
          </w:p>
        </w:tc>
        <w:tc>
          <w:tcPr>
            <w:tcW w:w="0" w:type="dxa"/>
            <w:vAlign w:val="bottom"/>
          </w:tcPr>
          <w:p>
            <w:pPr>
              <w:spacing w:after="0"/>
              <w:rPr>
                <w:sz w:val="1"/>
                <w:szCs w:val="1"/>
                <w:color w:val="auto"/>
              </w:rPr>
            </w:pPr>
          </w:p>
        </w:tc>
      </w:tr>
      <w:tr>
        <w:trPr>
          <w:trHeight w:val="294"/>
        </w:trPr>
        <w:tc>
          <w:tcPr>
            <w:tcW w:w="35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Stock-based compensation</w:t>
            </w:r>
          </w:p>
        </w:tc>
        <w:tc>
          <w:tcPr>
            <w:tcW w:w="11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1,824</w:t>
            </w:r>
          </w:p>
        </w:tc>
        <w:tc>
          <w:tcPr>
            <w:tcW w:w="80" w:type="dxa"/>
            <w:vAlign w:val="bottom"/>
            <w:shd w:val="clear" w:color="auto" w:fill="D5D5D5"/>
          </w:tcPr>
          <w:p>
            <w:pPr>
              <w:spacing w:after="0"/>
              <w:rPr>
                <w:sz w:val="24"/>
                <w:szCs w:val="24"/>
                <w:color w:val="auto"/>
              </w:rPr>
            </w:pPr>
          </w:p>
        </w:tc>
        <w:tc>
          <w:tcPr>
            <w:tcW w:w="220" w:type="dxa"/>
            <w:vAlign w:val="bottom"/>
            <w:shd w:val="clear" w:color="auto" w:fill="D5D5D5"/>
          </w:tcPr>
          <w:p>
            <w:pPr>
              <w:spacing w:after="0"/>
              <w:rPr>
                <w:sz w:val="24"/>
                <w:szCs w:val="24"/>
                <w:color w:val="auto"/>
              </w:rPr>
            </w:pPr>
          </w:p>
        </w:tc>
        <w:tc>
          <w:tcPr>
            <w:tcW w:w="6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60" w:type="dxa"/>
            <w:vAlign w:val="bottom"/>
            <w:shd w:val="clear" w:color="auto" w:fill="D5D5D5"/>
          </w:tcPr>
          <w:p>
            <w:pPr>
              <w:spacing w:after="0"/>
              <w:rPr>
                <w:sz w:val="24"/>
                <w:szCs w:val="24"/>
                <w:color w:val="auto"/>
              </w:rPr>
            </w:pPr>
          </w:p>
        </w:tc>
        <w:tc>
          <w:tcPr>
            <w:tcW w:w="180" w:type="dxa"/>
            <w:vAlign w:val="bottom"/>
            <w:shd w:val="clear" w:color="auto" w:fill="D5D5D5"/>
          </w:tcPr>
          <w:p>
            <w:pPr>
              <w:spacing w:after="0"/>
              <w:rPr>
                <w:sz w:val="24"/>
                <w:szCs w:val="24"/>
                <w:color w:val="auto"/>
              </w:rPr>
            </w:pPr>
          </w:p>
        </w:tc>
        <w:tc>
          <w:tcPr>
            <w:tcW w:w="7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17,926</w:t>
            </w:r>
          </w:p>
        </w:tc>
        <w:tc>
          <w:tcPr>
            <w:tcW w:w="60" w:type="dxa"/>
            <w:vAlign w:val="bottom"/>
            <w:shd w:val="clear" w:color="auto" w:fill="D5D5D5"/>
          </w:tcPr>
          <w:p>
            <w:pPr>
              <w:spacing w:after="0"/>
              <w:rPr>
                <w:sz w:val="24"/>
                <w:szCs w:val="24"/>
                <w:color w:val="auto"/>
              </w:rPr>
            </w:pPr>
          </w:p>
        </w:tc>
        <w:tc>
          <w:tcPr>
            <w:tcW w:w="300" w:type="dxa"/>
            <w:vAlign w:val="bottom"/>
            <w:shd w:val="clear" w:color="auto" w:fill="D5D5D5"/>
          </w:tcPr>
          <w:p>
            <w:pPr>
              <w:spacing w:after="0"/>
              <w:rPr>
                <w:sz w:val="24"/>
                <w:szCs w:val="24"/>
                <w:color w:val="auto"/>
              </w:rPr>
            </w:pPr>
          </w:p>
        </w:tc>
        <w:tc>
          <w:tcPr>
            <w:tcW w:w="10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D5D5D5"/>
          </w:tcPr>
          <w:p>
            <w:pPr>
              <w:spacing w:after="0"/>
              <w:rPr>
                <w:sz w:val="24"/>
                <w:szCs w:val="24"/>
                <w:color w:val="auto"/>
              </w:rPr>
            </w:pPr>
          </w:p>
        </w:tc>
        <w:tc>
          <w:tcPr>
            <w:tcW w:w="9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17,927</w:t>
            </w:r>
          </w:p>
        </w:tc>
        <w:tc>
          <w:tcPr>
            <w:tcW w:w="0" w:type="dxa"/>
            <w:vAlign w:val="bottom"/>
          </w:tcPr>
          <w:p>
            <w:pPr>
              <w:spacing w:after="0"/>
              <w:rPr>
                <w:sz w:val="1"/>
                <w:szCs w:val="1"/>
                <w:color w:val="auto"/>
              </w:rPr>
            </w:pPr>
          </w:p>
        </w:tc>
      </w:tr>
      <w:tr>
        <w:trPr>
          <w:trHeight w:val="213"/>
        </w:trPr>
        <w:tc>
          <w:tcPr>
            <w:tcW w:w="3580" w:type="dxa"/>
            <w:vAlign w:val="bottom"/>
          </w:tcPr>
          <w:p>
            <w:pPr>
              <w:ind w:left="60"/>
              <w:spacing w:after="0" w:line="214" w:lineRule="exact"/>
              <w:rPr>
                <w:sz w:val="20"/>
                <w:szCs w:val="20"/>
                <w:color w:val="auto"/>
              </w:rPr>
            </w:pPr>
            <w:r>
              <w:rPr>
                <w:rFonts w:ascii="Times New Roman" w:cs="Times New Roman" w:eastAsia="Times New Roman" w:hAnsi="Times New Roman"/>
                <w:sz w:val="19"/>
                <w:szCs w:val="19"/>
                <w:color w:val="auto"/>
              </w:rPr>
              <w:t>Issuance of restricted stock, net of tax</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129,930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(3,449)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(2,346)</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(5,752)</w:t>
            </w:r>
          </w:p>
        </w:tc>
        <w:tc>
          <w:tcPr>
            <w:tcW w:w="0" w:type="dxa"/>
            <w:vAlign w:val="bottom"/>
          </w:tcPr>
          <w:p>
            <w:pPr>
              <w:spacing w:after="0"/>
              <w:rPr>
                <w:sz w:val="1"/>
                <w:szCs w:val="1"/>
                <w:color w:val="auto"/>
              </w:rPr>
            </w:pPr>
          </w:p>
        </w:tc>
      </w:tr>
      <w:tr>
        <w:trPr>
          <w:trHeight w:val="257"/>
        </w:trPr>
        <w:tc>
          <w:tcPr>
            <w:tcW w:w="35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withholdings</w:t>
            </w:r>
          </w:p>
        </w:tc>
        <w:tc>
          <w:tcPr>
            <w:tcW w:w="11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35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Repurchase of common stock</w:t>
            </w:r>
          </w:p>
        </w:tc>
        <w:tc>
          <w:tcPr>
            <w:tcW w:w="11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(514,030)</w:t>
            </w:r>
          </w:p>
        </w:tc>
        <w:tc>
          <w:tcPr>
            <w:tcW w:w="80" w:type="dxa"/>
            <w:vAlign w:val="bottom"/>
            <w:shd w:val="clear" w:color="auto" w:fill="D5D5D5"/>
          </w:tcPr>
          <w:p>
            <w:pPr>
              <w:spacing w:after="0"/>
              <w:rPr>
                <w:sz w:val="24"/>
                <w:szCs w:val="24"/>
                <w:color w:val="auto"/>
              </w:rPr>
            </w:pPr>
          </w:p>
        </w:tc>
        <w:tc>
          <w:tcPr>
            <w:tcW w:w="220" w:type="dxa"/>
            <w:vAlign w:val="bottom"/>
            <w:shd w:val="clear" w:color="auto" w:fill="D5D5D5"/>
          </w:tcPr>
          <w:p>
            <w:pPr>
              <w:spacing w:after="0"/>
              <w:rPr>
                <w:sz w:val="24"/>
                <w:szCs w:val="24"/>
                <w:color w:val="auto"/>
              </w:rPr>
            </w:pPr>
          </w:p>
        </w:tc>
        <w:tc>
          <w:tcPr>
            <w:tcW w:w="6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(172)</w:t>
            </w:r>
          </w:p>
        </w:tc>
        <w:tc>
          <w:tcPr>
            <w:tcW w:w="60" w:type="dxa"/>
            <w:vAlign w:val="bottom"/>
            <w:shd w:val="clear" w:color="auto" w:fill="D5D5D5"/>
          </w:tcPr>
          <w:p>
            <w:pPr>
              <w:spacing w:after="0"/>
              <w:rPr>
                <w:sz w:val="24"/>
                <w:szCs w:val="24"/>
                <w:color w:val="auto"/>
              </w:rPr>
            </w:pPr>
          </w:p>
        </w:tc>
        <w:tc>
          <w:tcPr>
            <w:tcW w:w="180" w:type="dxa"/>
            <w:vAlign w:val="bottom"/>
            <w:shd w:val="clear" w:color="auto" w:fill="D5D5D5"/>
          </w:tcPr>
          <w:p>
            <w:pPr>
              <w:spacing w:after="0"/>
              <w:rPr>
                <w:sz w:val="24"/>
                <w:szCs w:val="24"/>
                <w:color w:val="auto"/>
              </w:rPr>
            </w:pPr>
          </w:p>
        </w:tc>
        <w:tc>
          <w:tcPr>
            <w:tcW w:w="7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(15,368)</w:t>
            </w:r>
          </w:p>
        </w:tc>
        <w:tc>
          <w:tcPr>
            <w:tcW w:w="60" w:type="dxa"/>
            <w:vAlign w:val="bottom"/>
            <w:shd w:val="clear" w:color="auto" w:fill="D5D5D5"/>
          </w:tcPr>
          <w:p>
            <w:pPr>
              <w:spacing w:after="0"/>
              <w:rPr>
                <w:sz w:val="24"/>
                <w:szCs w:val="24"/>
                <w:color w:val="auto"/>
              </w:rPr>
            </w:pPr>
          </w:p>
        </w:tc>
        <w:tc>
          <w:tcPr>
            <w:tcW w:w="300" w:type="dxa"/>
            <w:vAlign w:val="bottom"/>
            <w:shd w:val="clear" w:color="auto" w:fill="D5D5D5"/>
          </w:tcPr>
          <w:p>
            <w:pPr>
              <w:spacing w:after="0"/>
              <w:rPr>
                <w:sz w:val="24"/>
                <w:szCs w:val="24"/>
                <w:color w:val="auto"/>
              </w:rPr>
            </w:pPr>
          </w:p>
        </w:tc>
        <w:tc>
          <w:tcPr>
            <w:tcW w:w="10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(33,192)</w:t>
            </w:r>
          </w:p>
        </w:tc>
        <w:tc>
          <w:tcPr>
            <w:tcW w:w="100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(48,732)</w:t>
            </w:r>
          </w:p>
        </w:tc>
        <w:tc>
          <w:tcPr>
            <w:tcW w:w="0" w:type="dxa"/>
            <w:vAlign w:val="bottom"/>
          </w:tcPr>
          <w:p>
            <w:pPr>
              <w:spacing w:after="0"/>
              <w:rPr>
                <w:sz w:val="1"/>
                <w:szCs w:val="1"/>
                <w:color w:val="auto"/>
              </w:rPr>
            </w:pPr>
          </w:p>
        </w:tc>
      </w:tr>
      <w:tr>
        <w:trPr>
          <w:trHeight w:val="282"/>
        </w:trPr>
        <w:tc>
          <w:tcPr>
            <w:tcW w:w="35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Other comprehensive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w:t>
            </w:r>
          </w:p>
        </w:tc>
        <w:tc>
          <w:tcPr>
            <w:tcW w:w="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w:t>
            </w:r>
          </w:p>
        </w:tc>
        <w:tc>
          <w:tcPr>
            <w:tcW w:w="0" w:type="dxa"/>
            <w:vAlign w:val="bottom"/>
          </w:tcPr>
          <w:p>
            <w:pPr>
              <w:spacing w:after="0"/>
              <w:rPr>
                <w:sz w:val="1"/>
                <w:szCs w:val="1"/>
                <w:color w:val="auto"/>
              </w:rPr>
            </w:pPr>
          </w:p>
        </w:tc>
      </w:tr>
      <w:tr>
        <w:trPr>
          <w:trHeight w:val="284"/>
        </w:trPr>
        <w:tc>
          <w:tcPr>
            <w:tcW w:w="3580" w:type="dxa"/>
            <w:vAlign w:val="bottom"/>
            <w:tcBorders>
              <w:bottom w:val="single" w:sz="8" w:color="D5D5D5"/>
            </w:tcBorders>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Net income</w:t>
            </w:r>
          </w:p>
        </w:tc>
        <w:tc>
          <w:tcPr>
            <w:tcW w:w="114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bottom w:val="single" w:sz="8" w:color="D5D5D5"/>
            </w:tcBorders>
            <w:shd w:val="clear" w:color="auto" w:fill="D5D5D5"/>
          </w:tcPr>
          <w:p>
            <w:pPr>
              <w:spacing w:after="0"/>
              <w:rPr>
                <w:sz w:val="24"/>
                <w:szCs w:val="24"/>
                <w:color w:val="auto"/>
              </w:rPr>
            </w:pPr>
          </w:p>
        </w:tc>
        <w:tc>
          <w:tcPr>
            <w:tcW w:w="220" w:type="dxa"/>
            <w:vAlign w:val="bottom"/>
            <w:tcBorders>
              <w:bottom w:val="single" w:sz="8" w:color="auto"/>
            </w:tcBorders>
            <w:shd w:val="clear" w:color="auto" w:fill="D5D5D5"/>
          </w:tcPr>
          <w:p>
            <w:pPr>
              <w:spacing w:after="0"/>
              <w:rPr>
                <w:sz w:val="24"/>
                <w:szCs w:val="24"/>
                <w:color w:val="auto"/>
              </w:rPr>
            </w:pPr>
          </w:p>
        </w:tc>
        <w:tc>
          <w:tcPr>
            <w:tcW w:w="6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D5D5D5"/>
            </w:tcBorders>
            <w:shd w:val="clear" w:color="auto" w:fill="D5D5D5"/>
          </w:tcPr>
          <w:p>
            <w:pPr>
              <w:spacing w:after="0"/>
              <w:rPr>
                <w:sz w:val="24"/>
                <w:szCs w:val="24"/>
                <w:color w:val="auto"/>
              </w:rPr>
            </w:pPr>
          </w:p>
        </w:tc>
        <w:tc>
          <w:tcPr>
            <w:tcW w:w="180" w:type="dxa"/>
            <w:vAlign w:val="bottom"/>
            <w:tcBorders>
              <w:bottom w:val="single" w:sz="8" w:color="auto"/>
            </w:tcBorders>
            <w:shd w:val="clear" w:color="auto" w:fill="D5D5D5"/>
          </w:tcPr>
          <w:p>
            <w:pPr>
              <w:spacing w:after="0"/>
              <w:rPr>
                <w:sz w:val="24"/>
                <w:szCs w:val="24"/>
                <w:color w:val="auto"/>
              </w:rPr>
            </w:pPr>
          </w:p>
        </w:tc>
        <w:tc>
          <w:tcPr>
            <w:tcW w:w="7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D5D5D5"/>
            </w:tcBorders>
            <w:shd w:val="clear" w:color="auto" w:fill="D5D5D5"/>
          </w:tcPr>
          <w:p>
            <w:pPr>
              <w:spacing w:after="0"/>
              <w:rPr>
                <w:sz w:val="24"/>
                <w:szCs w:val="24"/>
                <w:color w:val="auto"/>
              </w:rPr>
            </w:pPr>
          </w:p>
        </w:tc>
        <w:tc>
          <w:tcPr>
            <w:tcW w:w="300" w:type="dxa"/>
            <w:vAlign w:val="bottom"/>
            <w:tcBorders>
              <w:bottom w:val="single" w:sz="8" w:color="auto"/>
            </w:tcBorders>
            <w:shd w:val="clear" w:color="auto" w:fill="D5D5D5"/>
          </w:tcPr>
          <w:p>
            <w:pPr>
              <w:spacing w:after="0"/>
              <w:rPr>
                <w:sz w:val="24"/>
                <w:szCs w:val="24"/>
                <w:color w:val="auto"/>
              </w:rPr>
            </w:pPr>
          </w:p>
        </w:tc>
        <w:tc>
          <w:tcPr>
            <w:tcW w:w="10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D5D5D5"/>
            </w:tcBorders>
            <w:shd w:val="clear" w:color="auto" w:fill="D5D5D5"/>
          </w:tcPr>
          <w:p>
            <w:pPr>
              <w:spacing w:after="0"/>
              <w:rPr>
                <w:sz w:val="24"/>
                <w:szCs w:val="24"/>
                <w:color w:val="auto"/>
              </w:rPr>
            </w:pPr>
          </w:p>
        </w:tc>
        <w:tc>
          <w:tcPr>
            <w:tcW w:w="94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142,213</w:t>
            </w:r>
          </w:p>
        </w:tc>
        <w:tc>
          <w:tcPr>
            <w:tcW w:w="80" w:type="dxa"/>
            <w:vAlign w:val="bottom"/>
            <w:tcBorders>
              <w:bottom w:val="single" w:sz="8" w:color="D5D5D5"/>
            </w:tcBorders>
            <w:shd w:val="clear" w:color="auto" w:fill="D5D5D5"/>
          </w:tcPr>
          <w:p>
            <w:pPr>
              <w:spacing w:after="0"/>
              <w:rPr>
                <w:sz w:val="24"/>
                <w:szCs w:val="24"/>
                <w:color w:val="auto"/>
              </w:rPr>
            </w:pPr>
          </w:p>
        </w:tc>
        <w:tc>
          <w:tcPr>
            <w:tcW w:w="9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142,213</w:t>
            </w:r>
          </w:p>
        </w:tc>
        <w:tc>
          <w:tcPr>
            <w:tcW w:w="0" w:type="dxa"/>
            <w:vAlign w:val="bottom"/>
          </w:tcPr>
          <w:p>
            <w:pPr>
              <w:spacing w:after="0"/>
              <w:rPr>
                <w:sz w:val="1"/>
                <w:szCs w:val="1"/>
                <w:color w:val="auto"/>
              </w:rPr>
            </w:pPr>
          </w:p>
        </w:tc>
      </w:tr>
      <w:tr>
        <w:trPr>
          <w:trHeight w:val="272"/>
        </w:trPr>
        <w:tc>
          <w:tcPr>
            <w:tcW w:w="35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Balances as of January 28,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29,350,021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9,783</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5,654</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(1,771)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855,089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868,755</w:t>
            </w:r>
          </w:p>
        </w:tc>
        <w:tc>
          <w:tcPr>
            <w:tcW w:w="0" w:type="dxa"/>
            <w:vAlign w:val="bottom"/>
          </w:tcPr>
          <w:p>
            <w:pPr>
              <w:spacing w:after="0"/>
              <w:rPr>
                <w:sz w:val="1"/>
                <w:szCs w:val="1"/>
                <w:color w:val="auto"/>
              </w:rPr>
            </w:pPr>
          </w:p>
        </w:tc>
      </w:tr>
      <w:tr>
        <w:trPr>
          <w:trHeight w:val="294"/>
        </w:trPr>
        <w:tc>
          <w:tcPr>
            <w:tcW w:w="35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Stock options exercised</w:t>
            </w:r>
          </w:p>
        </w:tc>
        <w:tc>
          <w:tcPr>
            <w:tcW w:w="11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19,736</w:t>
            </w:r>
          </w:p>
        </w:tc>
        <w:tc>
          <w:tcPr>
            <w:tcW w:w="80" w:type="dxa"/>
            <w:vAlign w:val="bottom"/>
            <w:shd w:val="clear" w:color="auto" w:fill="D5D5D5"/>
          </w:tcPr>
          <w:p>
            <w:pPr>
              <w:spacing w:after="0"/>
              <w:rPr>
                <w:sz w:val="24"/>
                <w:szCs w:val="24"/>
                <w:color w:val="auto"/>
              </w:rPr>
            </w:pPr>
          </w:p>
        </w:tc>
        <w:tc>
          <w:tcPr>
            <w:tcW w:w="220" w:type="dxa"/>
            <w:vAlign w:val="bottom"/>
            <w:shd w:val="clear" w:color="auto" w:fill="D5D5D5"/>
          </w:tcPr>
          <w:p>
            <w:pPr>
              <w:spacing w:after="0"/>
              <w:rPr>
                <w:sz w:val="24"/>
                <w:szCs w:val="24"/>
                <w:color w:val="auto"/>
              </w:rPr>
            </w:pPr>
          </w:p>
        </w:tc>
        <w:tc>
          <w:tcPr>
            <w:tcW w:w="6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w:t>
            </w:r>
          </w:p>
        </w:tc>
        <w:tc>
          <w:tcPr>
            <w:tcW w:w="60" w:type="dxa"/>
            <w:vAlign w:val="bottom"/>
            <w:shd w:val="clear" w:color="auto" w:fill="D5D5D5"/>
          </w:tcPr>
          <w:p>
            <w:pPr>
              <w:spacing w:after="0"/>
              <w:rPr>
                <w:sz w:val="24"/>
                <w:szCs w:val="24"/>
                <w:color w:val="auto"/>
              </w:rPr>
            </w:pPr>
          </w:p>
        </w:tc>
        <w:tc>
          <w:tcPr>
            <w:tcW w:w="180" w:type="dxa"/>
            <w:vAlign w:val="bottom"/>
            <w:shd w:val="clear" w:color="auto" w:fill="D5D5D5"/>
          </w:tcPr>
          <w:p>
            <w:pPr>
              <w:spacing w:after="0"/>
              <w:rPr>
                <w:sz w:val="24"/>
                <w:szCs w:val="24"/>
                <w:color w:val="auto"/>
              </w:rPr>
            </w:pPr>
          </w:p>
        </w:tc>
        <w:tc>
          <w:tcPr>
            <w:tcW w:w="7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1,142</w:t>
            </w:r>
          </w:p>
        </w:tc>
        <w:tc>
          <w:tcPr>
            <w:tcW w:w="60" w:type="dxa"/>
            <w:vAlign w:val="bottom"/>
            <w:shd w:val="clear" w:color="auto" w:fill="D5D5D5"/>
          </w:tcPr>
          <w:p>
            <w:pPr>
              <w:spacing w:after="0"/>
              <w:rPr>
                <w:sz w:val="24"/>
                <w:szCs w:val="24"/>
                <w:color w:val="auto"/>
              </w:rPr>
            </w:pPr>
          </w:p>
        </w:tc>
        <w:tc>
          <w:tcPr>
            <w:tcW w:w="300" w:type="dxa"/>
            <w:vAlign w:val="bottom"/>
            <w:shd w:val="clear" w:color="auto" w:fill="D5D5D5"/>
          </w:tcPr>
          <w:p>
            <w:pPr>
              <w:spacing w:after="0"/>
              <w:rPr>
                <w:sz w:val="24"/>
                <w:szCs w:val="24"/>
                <w:color w:val="auto"/>
              </w:rPr>
            </w:pPr>
          </w:p>
        </w:tc>
        <w:tc>
          <w:tcPr>
            <w:tcW w:w="10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D5D5D5"/>
          </w:tcPr>
          <w:p>
            <w:pPr>
              <w:spacing w:after="0"/>
              <w:rPr>
                <w:sz w:val="24"/>
                <w:szCs w:val="24"/>
                <w:color w:val="auto"/>
              </w:rPr>
            </w:pPr>
          </w:p>
        </w:tc>
        <w:tc>
          <w:tcPr>
            <w:tcW w:w="9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1,149</w:t>
            </w:r>
          </w:p>
        </w:tc>
        <w:tc>
          <w:tcPr>
            <w:tcW w:w="0" w:type="dxa"/>
            <w:vAlign w:val="bottom"/>
          </w:tcPr>
          <w:p>
            <w:pPr>
              <w:spacing w:after="0"/>
              <w:rPr>
                <w:sz w:val="1"/>
                <w:szCs w:val="1"/>
                <w:color w:val="auto"/>
              </w:rPr>
            </w:pPr>
          </w:p>
        </w:tc>
      </w:tr>
      <w:tr>
        <w:trPr>
          <w:trHeight w:val="282"/>
        </w:trPr>
        <w:tc>
          <w:tcPr>
            <w:tcW w:w="35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1,759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25,456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25,457</w:t>
            </w:r>
          </w:p>
        </w:tc>
        <w:tc>
          <w:tcPr>
            <w:tcW w:w="0" w:type="dxa"/>
            <w:vAlign w:val="bottom"/>
          </w:tcPr>
          <w:p>
            <w:pPr>
              <w:spacing w:after="0"/>
              <w:rPr>
                <w:sz w:val="1"/>
                <w:szCs w:val="1"/>
                <w:color w:val="auto"/>
              </w:rPr>
            </w:pPr>
          </w:p>
        </w:tc>
      </w:tr>
      <w:tr>
        <w:trPr>
          <w:trHeight w:val="219"/>
        </w:trPr>
        <w:tc>
          <w:tcPr>
            <w:tcW w:w="35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Issuance of restricted stock, net of tax</w:t>
            </w:r>
          </w:p>
        </w:tc>
        <w:tc>
          <w:tcPr>
            <w:tcW w:w="1140" w:type="dxa"/>
            <w:vAlign w:val="bottom"/>
            <w:vMerge w:val="restart"/>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204,762</w:t>
            </w:r>
          </w:p>
        </w:tc>
        <w:tc>
          <w:tcPr>
            <w:tcW w:w="80" w:type="dxa"/>
            <w:vAlign w:val="bottom"/>
            <w:shd w:val="clear" w:color="auto" w:fill="D5D5D5"/>
          </w:tcPr>
          <w:p>
            <w:pPr>
              <w:spacing w:after="0"/>
              <w:rPr>
                <w:sz w:val="19"/>
                <w:szCs w:val="19"/>
                <w:color w:val="auto"/>
              </w:rPr>
            </w:pPr>
          </w:p>
        </w:tc>
        <w:tc>
          <w:tcPr>
            <w:tcW w:w="220" w:type="dxa"/>
            <w:vAlign w:val="bottom"/>
            <w:shd w:val="clear" w:color="auto" w:fill="D5D5D5"/>
          </w:tcPr>
          <w:p>
            <w:pPr>
              <w:spacing w:after="0"/>
              <w:rPr>
                <w:sz w:val="19"/>
                <w:szCs w:val="19"/>
                <w:color w:val="auto"/>
              </w:rPr>
            </w:pPr>
          </w:p>
        </w:tc>
        <w:tc>
          <w:tcPr>
            <w:tcW w:w="600" w:type="dxa"/>
            <w:vAlign w:val="bottom"/>
            <w:vMerge w:val="restart"/>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68</w:t>
            </w:r>
          </w:p>
        </w:tc>
        <w:tc>
          <w:tcPr>
            <w:tcW w:w="60" w:type="dxa"/>
            <w:vAlign w:val="bottom"/>
            <w:shd w:val="clear" w:color="auto" w:fill="D5D5D5"/>
          </w:tcPr>
          <w:p>
            <w:pPr>
              <w:spacing w:after="0"/>
              <w:rPr>
                <w:sz w:val="19"/>
                <w:szCs w:val="19"/>
                <w:color w:val="auto"/>
              </w:rPr>
            </w:pPr>
          </w:p>
        </w:tc>
        <w:tc>
          <w:tcPr>
            <w:tcW w:w="180" w:type="dxa"/>
            <w:vAlign w:val="bottom"/>
            <w:shd w:val="clear" w:color="auto" w:fill="D5D5D5"/>
          </w:tcPr>
          <w:p>
            <w:pPr>
              <w:spacing w:after="0"/>
              <w:rPr>
                <w:sz w:val="19"/>
                <w:szCs w:val="19"/>
                <w:color w:val="auto"/>
              </w:rPr>
            </w:pPr>
          </w:p>
        </w:tc>
        <w:tc>
          <w:tcPr>
            <w:tcW w:w="760" w:type="dxa"/>
            <w:vAlign w:val="bottom"/>
            <w:vMerge w:val="restart"/>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(6,072)</w:t>
            </w:r>
          </w:p>
        </w:tc>
        <w:tc>
          <w:tcPr>
            <w:tcW w:w="60" w:type="dxa"/>
            <w:vAlign w:val="bottom"/>
            <w:shd w:val="clear" w:color="auto" w:fill="D5D5D5"/>
          </w:tcPr>
          <w:p>
            <w:pPr>
              <w:spacing w:after="0"/>
              <w:rPr>
                <w:sz w:val="19"/>
                <w:szCs w:val="19"/>
                <w:color w:val="auto"/>
              </w:rPr>
            </w:pPr>
          </w:p>
        </w:tc>
        <w:tc>
          <w:tcPr>
            <w:tcW w:w="300" w:type="dxa"/>
            <w:vAlign w:val="bottom"/>
            <w:shd w:val="clear" w:color="auto" w:fill="D5D5D5"/>
          </w:tcPr>
          <w:p>
            <w:pPr>
              <w:spacing w:after="0"/>
              <w:rPr>
                <w:sz w:val="19"/>
                <w:szCs w:val="19"/>
                <w:color w:val="auto"/>
              </w:rPr>
            </w:pPr>
          </w:p>
        </w:tc>
        <w:tc>
          <w:tcPr>
            <w:tcW w:w="1020" w:type="dxa"/>
            <w:vAlign w:val="bottom"/>
            <w:vMerge w:val="restart"/>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gridSpan w:val="2"/>
            <w:vMerge w:val="restart"/>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(3,899)</w:t>
            </w:r>
          </w:p>
        </w:tc>
        <w:tc>
          <w:tcPr>
            <w:tcW w:w="1000" w:type="dxa"/>
            <w:vAlign w:val="bottom"/>
            <w:gridSpan w:val="2"/>
            <w:vMerge w:val="restart"/>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(9,903)</w:t>
            </w:r>
          </w:p>
        </w:tc>
        <w:tc>
          <w:tcPr>
            <w:tcW w:w="0" w:type="dxa"/>
            <w:vAlign w:val="bottom"/>
          </w:tcPr>
          <w:p>
            <w:pPr>
              <w:spacing w:after="0"/>
              <w:rPr>
                <w:sz w:val="1"/>
                <w:szCs w:val="1"/>
                <w:color w:val="auto"/>
              </w:rPr>
            </w:pPr>
          </w:p>
        </w:tc>
      </w:tr>
      <w:tr>
        <w:trPr>
          <w:trHeight w:val="262"/>
        </w:trPr>
        <w:tc>
          <w:tcPr>
            <w:tcW w:w="35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withholdings</w:t>
            </w:r>
          </w:p>
        </w:tc>
        <w:tc>
          <w:tcPr>
            <w:tcW w:w="1140" w:type="dxa"/>
            <w:vAlign w:val="bottom"/>
            <w:vMerge w:val="continue"/>
            <w:shd w:val="clear" w:color="auto" w:fill="D5D5D5"/>
          </w:tcPr>
          <w:p>
            <w:pPr>
              <w:spacing w:after="0"/>
              <w:rPr>
                <w:sz w:val="22"/>
                <w:szCs w:val="22"/>
                <w:color w:val="auto"/>
              </w:rPr>
            </w:pPr>
          </w:p>
        </w:tc>
        <w:tc>
          <w:tcPr>
            <w:tcW w:w="80" w:type="dxa"/>
            <w:vAlign w:val="bottom"/>
            <w:shd w:val="clear" w:color="auto" w:fill="D5D5D5"/>
          </w:tcPr>
          <w:p>
            <w:pPr>
              <w:spacing w:after="0"/>
              <w:rPr>
                <w:sz w:val="22"/>
                <w:szCs w:val="22"/>
                <w:color w:val="auto"/>
              </w:rPr>
            </w:pPr>
          </w:p>
        </w:tc>
        <w:tc>
          <w:tcPr>
            <w:tcW w:w="220" w:type="dxa"/>
            <w:vAlign w:val="bottom"/>
            <w:shd w:val="clear" w:color="auto" w:fill="D5D5D5"/>
          </w:tcPr>
          <w:p>
            <w:pPr>
              <w:spacing w:after="0"/>
              <w:rPr>
                <w:sz w:val="22"/>
                <w:szCs w:val="22"/>
                <w:color w:val="auto"/>
              </w:rPr>
            </w:pPr>
          </w:p>
        </w:tc>
        <w:tc>
          <w:tcPr>
            <w:tcW w:w="600" w:type="dxa"/>
            <w:vAlign w:val="bottom"/>
            <w:vMerge w:val="continue"/>
            <w:shd w:val="clear" w:color="auto" w:fill="D5D5D5"/>
          </w:tcPr>
          <w:p>
            <w:pPr>
              <w:spacing w:after="0"/>
              <w:rPr>
                <w:sz w:val="22"/>
                <w:szCs w:val="22"/>
                <w:color w:val="auto"/>
              </w:rPr>
            </w:pPr>
          </w:p>
        </w:tc>
        <w:tc>
          <w:tcPr>
            <w:tcW w:w="60" w:type="dxa"/>
            <w:vAlign w:val="bottom"/>
            <w:shd w:val="clear" w:color="auto" w:fill="D5D5D5"/>
          </w:tcPr>
          <w:p>
            <w:pPr>
              <w:spacing w:after="0"/>
              <w:rPr>
                <w:sz w:val="22"/>
                <w:szCs w:val="22"/>
                <w:color w:val="auto"/>
              </w:rPr>
            </w:pPr>
          </w:p>
        </w:tc>
        <w:tc>
          <w:tcPr>
            <w:tcW w:w="180" w:type="dxa"/>
            <w:vAlign w:val="bottom"/>
            <w:shd w:val="clear" w:color="auto" w:fill="D5D5D5"/>
          </w:tcPr>
          <w:p>
            <w:pPr>
              <w:spacing w:after="0"/>
              <w:rPr>
                <w:sz w:val="22"/>
                <w:szCs w:val="22"/>
                <w:color w:val="auto"/>
              </w:rPr>
            </w:pPr>
          </w:p>
        </w:tc>
        <w:tc>
          <w:tcPr>
            <w:tcW w:w="760" w:type="dxa"/>
            <w:vAlign w:val="bottom"/>
            <w:vMerge w:val="continue"/>
            <w:shd w:val="clear" w:color="auto" w:fill="D5D5D5"/>
          </w:tcPr>
          <w:p>
            <w:pPr>
              <w:spacing w:after="0"/>
              <w:rPr>
                <w:sz w:val="22"/>
                <w:szCs w:val="22"/>
                <w:color w:val="auto"/>
              </w:rPr>
            </w:pPr>
          </w:p>
        </w:tc>
        <w:tc>
          <w:tcPr>
            <w:tcW w:w="60" w:type="dxa"/>
            <w:vAlign w:val="bottom"/>
            <w:shd w:val="clear" w:color="auto" w:fill="D5D5D5"/>
          </w:tcPr>
          <w:p>
            <w:pPr>
              <w:spacing w:after="0"/>
              <w:rPr>
                <w:sz w:val="22"/>
                <w:szCs w:val="22"/>
                <w:color w:val="auto"/>
              </w:rPr>
            </w:pPr>
          </w:p>
        </w:tc>
        <w:tc>
          <w:tcPr>
            <w:tcW w:w="300" w:type="dxa"/>
            <w:vAlign w:val="bottom"/>
            <w:shd w:val="clear" w:color="auto" w:fill="D5D5D5"/>
          </w:tcPr>
          <w:p>
            <w:pPr>
              <w:spacing w:after="0"/>
              <w:rPr>
                <w:sz w:val="22"/>
                <w:szCs w:val="22"/>
                <w:color w:val="auto"/>
              </w:rPr>
            </w:pPr>
          </w:p>
        </w:tc>
        <w:tc>
          <w:tcPr>
            <w:tcW w:w="1020" w:type="dxa"/>
            <w:vAlign w:val="bottom"/>
            <w:vMerge w:val="continue"/>
            <w:shd w:val="clear" w:color="auto" w:fill="D5D5D5"/>
          </w:tcPr>
          <w:p>
            <w:pPr>
              <w:spacing w:after="0"/>
              <w:rPr>
                <w:sz w:val="22"/>
                <w:szCs w:val="22"/>
                <w:color w:val="auto"/>
              </w:rPr>
            </w:pPr>
          </w:p>
        </w:tc>
        <w:tc>
          <w:tcPr>
            <w:tcW w:w="1000" w:type="dxa"/>
            <w:vAlign w:val="bottom"/>
            <w:gridSpan w:val="2"/>
            <w:vMerge w:val="continue"/>
            <w:shd w:val="clear" w:color="auto" w:fill="D5D5D5"/>
          </w:tcPr>
          <w:p>
            <w:pPr>
              <w:spacing w:after="0"/>
              <w:rPr>
                <w:sz w:val="22"/>
                <w:szCs w:val="22"/>
                <w:color w:val="auto"/>
              </w:rPr>
            </w:pPr>
          </w:p>
        </w:tc>
        <w:tc>
          <w:tcPr>
            <w:tcW w:w="1000" w:type="dxa"/>
            <w:vAlign w:val="bottom"/>
            <w:gridSpan w:val="2"/>
            <w:vMerge w:val="continue"/>
            <w:shd w:val="clear" w:color="auto" w:fill="D5D5D5"/>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60"/>
              <w:spacing w:after="0" w:line="214" w:lineRule="exact"/>
              <w:rPr>
                <w:sz w:val="20"/>
                <w:szCs w:val="20"/>
                <w:color w:val="auto"/>
              </w:rPr>
            </w:pPr>
            <w:r>
              <w:rPr>
                <w:rFonts w:ascii="Times New Roman" w:cs="Times New Roman" w:eastAsia="Times New Roman" w:hAnsi="Times New Roman"/>
                <w:sz w:val="19"/>
                <w:szCs w:val="19"/>
                <w:color w:val="auto"/>
              </w:rPr>
              <w:t>Repurchase of common stock, including</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(485,000)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(162)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(19,963)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(29,824)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(49,949)</w:t>
            </w:r>
          </w:p>
        </w:tc>
        <w:tc>
          <w:tcPr>
            <w:tcW w:w="0" w:type="dxa"/>
            <w:vAlign w:val="bottom"/>
          </w:tcPr>
          <w:p>
            <w:pPr>
              <w:spacing w:after="0"/>
              <w:rPr>
                <w:sz w:val="1"/>
                <w:szCs w:val="1"/>
                <w:color w:val="auto"/>
              </w:rPr>
            </w:pPr>
          </w:p>
        </w:tc>
      </w:tr>
      <w:tr>
        <w:trPr>
          <w:trHeight w:val="257"/>
        </w:trPr>
        <w:tc>
          <w:tcPr>
            <w:tcW w:w="35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applicable excise tax</w:t>
            </w:r>
          </w:p>
        </w:tc>
        <w:tc>
          <w:tcPr>
            <w:tcW w:w="11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35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Other comprehensive income</w:t>
            </w:r>
          </w:p>
        </w:tc>
        <w:tc>
          <w:tcPr>
            <w:tcW w:w="11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shd w:val="clear" w:color="auto" w:fill="D5D5D5"/>
          </w:tcPr>
          <w:p>
            <w:pPr>
              <w:spacing w:after="0"/>
              <w:rPr>
                <w:sz w:val="24"/>
                <w:szCs w:val="24"/>
                <w:color w:val="auto"/>
              </w:rPr>
            </w:pPr>
          </w:p>
        </w:tc>
        <w:tc>
          <w:tcPr>
            <w:tcW w:w="220" w:type="dxa"/>
            <w:vAlign w:val="bottom"/>
            <w:shd w:val="clear" w:color="auto" w:fill="D5D5D5"/>
          </w:tcPr>
          <w:p>
            <w:pPr>
              <w:spacing w:after="0"/>
              <w:rPr>
                <w:sz w:val="24"/>
                <w:szCs w:val="24"/>
                <w:color w:val="auto"/>
              </w:rPr>
            </w:pPr>
          </w:p>
        </w:tc>
        <w:tc>
          <w:tcPr>
            <w:tcW w:w="6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D5D5D5"/>
          </w:tcPr>
          <w:p>
            <w:pPr>
              <w:spacing w:after="0"/>
              <w:rPr>
                <w:sz w:val="24"/>
                <w:szCs w:val="24"/>
                <w:color w:val="auto"/>
              </w:rPr>
            </w:pPr>
          </w:p>
        </w:tc>
        <w:tc>
          <w:tcPr>
            <w:tcW w:w="180" w:type="dxa"/>
            <w:vAlign w:val="bottom"/>
            <w:shd w:val="clear" w:color="auto" w:fill="D5D5D5"/>
          </w:tcPr>
          <w:p>
            <w:pPr>
              <w:spacing w:after="0"/>
              <w:rPr>
                <w:sz w:val="24"/>
                <w:szCs w:val="24"/>
                <w:color w:val="auto"/>
              </w:rPr>
            </w:pPr>
          </w:p>
        </w:tc>
        <w:tc>
          <w:tcPr>
            <w:tcW w:w="7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D5D5D5"/>
          </w:tcPr>
          <w:p>
            <w:pPr>
              <w:spacing w:after="0"/>
              <w:rPr>
                <w:sz w:val="24"/>
                <w:szCs w:val="24"/>
                <w:color w:val="auto"/>
              </w:rPr>
            </w:pPr>
          </w:p>
        </w:tc>
        <w:tc>
          <w:tcPr>
            <w:tcW w:w="300" w:type="dxa"/>
            <w:vAlign w:val="bottom"/>
            <w:shd w:val="clear" w:color="auto" w:fill="D5D5D5"/>
          </w:tcPr>
          <w:p>
            <w:pPr>
              <w:spacing w:after="0"/>
              <w:rPr>
                <w:sz w:val="24"/>
                <w:szCs w:val="24"/>
                <w:color w:val="auto"/>
              </w:rPr>
            </w:pPr>
          </w:p>
        </w:tc>
        <w:tc>
          <w:tcPr>
            <w:tcW w:w="10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224</w:t>
            </w:r>
          </w:p>
        </w:tc>
        <w:tc>
          <w:tcPr>
            <w:tcW w:w="60" w:type="dxa"/>
            <w:vAlign w:val="bottom"/>
            <w:shd w:val="clear" w:color="auto" w:fill="D5D5D5"/>
          </w:tcPr>
          <w:p>
            <w:pPr>
              <w:spacing w:after="0"/>
              <w:rPr>
                <w:sz w:val="24"/>
                <w:szCs w:val="24"/>
                <w:color w:val="auto"/>
              </w:rPr>
            </w:pPr>
          </w:p>
        </w:tc>
        <w:tc>
          <w:tcPr>
            <w:tcW w:w="9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224</w:t>
            </w:r>
          </w:p>
        </w:tc>
        <w:tc>
          <w:tcPr>
            <w:tcW w:w="0" w:type="dxa"/>
            <w:vAlign w:val="bottom"/>
          </w:tcPr>
          <w:p>
            <w:pPr>
              <w:spacing w:after="0"/>
              <w:rPr>
                <w:sz w:val="1"/>
                <w:szCs w:val="1"/>
                <w:color w:val="auto"/>
              </w:rPr>
            </w:pPr>
          </w:p>
        </w:tc>
      </w:tr>
      <w:tr>
        <w:trPr>
          <w:trHeight w:val="278"/>
        </w:trPr>
        <w:tc>
          <w:tcPr>
            <w:tcW w:w="3580" w:type="dxa"/>
            <w:vAlign w:val="bottom"/>
            <w:tcBorders>
              <w:bottom w:val="single" w:sz="8" w:color="D5D5D5"/>
            </w:tcBorders>
          </w:tcPr>
          <w:p>
            <w:pPr>
              <w:ind w:left="60"/>
              <w:spacing w:after="0"/>
              <w:rPr>
                <w:sz w:val="20"/>
                <w:szCs w:val="20"/>
                <w:color w:val="auto"/>
              </w:rPr>
            </w:pPr>
            <w:r>
              <w:rPr>
                <w:rFonts w:ascii="Times New Roman" w:cs="Times New Roman" w:eastAsia="Times New Roman" w:hAnsi="Times New Roman"/>
                <w:sz w:val="19"/>
                <w:szCs w:val="19"/>
                <w:color w:val="auto"/>
              </w:rPr>
              <w:t>Net income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bottom w:val="single" w:sz="8" w:color="D5D5D5"/>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D5D5D5"/>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D5D5D5"/>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D5D5D5"/>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218,923</w:t>
            </w:r>
          </w:p>
        </w:tc>
        <w:tc>
          <w:tcPr>
            <w:tcW w:w="80" w:type="dxa"/>
            <w:vAlign w:val="bottom"/>
            <w:tcBorders>
              <w:bottom w:val="single" w:sz="8" w:color="D5D5D5"/>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218,923</w:t>
            </w:r>
          </w:p>
        </w:tc>
        <w:tc>
          <w:tcPr>
            <w:tcW w:w="0" w:type="dxa"/>
            <w:vAlign w:val="bottom"/>
          </w:tcPr>
          <w:p>
            <w:pPr>
              <w:spacing w:after="0"/>
              <w:rPr>
                <w:sz w:val="1"/>
                <w:szCs w:val="1"/>
                <w:color w:val="auto"/>
              </w:rPr>
            </w:pPr>
          </w:p>
        </w:tc>
      </w:tr>
      <w:tr>
        <w:trPr>
          <w:trHeight w:val="278"/>
        </w:trPr>
        <w:tc>
          <w:tcPr>
            <w:tcW w:w="35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Balances as of January 27, 2024</w:t>
            </w:r>
          </w:p>
        </w:tc>
        <w:tc>
          <w:tcPr>
            <w:tcW w:w="11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29,091,278</w:t>
            </w:r>
          </w:p>
        </w:tc>
        <w:tc>
          <w:tcPr>
            <w:tcW w:w="80" w:type="dxa"/>
            <w:vAlign w:val="bottom"/>
            <w:shd w:val="clear" w:color="auto" w:fill="D5D5D5"/>
          </w:tcPr>
          <w:p>
            <w:pPr>
              <w:spacing w:after="0"/>
              <w:rPr>
                <w:sz w:val="24"/>
                <w:szCs w:val="24"/>
                <w:color w:val="auto"/>
              </w:rPr>
            </w:pPr>
          </w:p>
        </w:tc>
        <w:tc>
          <w:tcPr>
            <w:tcW w:w="220" w:type="dxa"/>
            <w:vAlign w:val="bottom"/>
            <w:shd w:val="clear" w:color="auto" w:fill="D5D5D5"/>
          </w:tcPr>
          <w:p>
            <w:pPr>
              <w:spacing w:after="0"/>
              <w:rPr>
                <w:sz w:val="24"/>
                <w:szCs w:val="24"/>
                <w:color w:val="auto"/>
              </w:rPr>
            </w:pPr>
          </w:p>
        </w:tc>
        <w:tc>
          <w:tcPr>
            <w:tcW w:w="6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9,697</w:t>
            </w:r>
          </w:p>
        </w:tc>
        <w:tc>
          <w:tcPr>
            <w:tcW w:w="60" w:type="dxa"/>
            <w:vAlign w:val="bottom"/>
            <w:shd w:val="clear" w:color="auto" w:fill="D5D5D5"/>
          </w:tcPr>
          <w:p>
            <w:pPr>
              <w:spacing w:after="0"/>
              <w:rPr>
                <w:sz w:val="24"/>
                <w:szCs w:val="24"/>
                <w:color w:val="auto"/>
              </w:rPr>
            </w:pPr>
          </w:p>
        </w:tc>
        <w:tc>
          <w:tcPr>
            <w:tcW w:w="180" w:type="dxa"/>
            <w:vAlign w:val="bottom"/>
            <w:shd w:val="clear" w:color="auto" w:fill="D5D5D5"/>
          </w:tcPr>
          <w:p>
            <w:pPr>
              <w:spacing w:after="0"/>
              <w:rPr>
                <w:sz w:val="24"/>
                <w:szCs w:val="24"/>
                <w:color w:val="auto"/>
              </w:rPr>
            </w:pPr>
          </w:p>
        </w:tc>
        <w:tc>
          <w:tcPr>
            <w:tcW w:w="7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6,217</w:t>
            </w:r>
          </w:p>
        </w:tc>
        <w:tc>
          <w:tcPr>
            <w:tcW w:w="60" w:type="dxa"/>
            <w:vAlign w:val="bottom"/>
            <w:shd w:val="clear" w:color="auto" w:fill="D5D5D5"/>
          </w:tcPr>
          <w:p>
            <w:pPr>
              <w:spacing w:after="0"/>
              <w:rPr>
                <w:sz w:val="24"/>
                <w:szCs w:val="24"/>
                <w:color w:val="auto"/>
              </w:rPr>
            </w:pPr>
          </w:p>
        </w:tc>
        <w:tc>
          <w:tcPr>
            <w:tcW w:w="300" w:type="dxa"/>
            <w:vAlign w:val="bottom"/>
            <w:shd w:val="clear" w:color="auto" w:fill="D5D5D5"/>
          </w:tcPr>
          <w:p>
            <w:pPr>
              <w:spacing w:after="0"/>
              <w:rPr>
                <w:sz w:val="24"/>
                <w:szCs w:val="24"/>
                <w:color w:val="auto"/>
              </w:rPr>
            </w:pPr>
          </w:p>
        </w:tc>
        <w:tc>
          <w:tcPr>
            <w:tcW w:w="10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(1,547)</w:t>
            </w:r>
          </w:p>
        </w:tc>
        <w:tc>
          <w:tcPr>
            <w:tcW w:w="100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1,040,289</w:t>
            </w:r>
          </w:p>
        </w:tc>
        <w:tc>
          <w:tcPr>
            <w:tcW w:w="100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1,054,656</w:t>
            </w:r>
          </w:p>
        </w:tc>
        <w:tc>
          <w:tcPr>
            <w:tcW w:w="0" w:type="dxa"/>
            <w:vAlign w:val="bottom"/>
          </w:tcPr>
          <w:p>
            <w:pPr>
              <w:spacing w:after="0"/>
              <w:rPr>
                <w:sz w:val="1"/>
                <w:szCs w:val="1"/>
                <w:color w:val="auto"/>
              </w:rPr>
            </w:pPr>
          </w:p>
        </w:tc>
      </w:tr>
      <w:tr>
        <w:trPr>
          <w:trHeight w:val="282"/>
        </w:trPr>
        <w:tc>
          <w:tcPr>
            <w:tcW w:w="35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Stock options exercised</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74,669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(7,984)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(7,959)</w:t>
            </w:r>
          </w:p>
        </w:tc>
        <w:tc>
          <w:tcPr>
            <w:tcW w:w="0" w:type="dxa"/>
            <w:vAlign w:val="bottom"/>
          </w:tcPr>
          <w:p>
            <w:pPr>
              <w:spacing w:after="0"/>
              <w:rPr>
                <w:sz w:val="1"/>
                <w:szCs w:val="1"/>
                <w:color w:val="auto"/>
              </w:rPr>
            </w:pPr>
          </w:p>
        </w:tc>
      </w:tr>
      <w:tr>
        <w:trPr>
          <w:trHeight w:val="294"/>
        </w:trPr>
        <w:tc>
          <w:tcPr>
            <w:tcW w:w="35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Stock-based compensation</w:t>
            </w:r>
          </w:p>
        </w:tc>
        <w:tc>
          <w:tcPr>
            <w:tcW w:w="11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1,075</w:t>
            </w:r>
          </w:p>
        </w:tc>
        <w:tc>
          <w:tcPr>
            <w:tcW w:w="80" w:type="dxa"/>
            <w:vAlign w:val="bottom"/>
            <w:shd w:val="clear" w:color="auto" w:fill="D5D5D5"/>
          </w:tcPr>
          <w:p>
            <w:pPr>
              <w:spacing w:after="0"/>
              <w:rPr>
                <w:sz w:val="24"/>
                <w:szCs w:val="24"/>
                <w:color w:val="auto"/>
              </w:rPr>
            </w:pPr>
          </w:p>
        </w:tc>
        <w:tc>
          <w:tcPr>
            <w:tcW w:w="220" w:type="dxa"/>
            <w:vAlign w:val="bottom"/>
            <w:shd w:val="clear" w:color="auto" w:fill="D5D5D5"/>
          </w:tcPr>
          <w:p>
            <w:pPr>
              <w:spacing w:after="0"/>
              <w:rPr>
                <w:sz w:val="24"/>
                <w:szCs w:val="24"/>
                <w:color w:val="auto"/>
              </w:rPr>
            </w:pPr>
          </w:p>
        </w:tc>
        <w:tc>
          <w:tcPr>
            <w:tcW w:w="6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D5D5D5"/>
          </w:tcPr>
          <w:p>
            <w:pPr>
              <w:spacing w:after="0"/>
              <w:rPr>
                <w:sz w:val="24"/>
                <w:szCs w:val="24"/>
                <w:color w:val="auto"/>
              </w:rPr>
            </w:pPr>
          </w:p>
        </w:tc>
        <w:tc>
          <w:tcPr>
            <w:tcW w:w="180" w:type="dxa"/>
            <w:vAlign w:val="bottom"/>
            <w:shd w:val="clear" w:color="auto" w:fill="D5D5D5"/>
          </w:tcPr>
          <w:p>
            <w:pPr>
              <w:spacing w:after="0"/>
              <w:rPr>
                <w:sz w:val="24"/>
                <w:szCs w:val="24"/>
                <w:color w:val="auto"/>
              </w:rPr>
            </w:pPr>
          </w:p>
        </w:tc>
        <w:tc>
          <w:tcPr>
            <w:tcW w:w="7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40,320</w:t>
            </w:r>
          </w:p>
        </w:tc>
        <w:tc>
          <w:tcPr>
            <w:tcW w:w="60" w:type="dxa"/>
            <w:vAlign w:val="bottom"/>
            <w:shd w:val="clear" w:color="auto" w:fill="D5D5D5"/>
          </w:tcPr>
          <w:p>
            <w:pPr>
              <w:spacing w:after="0"/>
              <w:rPr>
                <w:sz w:val="24"/>
                <w:szCs w:val="24"/>
                <w:color w:val="auto"/>
              </w:rPr>
            </w:pPr>
          </w:p>
        </w:tc>
        <w:tc>
          <w:tcPr>
            <w:tcW w:w="300" w:type="dxa"/>
            <w:vAlign w:val="bottom"/>
            <w:shd w:val="clear" w:color="auto" w:fill="D5D5D5"/>
          </w:tcPr>
          <w:p>
            <w:pPr>
              <w:spacing w:after="0"/>
              <w:rPr>
                <w:sz w:val="24"/>
                <w:szCs w:val="24"/>
                <w:color w:val="auto"/>
              </w:rPr>
            </w:pPr>
          </w:p>
        </w:tc>
        <w:tc>
          <w:tcPr>
            <w:tcW w:w="10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D5D5D5"/>
          </w:tcPr>
          <w:p>
            <w:pPr>
              <w:spacing w:after="0"/>
              <w:rPr>
                <w:sz w:val="24"/>
                <w:szCs w:val="24"/>
                <w:color w:val="auto"/>
              </w:rPr>
            </w:pPr>
          </w:p>
        </w:tc>
        <w:tc>
          <w:tcPr>
            <w:tcW w:w="9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40,320</w:t>
            </w:r>
          </w:p>
        </w:tc>
        <w:tc>
          <w:tcPr>
            <w:tcW w:w="0" w:type="dxa"/>
            <w:vAlign w:val="bottom"/>
          </w:tcPr>
          <w:p>
            <w:pPr>
              <w:spacing w:after="0"/>
              <w:rPr>
                <w:sz w:val="1"/>
                <w:szCs w:val="1"/>
                <w:color w:val="auto"/>
              </w:rPr>
            </w:pPr>
          </w:p>
        </w:tc>
      </w:tr>
      <w:tr>
        <w:trPr>
          <w:trHeight w:val="213"/>
        </w:trPr>
        <w:tc>
          <w:tcPr>
            <w:tcW w:w="3580" w:type="dxa"/>
            <w:vAlign w:val="bottom"/>
          </w:tcPr>
          <w:p>
            <w:pPr>
              <w:ind w:left="60"/>
              <w:spacing w:after="0" w:line="214" w:lineRule="exact"/>
              <w:rPr>
                <w:sz w:val="20"/>
                <w:szCs w:val="20"/>
                <w:color w:val="auto"/>
              </w:rPr>
            </w:pPr>
            <w:r>
              <w:rPr>
                <w:rFonts w:ascii="Times New Roman" w:cs="Times New Roman" w:eastAsia="Times New Roman" w:hAnsi="Times New Roman"/>
                <w:sz w:val="19"/>
                <w:szCs w:val="19"/>
                <w:color w:val="auto"/>
              </w:rPr>
              <w:t>Issuance of restricted stock, net of tax</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221,927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(6,815)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(10,303)</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(17,044)</w:t>
            </w:r>
          </w:p>
        </w:tc>
        <w:tc>
          <w:tcPr>
            <w:tcW w:w="0" w:type="dxa"/>
            <w:vAlign w:val="bottom"/>
          </w:tcPr>
          <w:p>
            <w:pPr>
              <w:spacing w:after="0"/>
              <w:rPr>
                <w:sz w:val="1"/>
                <w:szCs w:val="1"/>
                <w:color w:val="auto"/>
              </w:rPr>
            </w:pPr>
          </w:p>
        </w:tc>
      </w:tr>
      <w:tr>
        <w:trPr>
          <w:trHeight w:val="257"/>
        </w:trPr>
        <w:tc>
          <w:tcPr>
            <w:tcW w:w="35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withholdings</w:t>
            </w:r>
          </w:p>
        </w:tc>
        <w:tc>
          <w:tcPr>
            <w:tcW w:w="11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5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Repurchase of common stock, including</w:t>
            </w:r>
          </w:p>
        </w:tc>
        <w:tc>
          <w:tcPr>
            <w:tcW w:w="1140" w:type="dxa"/>
            <w:vAlign w:val="bottom"/>
            <w:vMerge w:val="restart"/>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(410,000)</w:t>
            </w:r>
          </w:p>
        </w:tc>
        <w:tc>
          <w:tcPr>
            <w:tcW w:w="80" w:type="dxa"/>
            <w:vAlign w:val="bottom"/>
            <w:shd w:val="clear" w:color="auto" w:fill="D5D5D5"/>
          </w:tcPr>
          <w:p>
            <w:pPr>
              <w:spacing w:after="0"/>
              <w:rPr>
                <w:sz w:val="18"/>
                <w:szCs w:val="18"/>
                <w:color w:val="auto"/>
              </w:rPr>
            </w:pPr>
          </w:p>
        </w:tc>
        <w:tc>
          <w:tcPr>
            <w:tcW w:w="220" w:type="dxa"/>
            <w:vAlign w:val="bottom"/>
            <w:shd w:val="clear" w:color="auto" w:fill="D5D5D5"/>
          </w:tcPr>
          <w:p>
            <w:pPr>
              <w:spacing w:after="0"/>
              <w:rPr>
                <w:sz w:val="18"/>
                <w:szCs w:val="18"/>
                <w:color w:val="auto"/>
              </w:rPr>
            </w:pPr>
          </w:p>
        </w:tc>
        <w:tc>
          <w:tcPr>
            <w:tcW w:w="600" w:type="dxa"/>
            <w:vAlign w:val="bottom"/>
            <w:vMerge w:val="restart"/>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(137)</w:t>
            </w:r>
          </w:p>
        </w:tc>
        <w:tc>
          <w:tcPr>
            <w:tcW w:w="60" w:type="dxa"/>
            <w:vAlign w:val="bottom"/>
            <w:shd w:val="clear" w:color="auto" w:fill="D5D5D5"/>
          </w:tcPr>
          <w:p>
            <w:pPr>
              <w:spacing w:after="0"/>
              <w:rPr>
                <w:sz w:val="18"/>
                <w:szCs w:val="18"/>
                <w:color w:val="auto"/>
              </w:rPr>
            </w:pPr>
          </w:p>
        </w:tc>
        <w:tc>
          <w:tcPr>
            <w:tcW w:w="180" w:type="dxa"/>
            <w:vAlign w:val="bottom"/>
            <w:shd w:val="clear" w:color="auto" w:fill="D5D5D5"/>
          </w:tcPr>
          <w:p>
            <w:pPr>
              <w:spacing w:after="0"/>
              <w:rPr>
                <w:sz w:val="18"/>
                <w:szCs w:val="18"/>
                <w:color w:val="auto"/>
              </w:rPr>
            </w:pPr>
          </w:p>
        </w:tc>
        <w:tc>
          <w:tcPr>
            <w:tcW w:w="760" w:type="dxa"/>
            <w:vAlign w:val="bottom"/>
            <w:vMerge w:val="restart"/>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(22,747)</w:t>
            </w:r>
          </w:p>
        </w:tc>
        <w:tc>
          <w:tcPr>
            <w:tcW w:w="60" w:type="dxa"/>
            <w:vAlign w:val="bottom"/>
            <w:shd w:val="clear" w:color="auto" w:fill="D5D5D5"/>
          </w:tcPr>
          <w:p>
            <w:pPr>
              <w:spacing w:after="0"/>
              <w:rPr>
                <w:sz w:val="18"/>
                <w:szCs w:val="18"/>
                <w:color w:val="auto"/>
              </w:rPr>
            </w:pPr>
          </w:p>
        </w:tc>
        <w:tc>
          <w:tcPr>
            <w:tcW w:w="300" w:type="dxa"/>
            <w:vAlign w:val="bottom"/>
            <w:shd w:val="clear" w:color="auto" w:fill="D5D5D5"/>
          </w:tcPr>
          <w:p>
            <w:pPr>
              <w:spacing w:after="0"/>
              <w:rPr>
                <w:sz w:val="18"/>
                <w:szCs w:val="18"/>
                <w:color w:val="auto"/>
              </w:rPr>
            </w:pPr>
          </w:p>
        </w:tc>
        <w:tc>
          <w:tcPr>
            <w:tcW w:w="1020" w:type="dxa"/>
            <w:vAlign w:val="bottom"/>
            <w:vMerge w:val="restart"/>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gridSpan w:val="2"/>
            <w:vMerge w:val="restart"/>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(42,952)</w:t>
            </w:r>
          </w:p>
        </w:tc>
        <w:tc>
          <w:tcPr>
            <w:tcW w:w="1000" w:type="dxa"/>
            <w:vAlign w:val="bottom"/>
            <w:gridSpan w:val="2"/>
            <w:vMerge w:val="restart"/>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(65,836)</w:t>
            </w:r>
          </w:p>
        </w:tc>
        <w:tc>
          <w:tcPr>
            <w:tcW w:w="0" w:type="dxa"/>
            <w:vAlign w:val="bottom"/>
          </w:tcPr>
          <w:p>
            <w:pPr>
              <w:spacing w:after="0"/>
              <w:rPr>
                <w:sz w:val="1"/>
                <w:szCs w:val="1"/>
                <w:color w:val="auto"/>
              </w:rPr>
            </w:pPr>
          </w:p>
        </w:tc>
      </w:tr>
      <w:tr>
        <w:trPr>
          <w:trHeight w:val="262"/>
        </w:trPr>
        <w:tc>
          <w:tcPr>
            <w:tcW w:w="35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applicable excise tax</w:t>
            </w:r>
          </w:p>
        </w:tc>
        <w:tc>
          <w:tcPr>
            <w:tcW w:w="1140" w:type="dxa"/>
            <w:vAlign w:val="bottom"/>
            <w:vMerge w:val="continue"/>
            <w:shd w:val="clear" w:color="auto" w:fill="D5D5D5"/>
          </w:tcPr>
          <w:p>
            <w:pPr>
              <w:spacing w:after="0"/>
              <w:rPr>
                <w:sz w:val="22"/>
                <w:szCs w:val="22"/>
                <w:color w:val="auto"/>
              </w:rPr>
            </w:pPr>
          </w:p>
        </w:tc>
        <w:tc>
          <w:tcPr>
            <w:tcW w:w="80" w:type="dxa"/>
            <w:vAlign w:val="bottom"/>
            <w:shd w:val="clear" w:color="auto" w:fill="D5D5D5"/>
          </w:tcPr>
          <w:p>
            <w:pPr>
              <w:spacing w:after="0"/>
              <w:rPr>
                <w:sz w:val="22"/>
                <w:szCs w:val="22"/>
                <w:color w:val="auto"/>
              </w:rPr>
            </w:pPr>
          </w:p>
        </w:tc>
        <w:tc>
          <w:tcPr>
            <w:tcW w:w="220" w:type="dxa"/>
            <w:vAlign w:val="bottom"/>
            <w:shd w:val="clear" w:color="auto" w:fill="D5D5D5"/>
          </w:tcPr>
          <w:p>
            <w:pPr>
              <w:spacing w:after="0"/>
              <w:rPr>
                <w:sz w:val="22"/>
                <w:szCs w:val="22"/>
                <w:color w:val="auto"/>
              </w:rPr>
            </w:pPr>
          </w:p>
        </w:tc>
        <w:tc>
          <w:tcPr>
            <w:tcW w:w="600" w:type="dxa"/>
            <w:vAlign w:val="bottom"/>
            <w:vMerge w:val="continue"/>
            <w:shd w:val="clear" w:color="auto" w:fill="D5D5D5"/>
          </w:tcPr>
          <w:p>
            <w:pPr>
              <w:spacing w:after="0"/>
              <w:rPr>
                <w:sz w:val="22"/>
                <w:szCs w:val="22"/>
                <w:color w:val="auto"/>
              </w:rPr>
            </w:pPr>
          </w:p>
        </w:tc>
        <w:tc>
          <w:tcPr>
            <w:tcW w:w="60" w:type="dxa"/>
            <w:vAlign w:val="bottom"/>
            <w:shd w:val="clear" w:color="auto" w:fill="D5D5D5"/>
          </w:tcPr>
          <w:p>
            <w:pPr>
              <w:spacing w:after="0"/>
              <w:rPr>
                <w:sz w:val="22"/>
                <w:szCs w:val="22"/>
                <w:color w:val="auto"/>
              </w:rPr>
            </w:pPr>
          </w:p>
        </w:tc>
        <w:tc>
          <w:tcPr>
            <w:tcW w:w="180" w:type="dxa"/>
            <w:vAlign w:val="bottom"/>
            <w:shd w:val="clear" w:color="auto" w:fill="D5D5D5"/>
          </w:tcPr>
          <w:p>
            <w:pPr>
              <w:spacing w:after="0"/>
              <w:rPr>
                <w:sz w:val="22"/>
                <w:szCs w:val="22"/>
                <w:color w:val="auto"/>
              </w:rPr>
            </w:pPr>
          </w:p>
        </w:tc>
        <w:tc>
          <w:tcPr>
            <w:tcW w:w="760" w:type="dxa"/>
            <w:vAlign w:val="bottom"/>
            <w:vMerge w:val="continue"/>
            <w:shd w:val="clear" w:color="auto" w:fill="D5D5D5"/>
          </w:tcPr>
          <w:p>
            <w:pPr>
              <w:spacing w:after="0"/>
              <w:rPr>
                <w:sz w:val="22"/>
                <w:szCs w:val="22"/>
                <w:color w:val="auto"/>
              </w:rPr>
            </w:pPr>
          </w:p>
        </w:tc>
        <w:tc>
          <w:tcPr>
            <w:tcW w:w="60" w:type="dxa"/>
            <w:vAlign w:val="bottom"/>
            <w:shd w:val="clear" w:color="auto" w:fill="D5D5D5"/>
          </w:tcPr>
          <w:p>
            <w:pPr>
              <w:spacing w:after="0"/>
              <w:rPr>
                <w:sz w:val="22"/>
                <w:szCs w:val="22"/>
                <w:color w:val="auto"/>
              </w:rPr>
            </w:pPr>
          </w:p>
        </w:tc>
        <w:tc>
          <w:tcPr>
            <w:tcW w:w="300" w:type="dxa"/>
            <w:vAlign w:val="bottom"/>
            <w:shd w:val="clear" w:color="auto" w:fill="D5D5D5"/>
          </w:tcPr>
          <w:p>
            <w:pPr>
              <w:spacing w:after="0"/>
              <w:rPr>
                <w:sz w:val="22"/>
                <w:szCs w:val="22"/>
                <w:color w:val="auto"/>
              </w:rPr>
            </w:pPr>
          </w:p>
        </w:tc>
        <w:tc>
          <w:tcPr>
            <w:tcW w:w="1020" w:type="dxa"/>
            <w:vAlign w:val="bottom"/>
            <w:vMerge w:val="continue"/>
            <w:shd w:val="clear" w:color="auto" w:fill="D5D5D5"/>
          </w:tcPr>
          <w:p>
            <w:pPr>
              <w:spacing w:after="0"/>
              <w:rPr>
                <w:sz w:val="22"/>
                <w:szCs w:val="22"/>
                <w:color w:val="auto"/>
              </w:rPr>
            </w:pPr>
          </w:p>
        </w:tc>
        <w:tc>
          <w:tcPr>
            <w:tcW w:w="1000" w:type="dxa"/>
            <w:vAlign w:val="bottom"/>
            <w:gridSpan w:val="2"/>
            <w:vMerge w:val="continue"/>
            <w:shd w:val="clear" w:color="auto" w:fill="D5D5D5"/>
          </w:tcPr>
          <w:p>
            <w:pPr>
              <w:spacing w:after="0"/>
              <w:rPr>
                <w:sz w:val="22"/>
                <w:szCs w:val="22"/>
                <w:color w:val="auto"/>
              </w:rPr>
            </w:pPr>
          </w:p>
        </w:tc>
        <w:tc>
          <w:tcPr>
            <w:tcW w:w="1000" w:type="dxa"/>
            <w:vAlign w:val="bottom"/>
            <w:gridSpan w:val="2"/>
            <w:vMerge w:val="continue"/>
            <w:shd w:val="clear" w:color="auto" w:fill="D5D5D5"/>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35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Disposal of foreign entity</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1,547</w:t>
            </w:r>
          </w:p>
        </w:tc>
        <w:tc>
          <w:tcPr>
            <w:tcW w:w="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1,547</w:t>
            </w:r>
          </w:p>
        </w:tc>
        <w:tc>
          <w:tcPr>
            <w:tcW w:w="0" w:type="dxa"/>
            <w:vAlign w:val="bottom"/>
          </w:tcPr>
          <w:p>
            <w:pPr>
              <w:spacing w:after="0"/>
              <w:rPr>
                <w:sz w:val="1"/>
                <w:szCs w:val="1"/>
                <w:color w:val="auto"/>
              </w:rPr>
            </w:pPr>
          </w:p>
        </w:tc>
      </w:tr>
      <w:tr>
        <w:trPr>
          <w:trHeight w:val="284"/>
        </w:trPr>
        <w:tc>
          <w:tcPr>
            <w:tcW w:w="3580" w:type="dxa"/>
            <w:vAlign w:val="bottom"/>
            <w:tcBorders>
              <w:bottom w:val="single" w:sz="8" w:color="D5D5D5"/>
            </w:tcBorders>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Net income</w:t>
            </w:r>
          </w:p>
        </w:tc>
        <w:tc>
          <w:tcPr>
            <w:tcW w:w="114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bottom w:val="single" w:sz="8" w:color="D5D5D5"/>
            </w:tcBorders>
            <w:shd w:val="clear" w:color="auto" w:fill="D5D5D5"/>
          </w:tcPr>
          <w:p>
            <w:pPr>
              <w:spacing w:after="0"/>
              <w:rPr>
                <w:sz w:val="24"/>
                <w:szCs w:val="24"/>
                <w:color w:val="auto"/>
              </w:rPr>
            </w:pPr>
          </w:p>
        </w:tc>
        <w:tc>
          <w:tcPr>
            <w:tcW w:w="220" w:type="dxa"/>
            <w:vAlign w:val="bottom"/>
            <w:tcBorders>
              <w:bottom w:val="single" w:sz="8" w:color="auto"/>
            </w:tcBorders>
            <w:shd w:val="clear" w:color="auto" w:fill="D5D5D5"/>
          </w:tcPr>
          <w:p>
            <w:pPr>
              <w:spacing w:after="0"/>
              <w:rPr>
                <w:sz w:val="24"/>
                <w:szCs w:val="24"/>
                <w:color w:val="auto"/>
              </w:rPr>
            </w:pPr>
          </w:p>
        </w:tc>
        <w:tc>
          <w:tcPr>
            <w:tcW w:w="6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D5D5D5"/>
            </w:tcBorders>
            <w:shd w:val="clear" w:color="auto" w:fill="D5D5D5"/>
          </w:tcPr>
          <w:p>
            <w:pPr>
              <w:spacing w:after="0"/>
              <w:rPr>
                <w:sz w:val="24"/>
                <w:szCs w:val="24"/>
                <w:color w:val="auto"/>
              </w:rPr>
            </w:pPr>
          </w:p>
        </w:tc>
        <w:tc>
          <w:tcPr>
            <w:tcW w:w="180" w:type="dxa"/>
            <w:vAlign w:val="bottom"/>
            <w:tcBorders>
              <w:bottom w:val="single" w:sz="8" w:color="auto"/>
            </w:tcBorders>
            <w:shd w:val="clear" w:color="auto" w:fill="D5D5D5"/>
          </w:tcPr>
          <w:p>
            <w:pPr>
              <w:spacing w:after="0"/>
              <w:rPr>
                <w:sz w:val="24"/>
                <w:szCs w:val="24"/>
                <w:color w:val="auto"/>
              </w:rPr>
            </w:pPr>
          </w:p>
        </w:tc>
        <w:tc>
          <w:tcPr>
            <w:tcW w:w="7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D5D5D5"/>
            </w:tcBorders>
            <w:shd w:val="clear" w:color="auto" w:fill="D5D5D5"/>
          </w:tcPr>
          <w:p>
            <w:pPr>
              <w:spacing w:after="0"/>
              <w:rPr>
                <w:sz w:val="24"/>
                <w:szCs w:val="24"/>
                <w:color w:val="auto"/>
              </w:rPr>
            </w:pPr>
          </w:p>
        </w:tc>
        <w:tc>
          <w:tcPr>
            <w:tcW w:w="300" w:type="dxa"/>
            <w:vAlign w:val="bottom"/>
            <w:tcBorders>
              <w:bottom w:val="single" w:sz="8" w:color="auto"/>
            </w:tcBorders>
            <w:shd w:val="clear" w:color="auto" w:fill="D5D5D5"/>
          </w:tcPr>
          <w:p>
            <w:pPr>
              <w:spacing w:after="0"/>
              <w:rPr>
                <w:sz w:val="24"/>
                <w:szCs w:val="24"/>
                <w:color w:val="auto"/>
              </w:rPr>
            </w:pPr>
          </w:p>
        </w:tc>
        <w:tc>
          <w:tcPr>
            <w:tcW w:w="10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D5D5D5"/>
            </w:tcBorders>
            <w:shd w:val="clear" w:color="auto" w:fill="D5D5D5"/>
          </w:tcPr>
          <w:p>
            <w:pPr>
              <w:spacing w:after="0"/>
              <w:rPr>
                <w:sz w:val="24"/>
                <w:szCs w:val="24"/>
                <w:color w:val="auto"/>
              </w:rPr>
            </w:pPr>
          </w:p>
        </w:tc>
        <w:tc>
          <w:tcPr>
            <w:tcW w:w="94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233,413</w:t>
            </w:r>
          </w:p>
        </w:tc>
        <w:tc>
          <w:tcPr>
            <w:tcW w:w="80" w:type="dxa"/>
            <w:vAlign w:val="bottom"/>
            <w:tcBorders>
              <w:bottom w:val="single" w:sz="8" w:color="D5D5D5"/>
            </w:tcBorders>
            <w:shd w:val="clear" w:color="auto" w:fill="D5D5D5"/>
          </w:tcPr>
          <w:p>
            <w:pPr>
              <w:spacing w:after="0"/>
              <w:rPr>
                <w:sz w:val="24"/>
                <w:szCs w:val="24"/>
                <w:color w:val="auto"/>
              </w:rPr>
            </w:pPr>
          </w:p>
        </w:tc>
        <w:tc>
          <w:tcPr>
            <w:tcW w:w="9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233,413</w:t>
            </w:r>
          </w:p>
        </w:tc>
        <w:tc>
          <w:tcPr>
            <w:tcW w:w="0" w:type="dxa"/>
            <w:vAlign w:val="bottom"/>
          </w:tcPr>
          <w:p>
            <w:pPr>
              <w:spacing w:after="0"/>
              <w:rPr>
                <w:sz w:val="1"/>
                <w:szCs w:val="1"/>
                <w:color w:val="auto"/>
              </w:rPr>
            </w:pPr>
          </w:p>
        </w:tc>
      </w:tr>
      <w:tr>
        <w:trPr>
          <w:trHeight w:val="250"/>
        </w:trPr>
        <w:tc>
          <w:tcPr>
            <w:tcW w:w="35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Balances as of January 25,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28,978,949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9,659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8,991</w:t>
            </w:r>
          </w:p>
        </w:tc>
        <w:tc>
          <w:tcPr>
            <w:tcW w:w="360" w:type="dxa"/>
            <w:vAlign w:val="bottom"/>
            <w:gridSpan w:val="2"/>
          </w:tcPr>
          <w:p>
            <w:pPr>
              <w:jc w:val="right"/>
              <w:ind w:right="64"/>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gridSpan w:val="2"/>
          </w:tcPr>
          <w:p>
            <w:pPr>
              <w:jc w:val="center"/>
              <w:ind w:left="4"/>
              <w:spacing w:after="0"/>
              <w:rPr>
                <w:sz w:val="20"/>
                <w:szCs w:val="20"/>
                <w:color w:val="auto"/>
              </w:rPr>
            </w:pPr>
            <w:r>
              <w:rPr>
                <w:rFonts w:ascii="Times New Roman" w:cs="Times New Roman" w:eastAsia="Times New Roman" w:hAnsi="Times New Roman"/>
                <w:sz w:val="19"/>
                <w:szCs w:val="19"/>
                <w:color w:val="auto"/>
              </w:rPr>
              <w:t>$1,220,447</w:t>
            </w:r>
          </w:p>
        </w:tc>
        <w:tc>
          <w:tcPr>
            <w:tcW w:w="1000" w:type="dxa"/>
            <w:vAlign w:val="bottom"/>
            <w:gridSpan w:val="2"/>
          </w:tcPr>
          <w:p>
            <w:pPr>
              <w:jc w:val="center"/>
              <w:ind w:left="4"/>
              <w:spacing w:after="0"/>
              <w:rPr>
                <w:sz w:val="20"/>
                <w:szCs w:val="20"/>
                <w:color w:val="auto"/>
              </w:rPr>
            </w:pPr>
            <w:r>
              <w:rPr>
                <w:rFonts w:ascii="Times New Roman" w:cs="Times New Roman" w:eastAsia="Times New Roman" w:hAnsi="Times New Roman"/>
                <w:sz w:val="19"/>
                <w:szCs w:val="19"/>
                <w:color w:val="auto"/>
              </w:rPr>
              <w:t>$1,239,097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See notes to the consolidated financial statements.</w:t>
      </w:r>
    </w:p>
    <w:p>
      <w:pPr>
        <w:sectPr>
          <w:pgSz w:w="11880" w:h="15480" w:orient="portrait"/>
          <w:cols w:equalWidth="0" w:num="1">
            <w:col w:w="10000"/>
          </w:cols>
          <w:pgMar w:left="980" w:top="93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254000</wp:posOffset>
            </wp:positionV>
            <wp:extent cx="76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7">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6913880</wp:posOffset>
            </wp:positionH>
            <wp:positionV relativeFrom="paragraph">
              <wp:posOffset>254000</wp:posOffset>
            </wp:positionV>
            <wp:extent cx="76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8">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10000"/>
          </w:cols>
          <w:pgMar w:left="980" w:top="934" w:right="900" w:bottom="0" w:gutter="0" w:footer="0" w:header="0"/>
          <w:type w:val="continuous"/>
        </w:sectPr>
      </w:pPr>
    </w:p>
    <w:bookmarkStart w:id="52" w:name="page53"/>
    <w:bookmarkEnd w:id="52"/>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t>DYCOM INDUSTRIES, INC. AND SUBSIDIARIES</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(Dollars in thousands)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700" w:type="dxa"/>
            <w:vAlign w:val="bottom"/>
          </w:tcPr>
          <w:p>
            <w:pPr>
              <w:spacing w:after="0"/>
              <w:rPr>
                <w:sz w:val="23"/>
                <w:szCs w:val="23"/>
                <w:color w:val="auto"/>
              </w:rPr>
            </w:pPr>
          </w:p>
        </w:tc>
        <w:tc>
          <w:tcPr>
            <w:tcW w:w="3500" w:type="dxa"/>
            <w:vAlign w:val="bottom"/>
            <w:gridSpan w:val="6"/>
          </w:tcPr>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Fiscal Year Ended</w:t>
            </w:r>
          </w:p>
        </w:tc>
        <w:tc>
          <w:tcPr>
            <w:tcW w:w="0" w:type="dxa"/>
            <w:vAlign w:val="bottom"/>
          </w:tcPr>
          <w:p>
            <w:pPr>
              <w:spacing w:after="0"/>
              <w:rPr>
                <w:sz w:val="1"/>
                <w:szCs w:val="1"/>
                <w:color w:val="auto"/>
              </w:rPr>
            </w:pPr>
          </w:p>
        </w:tc>
      </w:tr>
      <w:tr>
        <w:trPr>
          <w:trHeight w:val="136"/>
        </w:trPr>
        <w:tc>
          <w:tcPr>
            <w:tcW w:w="6700" w:type="dxa"/>
            <w:vAlign w:val="bottom"/>
          </w:tcPr>
          <w:p>
            <w:pPr>
              <w:spacing w:after="0"/>
              <w:rPr>
                <w:sz w:val="11"/>
                <w:szCs w:val="11"/>
                <w:color w:val="auto"/>
              </w:rPr>
            </w:pPr>
          </w:p>
        </w:tc>
        <w:tc>
          <w:tcPr>
            <w:tcW w:w="10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5"/>
                <w:szCs w:val="15"/>
                <w:b w:val="1"/>
                <w:bCs w:val="1"/>
                <w:color w:val="auto"/>
              </w:rPr>
              <w:t>January 25,</w:t>
            </w:r>
          </w:p>
        </w:tc>
        <w:tc>
          <w:tcPr>
            <w:tcW w:w="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36" w:lineRule="exact"/>
              <w:rPr>
                <w:sz w:val="20"/>
                <w:szCs w:val="20"/>
                <w:color w:val="auto"/>
              </w:rPr>
            </w:pPr>
            <w:r>
              <w:rPr>
                <w:rFonts w:ascii="Times New Roman" w:cs="Times New Roman" w:eastAsia="Times New Roman" w:hAnsi="Times New Roman"/>
                <w:sz w:val="15"/>
                <w:szCs w:val="15"/>
                <w:b w:val="1"/>
                <w:bCs w:val="1"/>
                <w:color w:val="auto"/>
              </w:rPr>
              <w:t>January 27,</w:t>
            </w:r>
          </w:p>
        </w:tc>
        <w:tc>
          <w:tcPr>
            <w:tcW w:w="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5"/>
                <w:szCs w:val="15"/>
                <w:b w:val="1"/>
                <w:bCs w:val="1"/>
                <w:color w:val="auto"/>
              </w:rPr>
              <w:t>January 28,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1"/>
        </w:trPr>
        <w:tc>
          <w:tcPr>
            <w:tcW w:w="6700" w:type="dxa"/>
            <w:vAlign w:val="bottom"/>
          </w:tcPr>
          <w:p>
            <w:pPr>
              <w:spacing w:after="0"/>
              <w:rPr>
                <w:sz w:val="22"/>
                <w:szCs w:val="22"/>
                <w:color w:val="auto"/>
              </w:rPr>
            </w:pPr>
          </w:p>
        </w:tc>
        <w:tc>
          <w:tcPr>
            <w:tcW w:w="1080" w:type="dxa"/>
            <w:vAlign w:val="bottom"/>
          </w:tcPr>
          <w:p>
            <w:pPr>
              <w:jc w:val="right"/>
              <w:ind w:right="245"/>
              <w:spacing w:after="0"/>
              <w:rPr>
                <w:sz w:val="20"/>
                <w:szCs w:val="20"/>
                <w:color w:val="auto"/>
              </w:rPr>
            </w:pPr>
            <w:r>
              <w:rPr>
                <w:rFonts w:ascii="Times New Roman" w:cs="Times New Roman" w:eastAsia="Times New Roman" w:hAnsi="Times New Roman"/>
                <w:sz w:val="19"/>
                <w:szCs w:val="19"/>
                <w:b w:val="1"/>
                <w:bCs w:val="1"/>
                <w:color w:val="auto"/>
              </w:rPr>
              <w:t>2025</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2024</w:t>
            </w:r>
          </w:p>
        </w:tc>
        <w:tc>
          <w:tcPr>
            <w:tcW w:w="1160" w:type="dxa"/>
            <w:vAlign w:val="bottom"/>
            <w:gridSpan w:val="2"/>
          </w:tcPr>
          <w:p>
            <w:pPr>
              <w:jc w:val="right"/>
              <w:ind w:right="267"/>
              <w:spacing w:after="0"/>
              <w:rPr>
                <w:sz w:val="20"/>
                <w:szCs w:val="20"/>
                <w:color w:val="auto"/>
              </w:rPr>
            </w:pPr>
            <w:r>
              <w:rPr>
                <w:rFonts w:ascii="Times New Roman" w:cs="Times New Roman" w:eastAsia="Times New Roman" w:hAnsi="Times New Roman"/>
                <w:sz w:val="19"/>
                <w:szCs w:val="19"/>
                <w:b w:val="1"/>
                <w:bCs w:val="1"/>
                <w:color w:val="auto"/>
              </w:rPr>
              <w:t>2023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4"/>
        </w:trPr>
        <w:tc>
          <w:tcPr>
            <w:tcW w:w="670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auto"/>
              </w:rPr>
              <w:t>Cash flows from operating activities:</w:t>
            </w:r>
          </w:p>
        </w:tc>
        <w:tc>
          <w:tcPr>
            <w:tcW w:w="10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7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Net income</w:t>
            </w:r>
          </w:p>
        </w:tc>
        <w:tc>
          <w:tcPr>
            <w:tcW w:w="10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   233,413</w:t>
            </w:r>
          </w:p>
        </w:tc>
        <w:tc>
          <w:tcPr>
            <w:tcW w:w="118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   218,923</w:t>
            </w:r>
          </w:p>
        </w:tc>
        <w:tc>
          <w:tcPr>
            <w:tcW w:w="116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   142,213</w:t>
            </w:r>
          </w:p>
        </w:tc>
        <w:tc>
          <w:tcPr>
            <w:tcW w:w="8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Adjustments to reconcile net income to net cash provided by operating activities: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70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Depreciation and amortization</w:t>
            </w:r>
          </w:p>
        </w:tc>
        <w:tc>
          <w:tcPr>
            <w:tcW w:w="10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198,571</w:t>
            </w:r>
          </w:p>
        </w:tc>
        <w:tc>
          <w:tcPr>
            <w:tcW w:w="118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163,092</w:t>
            </w:r>
          </w:p>
        </w:tc>
        <w:tc>
          <w:tcPr>
            <w:tcW w:w="116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144,181</w:t>
            </w:r>
          </w:p>
        </w:tc>
        <w:tc>
          <w:tcPr>
            <w:tcW w:w="8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7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Non-cash lease expense</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41,030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35,181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32,069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70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Deferred income tax (benefit) provision</w:t>
            </w:r>
          </w:p>
        </w:tc>
        <w:tc>
          <w:tcPr>
            <w:tcW w:w="10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(17,390)</w:t>
            </w:r>
          </w:p>
        </w:tc>
        <w:tc>
          <w:tcPr>
            <w:tcW w:w="118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(10,643)</w:t>
            </w:r>
          </w:p>
        </w:tc>
        <w:tc>
          <w:tcPr>
            <w:tcW w:w="116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4,532</w:t>
            </w:r>
          </w:p>
        </w:tc>
        <w:tc>
          <w:tcPr>
            <w:tcW w:w="8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7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40,320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25,457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17,927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70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(Recovery of) provision for bad debt, net</w:t>
            </w:r>
          </w:p>
        </w:tc>
        <w:tc>
          <w:tcPr>
            <w:tcW w:w="10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(1,184)</w:t>
            </w:r>
          </w:p>
        </w:tc>
        <w:tc>
          <w:tcPr>
            <w:tcW w:w="118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274</w:t>
            </w:r>
          </w:p>
        </w:tc>
        <w:tc>
          <w:tcPr>
            <w:tcW w:w="116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2,600</w:t>
            </w:r>
          </w:p>
        </w:tc>
        <w:tc>
          <w:tcPr>
            <w:tcW w:w="8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7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Gain on sale of fixed assets</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(36,461)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(28,348)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(16,759)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70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Loss on debt extinguishment</w:t>
            </w:r>
          </w:p>
        </w:tc>
        <w:tc>
          <w:tcPr>
            <w:tcW w:w="10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965</w:t>
            </w:r>
          </w:p>
        </w:tc>
        <w:tc>
          <w:tcPr>
            <w:tcW w:w="80" w:type="dxa"/>
            <w:vAlign w:val="bottom"/>
            <w:shd w:val="clear" w:color="auto" w:fill="D5D5D5"/>
          </w:tcPr>
          <w:p>
            <w:pPr>
              <w:spacing w:after="0"/>
              <w:rPr>
                <w:sz w:val="24"/>
                <w:szCs w:val="24"/>
                <w:color w:val="auto"/>
              </w:rPr>
            </w:pPr>
          </w:p>
        </w:tc>
        <w:tc>
          <w:tcPr>
            <w:tcW w:w="11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D5D5D5"/>
          </w:tcPr>
          <w:p>
            <w:pPr>
              <w:spacing w:after="0"/>
              <w:rPr>
                <w:sz w:val="24"/>
                <w:szCs w:val="24"/>
                <w:color w:val="auto"/>
              </w:rPr>
            </w:pPr>
          </w:p>
        </w:tc>
        <w:tc>
          <w:tcPr>
            <w:tcW w:w="1180" w:type="dxa"/>
            <w:vAlign w:val="bottom"/>
            <w:gridSpan w:val="2"/>
            <w:shd w:val="clear" w:color="auto" w:fill="D5D5D5"/>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82"/>
        </w:trPr>
        <w:tc>
          <w:tcPr>
            <w:tcW w:w="67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Amortization of debt issuance costs and other</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4,431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2,984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2,835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70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Change in operating assets and liabilities, net of acquisitions:</w:t>
            </w:r>
          </w:p>
        </w:tc>
        <w:tc>
          <w:tcPr>
            <w:tcW w:w="1080" w:type="dxa"/>
            <w:vAlign w:val="bottom"/>
            <w:shd w:val="clear" w:color="auto" w:fill="D5D5D5"/>
          </w:tcPr>
          <w:p>
            <w:pPr>
              <w:spacing w:after="0"/>
              <w:rPr>
                <w:sz w:val="24"/>
                <w:szCs w:val="24"/>
                <w:color w:val="auto"/>
              </w:rPr>
            </w:pPr>
          </w:p>
        </w:tc>
        <w:tc>
          <w:tcPr>
            <w:tcW w:w="80" w:type="dxa"/>
            <w:vAlign w:val="bottom"/>
            <w:shd w:val="clear" w:color="auto" w:fill="D5D5D5"/>
          </w:tcPr>
          <w:p>
            <w:pPr>
              <w:spacing w:after="0"/>
              <w:rPr>
                <w:sz w:val="24"/>
                <w:szCs w:val="24"/>
                <w:color w:val="auto"/>
              </w:rPr>
            </w:pPr>
          </w:p>
        </w:tc>
        <w:tc>
          <w:tcPr>
            <w:tcW w:w="1100" w:type="dxa"/>
            <w:vAlign w:val="bottom"/>
            <w:shd w:val="clear" w:color="auto" w:fill="D5D5D5"/>
          </w:tcPr>
          <w:p>
            <w:pPr>
              <w:spacing w:after="0"/>
              <w:rPr>
                <w:sz w:val="24"/>
                <w:szCs w:val="24"/>
                <w:color w:val="auto"/>
              </w:rPr>
            </w:pPr>
          </w:p>
        </w:tc>
        <w:tc>
          <w:tcPr>
            <w:tcW w:w="60" w:type="dxa"/>
            <w:vAlign w:val="bottom"/>
            <w:shd w:val="clear" w:color="auto" w:fill="D5D5D5"/>
          </w:tcPr>
          <w:p>
            <w:pPr>
              <w:spacing w:after="0"/>
              <w:rPr>
                <w:sz w:val="24"/>
                <w:szCs w:val="24"/>
                <w:color w:val="auto"/>
              </w:rPr>
            </w:pPr>
          </w:p>
        </w:tc>
        <w:tc>
          <w:tcPr>
            <w:tcW w:w="1100" w:type="dxa"/>
            <w:vAlign w:val="bottom"/>
            <w:shd w:val="clear" w:color="auto" w:fill="D5D5D5"/>
          </w:tcPr>
          <w:p>
            <w:pPr>
              <w:spacing w:after="0"/>
              <w:rPr>
                <w:sz w:val="24"/>
                <w:szCs w:val="24"/>
                <w:color w:val="auto"/>
              </w:rPr>
            </w:pPr>
          </w:p>
        </w:tc>
        <w:tc>
          <w:tcPr>
            <w:tcW w:w="8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7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Accounts receivable, net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(117,766)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(142,383)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(173,714)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700" w:type="dxa"/>
            <w:vAlign w:val="bottom"/>
            <w:shd w:val="clear" w:color="auto" w:fill="D5D5D5"/>
          </w:tcPr>
          <w:p>
            <w:pPr>
              <w:ind w:left="260"/>
              <w:spacing w:after="0"/>
              <w:rPr>
                <w:sz w:val="20"/>
                <w:szCs w:val="20"/>
                <w:color w:val="auto"/>
              </w:rPr>
            </w:pPr>
            <w:r>
              <w:rPr>
                <w:rFonts w:ascii="Times New Roman" w:cs="Times New Roman" w:eastAsia="Times New Roman" w:hAnsi="Times New Roman"/>
                <w:sz w:val="19"/>
                <w:szCs w:val="19"/>
                <w:color w:val="auto"/>
              </w:rPr>
              <w:t>Contract assets/liabilities, net</w:t>
            </w:r>
          </w:p>
        </w:tc>
        <w:tc>
          <w:tcPr>
            <w:tcW w:w="10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31,191</w:t>
            </w:r>
          </w:p>
        </w:tc>
        <w:tc>
          <w:tcPr>
            <w:tcW w:w="118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23,034</w:t>
            </w:r>
          </w:p>
        </w:tc>
        <w:tc>
          <w:tcPr>
            <w:tcW w:w="116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(18,394)</w:t>
            </w:r>
          </w:p>
        </w:tc>
        <w:tc>
          <w:tcPr>
            <w:tcW w:w="8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7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Other current assets and inventories</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4,284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3,085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(41,270)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700" w:type="dxa"/>
            <w:vAlign w:val="bottom"/>
            <w:shd w:val="clear" w:color="auto" w:fill="D5D5D5"/>
          </w:tcPr>
          <w:p>
            <w:pPr>
              <w:ind w:left="260"/>
              <w:spacing w:after="0"/>
              <w:rPr>
                <w:sz w:val="20"/>
                <w:szCs w:val="20"/>
                <w:color w:val="auto"/>
              </w:rPr>
            </w:pPr>
            <w:r>
              <w:rPr>
                <w:rFonts w:ascii="Times New Roman" w:cs="Times New Roman" w:eastAsia="Times New Roman" w:hAnsi="Times New Roman"/>
                <w:sz w:val="19"/>
                <w:szCs w:val="19"/>
                <w:color w:val="auto"/>
              </w:rPr>
              <w:t>Other assets</w:t>
            </w:r>
          </w:p>
        </w:tc>
        <w:tc>
          <w:tcPr>
            <w:tcW w:w="10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(20,956)</w:t>
            </w:r>
          </w:p>
        </w:tc>
        <w:tc>
          <w:tcPr>
            <w:tcW w:w="118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408</w:t>
            </w:r>
          </w:p>
        </w:tc>
        <w:tc>
          <w:tcPr>
            <w:tcW w:w="116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5,666</w:t>
            </w:r>
          </w:p>
        </w:tc>
        <w:tc>
          <w:tcPr>
            <w:tcW w:w="8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7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Income taxes receivable/payable</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26,476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(14,205)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23,463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700" w:type="dxa"/>
            <w:vAlign w:val="bottom"/>
            <w:shd w:val="clear" w:color="auto" w:fill="D5D5D5"/>
          </w:tcPr>
          <w:p>
            <w:pPr>
              <w:ind w:left="260"/>
              <w:spacing w:after="0"/>
              <w:rPr>
                <w:sz w:val="20"/>
                <w:szCs w:val="20"/>
                <w:color w:val="auto"/>
              </w:rPr>
            </w:pPr>
            <w:r>
              <w:rPr>
                <w:rFonts w:ascii="Times New Roman" w:cs="Times New Roman" w:eastAsia="Times New Roman" w:hAnsi="Times New Roman"/>
                <w:sz w:val="19"/>
                <w:szCs w:val="19"/>
                <w:color w:val="auto"/>
              </w:rPr>
              <w:t>Accounts payable</w:t>
            </w:r>
          </w:p>
        </w:tc>
        <w:tc>
          <w:tcPr>
            <w:tcW w:w="10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(16,810)</w:t>
            </w:r>
          </w:p>
        </w:tc>
        <w:tc>
          <w:tcPr>
            <w:tcW w:w="118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6,989</w:t>
            </w:r>
          </w:p>
        </w:tc>
        <w:tc>
          <w:tcPr>
            <w:tcW w:w="116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49,396</w:t>
            </w:r>
          </w:p>
        </w:tc>
        <w:tc>
          <w:tcPr>
            <w:tcW w:w="8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60"/>
              <w:spacing w:after="0" w:line="214" w:lineRule="exact"/>
              <w:rPr>
                <w:sz w:val="20"/>
                <w:szCs w:val="20"/>
                <w:color w:val="auto"/>
              </w:rPr>
            </w:pPr>
            <w:r>
              <w:rPr>
                <w:rFonts w:ascii="Times New Roman" w:cs="Times New Roman" w:eastAsia="Times New Roman" w:hAnsi="Times New Roman"/>
                <w:sz w:val="19"/>
                <w:szCs w:val="19"/>
                <w:color w:val="auto"/>
              </w:rPr>
              <w:t>Accrued liabilities, insurance claims, operating lease liabilities, and other</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(21,018)</w:t>
            </w:r>
          </w:p>
        </w:tc>
        <w:tc>
          <w:tcPr>
            <w:tcW w:w="8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(24,872)</w:t>
            </w:r>
          </w:p>
        </w:tc>
        <w:tc>
          <w:tcPr>
            <w:tcW w:w="6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(9,956)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700" w:type="dxa"/>
            <w:vAlign w:val="bottom"/>
            <w:tcBorders>
              <w:bottom w:val="single" w:sz="8" w:color="D5D5D5"/>
            </w:tcBorders>
          </w:tcPr>
          <w:p>
            <w:pPr>
              <w:ind w:left="260"/>
              <w:spacing w:after="0"/>
              <w:rPr>
                <w:sz w:val="20"/>
                <w:szCs w:val="20"/>
                <w:color w:val="auto"/>
              </w:rPr>
            </w:pPr>
            <w:r>
              <w:rPr>
                <w:rFonts w:ascii="Times New Roman" w:cs="Times New Roman" w:eastAsia="Times New Roman" w:hAnsi="Times New Roman"/>
                <w:sz w:val="19"/>
                <w:szCs w:val="19"/>
                <w:color w:val="auto"/>
              </w:rPr>
              <w:t>liabilities</w:t>
            </w:r>
          </w:p>
        </w:tc>
        <w:tc>
          <w:tcPr>
            <w:tcW w:w="10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D5D5D5"/>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D5D5D5"/>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D5D5D5"/>
            </w:tcBorders>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67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Net cash provided by operating activities</w:t>
            </w:r>
          </w:p>
        </w:tc>
        <w:tc>
          <w:tcPr>
            <w:tcW w:w="10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349,096</w:t>
            </w:r>
          </w:p>
        </w:tc>
        <w:tc>
          <w:tcPr>
            <w:tcW w:w="118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258,976</w:t>
            </w:r>
          </w:p>
        </w:tc>
        <w:tc>
          <w:tcPr>
            <w:tcW w:w="116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164,789</w:t>
            </w:r>
          </w:p>
        </w:tc>
        <w:tc>
          <w:tcPr>
            <w:tcW w:w="8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6700" w:type="dxa"/>
            <w:vAlign w:val="bottom"/>
            <w:tcBorders>
              <w:top w:val="single" w:sz="8" w:color="D5D5D5"/>
            </w:tcBorders>
          </w:tcPr>
          <w:p>
            <w:pPr>
              <w:ind w:left="40"/>
              <w:spacing w:after="0"/>
              <w:rPr>
                <w:sz w:val="20"/>
                <w:szCs w:val="20"/>
                <w:color w:val="auto"/>
              </w:rPr>
            </w:pPr>
            <w:r>
              <w:rPr>
                <w:rFonts w:ascii="Times New Roman" w:cs="Times New Roman" w:eastAsia="Times New Roman" w:hAnsi="Times New Roman"/>
                <w:sz w:val="19"/>
                <w:szCs w:val="19"/>
                <w:b w:val="1"/>
                <w:bCs w:val="1"/>
                <w:color w:val="auto"/>
              </w:rPr>
              <w:t>Cash flows from investing activities:</w:t>
            </w: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D5D5D5"/>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 w:type="dxa"/>
            <w:vAlign w:val="bottom"/>
            <w:tcBorders>
              <w:top w:val="single" w:sz="8" w:color="D5D5D5"/>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Borders>
              <w:top w:val="single" w:sz="8" w:color="D5D5D5"/>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70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Capital expenditures</w:t>
            </w:r>
          </w:p>
        </w:tc>
        <w:tc>
          <w:tcPr>
            <w:tcW w:w="10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(250,457)</w:t>
            </w:r>
          </w:p>
        </w:tc>
        <w:tc>
          <w:tcPr>
            <w:tcW w:w="118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(218,492)</w:t>
            </w:r>
          </w:p>
        </w:tc>
        <w:tc>
          <w:tcPr>
            <w:tcW w:w="116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(200,955)</w:t>
            </w:r>
          </w:p>
        </w:tc>
        <w:tc>
          <w:tcPr>
            <w:tcW w:w="8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7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Proceeds from sale of assets</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39,135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35,231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17,372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00" w:type="dxa"/>
            <w:vAlign w:val="bottom"/>
            <w:tcBorders>
              <w:bottom w:val="single" w:sz="8" w:color="D5D5D5"/>
            </w:tcBorders>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Cash paid for acquisitions, net of cash acquired</w:t>
            </w:r>
          </w:p>
        </w:tc>
        <w:tc>
          <w:tcPr>
            <w:tcW w:w="10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(183,876)</w:t>
            </w:r>
          </w:p>
        </w:tc>
        <w:tc>
          <w:tcPr>
            <w:tcW w:w="80" w:type="dxa"/>
            <w:vAlign w:val="bottom"/>
            <w:tcBorders>
              <w:bottom w:val="single" w:sz="8" w:color="D5D5D5"/>
            </w:tcBorders>
            <w:shd w:val="clear" w:color="auto" w:fill="D5D5D5"/>
          </w:tcPr>
          <w:p>
            <w:pPr>
              <w:spacing w:after="0"/>
              <w:rPr>
                <w:sz w:val="24"/>
                <w:szCs w:val="24"/>
                <w:color w:val="auto"/>
              </w:rPr>
            </w:pPr>
          </w:p>
        </w:tc>
        <w:tc>
          <w:tcPr>
            <w:tcW w:w="11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(122,902)</w:t>
            </w:r>
          </w:p>
        </w:tc>
        <w:tc>
          <w:tcPr>
            <w:tcW w:w="60" w:type="dxa"/>
            <w:vAlign w:val="bottom"/>
            <w:tcBorders>
              <w:bottom w:val="single" w:sz="8" w:color="D5D5D5"/>
            </w:tcBorders>
            <w:shd w:val="clear" w:color="auto" w:fill="D5D5D5"/>
          </w:tcPr>
          <w:p>
            <w:pPr>
              <w:spacing w:after="0"/>
              <w:rPr>
                <w:sz w:val="24"/>
                <w:szCs w:val="24"/>
                <w:color w:val="auto"/>
              </w:rPr>
            </w:pPr>
          </w:p>
        </w:tc>
        <w:tc>
          <w:tcPr>
            <w:tcW w:w="11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(350)</w:t>
            </w:r>
          </w:p>
        </w:tc>
        <w:tc>
          <w:tcPr>
            <w:tcW w:w="80" w:type="dxa"/>
            <w:vAlign w:val="bottom"/>
            <w:tcBorders>
              <w:bottom w:val="single" w:sz="8" w:color="D5D5D5"/>
            </w:tcBorders>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6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Net cash used in investing activities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(395,198)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(306,163)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(183,933)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700" w:type="dxa"/>
            <w:vAlign w:val="bottom"/>
            <w:tcBorders>
              <w:top w:val="single" w:sz="8" w:color="D5D5D5"/>
            </w:tcBorders>
            <w:shd w:val="clear" w:color="auto" w:fill="D5D5D5"/>
          </w:tcPr>
          <w:p>
            <w:pPr>
              <w:ind w:left="40"/>
              <w:spacing w:after="0"/>
              <w:rPr>
                <w:sz w:val="20"/>
                <w:szCs w:val="20"/>
                <w:color w:val="auto"/>
              </w:rPr>
            </w:pPr>
            <w:r>
              <w:rPr>
                <w:rFonts w:ascii="Times New Roman" w:cs="Times New Roman" w:eastAsia="Times New Roman" w:hAnsi="Times New Roman"/>
                <w:sz w:val="19"/>
                <w:szCs w:val="19"/>
                <w:b w:val="1"/>
                <w:bCs w:val="1"/>
                <w:color w:val="auto"/>
              </w:rPr>
              <w:t>Cash flows from financing activities:</w:t>
            </w:r>
          </w:p>
        </w:tc>
        <w:tc>
          <w:tcPr>
            <w:tcW w:w="1080" w:type="dxa"/>
            <w:vAlign w:val="bottom"/>
            <w:tcBorders>
              <w:top w:val="single" w:sz="8" w:color="auto"/>
            </w:tcBorders>
            <w:shd w:val="clear" w:color="auto" w:fill="D5D5D5"/>
          </w:tcPr>
          <w:p>
            <w:pPr>
              <w:spacing w:after="0"/>
              <w:rPr>
                <w:sz w:val="22"/>
                <w:szCs w:val="22"/>
                <w:color w:val="auto"/>
              </w:rPr>
            </w:pPr>
          </w:p>
        </w:tc>
        <w:tc>
          <w:tcPr>
            <w:tcW w:w="80" w:type="dxa"/>
            <w:vAlign w:val="bottom"/>
            <w:tcBorders>
              <w:top w:val="single" w:sz="8" w:color="D5D5D5"/>
            </w:tcBorders>
            <w:shd w:val="clear" w:color="auto" w:fill="D5D5D5"/>
          </w:tcPr>
          <w:p>
            <w:pPr>
              <w:spacing w:after="0"/>
              <w:rPr>
                <w:sz w:val="22"/>
                <w:szCs w:val="22"/>
                <w:color w:val="auto"/>
              </w:rPr>
            </w:pPr>
          </w:p>
        </w:tc>
        <w:tc>
          <w:tcPr>
            <w:tcW w:w="1100" w:type="dxa"/>
            <w:vAlign w:val="bottom"/>
            <w:tcBorders>
              <w:top w:val="single" w:sz="8" w:color="auto"/>
            </w:tcBorders>
            <w:shd w:val="clear" w:color="auto" w:fill="D5D5D5"/>
          </w:tcPr>
          <w:p>
            <w:pPr>
              <w:spacing w:after="0"/>
              <w:rPr>
                <w:sz w:val="22"/>
                <w:szCs w:val="22"/>
                <w:color w:val="auto"/>
              </w:rPr>
            </w:pPr>
          </w:p>
        </w:tc>
        <w:tc>
          <w:tcPr>
            <w:tcW w:w="60" w:type="dxa"/>
            <w:vAlign w:val="bottom"/>
            <w:tcBorders>
              <w:top w:val="single" w:sz="8" w:color="D5D5D5"/>
            </w:tcBorders>
            <w:shd w:val="clear" w:color="auto" w:fill="D5D5D5"/>
          </w:tcPr>
          <w:p>
            <w:pPr>
              <w:spacing w:after="0"/>
              <w:rPr>
                <w:sz w:val="22"/>
                <w:szCs w:val="22"/>
                <w:color w:val="auto"/>
              </w:rPr>
            </w:pPr>
          </w:p>
        </w:tc>
        <w:tc>
          <w:tcPr>
            <w:tcW w:w="1100" w:type="dxa"/>
            <w:vAlign w:val="bottom"/>
            <w:tcBorders>
              <w:top w:val="single" w:sz="8" w:color="auto"/>
            </w:tcBorders>
            <w:shd w:val="clear" w:color="auto" w:fill="D5D5D5"/>
          </w:tcPr>
          <w:p>
            <w:pPr>
              <w:spacing w:after="0"/>
              <w:rPr>
                <w:sz w:val="22"/>
                <w:szCs w:val="22"/>
                <w:color w:val="auto"/>
              </w:rPr>
            </w:pPr>
          </w:p>
        </w:tc>
        <w:tc>
          <w:tcPr>
            <w:tcW w:w="80" w:type="dxa"/>
            <w:vAlign w:val="bottom"/>
            <w:tcBorders>
              <w:top w:val="single" w:sz="8" w:color="D5D5D5"/>
            </w:tcBorders>
            <w:shd w:val="clear" w:color="auto" w:fill="D5D5D5"/>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67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Proceeds from borrowings on senior credit agreement, including term loans</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987,375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763,000</w:t>
            </w:r>
          </w:p>
        </w:tc>
        <w:tc>
          <w:tcPr>
            <w:tcW w:w="6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94"/>
        </w:trPr>
        <w:tc>
          <w:tcPr>
            <w:tcW w:w="670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Principal payments on senior credit agreement, including term loans</w:t>
            </w:r>
          </w:p>
        </w:tc>
        <w:tc>
          <w:tcPr>
            <w:tcW w:w="10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(852,375)</w:t>
            </w:r>
          </w:p>
        </w:tc>
        <w:tc>
          <w:tcPr>
            <w:tcW w:w="118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(780,500)</w:t>
            </w:r>
          </w:p>
        </w:tc>
        <w:tc>
          <w:tcPr>
            <w:tcW w:w="116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(17,500)</w:t>
            </w:r>
          </w:p>
        </w:tc>
        <w:tc>
          <w:tcPr>
            <w:tcW w:w="8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7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Debt issuance costs</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(6,671)</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94"/>
        </w:trPr>
        <w:tc>
          <w:tcPr>
            <w:tcW w:w="670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Repurchase of common stock</w:t>
            </w:r>
          </w:p>
        </w:tc>
        <w:tc>
          <w:tcPr>
            <w:tcW w:w="10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(65,640)</w:t>
            </w:r>
          </w:p>
        </w:tc>
        <w:tc>
          <w:tcPr>
            <w:tcW w:w="118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(49,659)</w:t>
            </w:r>
          </w:p>
        </w:tc>
        <w:tc>
          <w:tcPr>
            <w:tcW w:w="116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(48,732)</w:t>
            </w:r>
          </w:p>
        </w:tc>
        <w:tc>
          <w:tcPr>
            <w:tcW w:w="8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7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(7,959)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1,149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4,557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6700" w:type="dxa"/>
            <w:vAlign w:val="bottom"/>
            <w:tcBorders>
              <w:bottom w:val="single" w:sz="8" w:color="D5D5D5"/>
            </w:tcBorders>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Restricted stock tax withholdings</w:t>
            </w:r>
          </w:p>
        </w:tc>
        <w:tc>
          <w:tcPr>
            <w:tcW w:w="10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(17,044)</w:t>
            </w:r>
          </w:p>
        </w:tc>
        <w:tc>
          <w:tcPr>
            <w:tcW w:w="80" w:type="dxa"/>
            <w:vAlign w:val="bottom"/>
            <w:tcBorders>
              <w:bottom w:val="single" w:sz="8" w:color="D5D5D5"/>
            </w:tcBorders>
            <w:shd w:val="clear" w:color="auto" w:fill="D5D5D5"/>
          </w:tcPr>
          <w:p>
            <w:pPr>
              <w:spacing w:after="0"/>
              <w:rPr>
                <w:sz w:val="24"/>
                <w:szCs w:val="24"/>
                <w:color w:val="auto"/>
              </w:rPr>
            </w:pPr>
          </w:p>
        </w:tc>
        <w:tc>
          <w:tcPr>
            <w:tcW w:w="11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(9,903)</w:t>
            </w:r>
          </w:p>
        </w:tc>
        <w:tc>
          <w:tcPr>
            <w:tcW w:w="60" w:type="dxa"/>
            <w:vAlign w:val="bottom"/>
            <w:tcBorders>
              <w:bottom w:val="single" w:sz="8" w:color="D5D5D5"/>
            </w:tcBorders>
            <w:shd w:val="clear" w:color="auto" w:fill="D5D5D5"/>
          </w:tcPr>
          <w:p>
            <w:pPr>
              <w:spacing w:after="0"/>
              <w:rPr>
                <w:sz w:val="24"/>
                <w:szCs w:val="24"/>
                <w:color w:val="auto"/>
              </w:rPr>
            </w:pPr>
          </w:p>
        </w:tc>
        <w:tc>
          <w:tcPr>
            <w:tcW w:w="11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(5,752)</w:t>
            </w:r>
          </w:p>
        </w:tc>
        <w:tc>
          <w:tcPr>
            <w:tcW w:w="80" w:type="dxa"/>
            <w:vAlign w:val="bottom"/>
            <w:tcBorders>
              <w:bottom w:val="single" w:sz="8" w:color="D5D5D5"/>
            </w:tcBorders>
            <w:shd w:val="clear" w:color="auto" w:fill="D5D5D5"/>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00"/>
          </w:cols>
          <w:pgMar w:left="900" w:top="901"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254000</wp:posOffset>
            </wp:positionV>
            <wp:extent cx="76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1">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6964680</wp:posOffset>
            </wp:positionH>
            <wp:positionV relativeFrom="paragraph">
              <wp:posOffset>254000</wp:posOffset>
            </wp:positionV>
            <wp:extent cx="76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2">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10200"/>
          </w:cols>
          <w:pgMar w:left="900" w:top="901" w:right="780" w:bottom="0" w:gutter="0" w:footer="0" w:header="0"/>
          <w:type w:val="continuous"/>
        </w:sectPr>
      </w:pPr>
    </w:p>
    <w:bookmarkStart w:id="53" w:name="page54"/>
    <w:bookmarkEnd w:id="53"/>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t>DYCOM INDUSTRIES, INC. AND SUBSIDIARIES</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(Continued)</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(Dollars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7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gridSpan w:val="6"/>
          </w:tcPr>
          <w:p>
            <w:pPr>
              <w:ind w:left="700"/>
              <w:spacing w:after="0"/>
              <w:rPr>
                <w:sz w:val="20"/>
                <w:szCs w:val="20"/>
                <w:color w:val="auto"/>
              </w:rPr>
            </w:pPr>
            <w:r>
              <w:rPr>
                <w:rFonts w:ascii="Times New Roman" w:cs="Times New Roman" w:eastAsia="Times New Roman" w:hAnsi="Times New Roman"/>
                <w:sz w:val="19"/>
                <w:szCs w:val="19"/>
                <w:b w:val="1"/>
                <w:bCs w:val="1"/>
                <w:color w:val="auto"/>
              </w:rPr>
              <w:t>Fiscal Year Ended</w:t>
            </w:r>
          </w:p>
        </w:tc>
        <w:tc>
          <w:tcPr>
            <w:tcW w:w="8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6700" w:type="dxa"/>
            <w:vAlign w:val="bottom"/>
          </w:tcPr>
          <w:p>
            <w:pPr>
              <w:spacing w:after="0"/>
              <w:rPr>
                <w:sz w:val="11"/>
                <w:szCs w:val="11"/>
                <w:color w:val="auto"/>
              </w:rPr>
            </w:pPr>
          </w:p>
        </w:tc>
        <w:tc>
          <w:tcPr>
            <w:tcW w:w="108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5"/>
                <w:szCs w:val="15"/>
                <w:b w:val="1"/>
                <w:bCs w:val="1"/>
                <w:color w:val="auto"/>
              </w:rPr>
              <w:t>January 25,</w:t>
            </w:r>
          </w:p>
        </w:tc>
        <w:tc>
          <w:tcPr>
            <w:tcW w:w="80" w:type="dxa"/>
            <w:vAlign w:val="bottom"/>
          </w:tcPr>
          <w:p>
            <w:pPr>
              <w:spacing w:after="0"/>
              <w:rPr>
                <w:sz w:val="11"/>
                <w:szCs w:val="11"/>
                <w:color w:val="auto"/>
              </w:rPr>
            </w:pPr>
          </w:p>
        </w:tc>
        <w:tc>
          <w:tcPr>
            <w:tcW w:w="110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5"/>
                <w:szCs w:val="15"/>
                <w:b w:val="1"/>
                <w:bCs w:val="1"/>
                <w:color w:val="auto"/>
              </w:rPr>
              <w:t>January 27,</w:t>
            </w:r>
          </w:p>
        </w:tc>
        <w:tc>
          <w:tcPr>
            <w:tcW w:w="60" w:type="dxa"/>
            <w:vAlign w:val="bottom"/>
          </w:tcPr>
          <w:p>
            <w:pPr>
              <w:spacing w:after="0"/>
              <w:rPr>
                <w:sz w:val="11"/>
                <w:szCs w:val="11"/>
                <w:color w:val="auto"/>
              </w:rPr>
            </w:pPr>
          </w:p>
        </w:tc>
        <w:tc>
          <w:tcPr>
            <w:tcW w:w="110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5"/>
                <w:szCs w:val="15"/>
                <w:b w:val="1"/>
                <w:bCs w:val="1"/>
                <w:color w:val="auto"/>
              </w:rPr>
              <w:t>January 28,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67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9"/>
                <w:szCs w:val="19"/>
                <w:b w:val="1"/>
                <w:bCs w:val="1"/>
                <w:color w:val="auto"/>
              </w:rPr>
              <w:t>2023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6700" w:type="dxa"/>
            <w:vAlign w:val="bottom"/>
            <w:tcBorders>
              <w:bottom w:val="single" w:sz="8" w:color="D5D5D5"/>
            </w:tcBorders>
          </w:tcPr>
          <w:p>
            <w:pPr>
              <w:ind w:left="40"/>
              <w:spacing w:after="0"/>
              <w:rPr>
                <w:sz w:val="20"/>
                <w:szCs w:val="20"/>
                <w:color w:val="auto"/>
              </w:rPr>
            </w:pPr>
            <w:r>
              <w:rPr>
                <w:rFonts w:ascii="Times New Roman" w:cs="Times New Roman" w:eastAsia="Times New Roman" w:hAnsi="Times New Roman"/>
                <w:sz w:val="19"/>
                <w:szCs w:val="19"/>
                <w:color w:val="auto"/>
              </w:rPr>
              <w:t>Net cash provided by (used in) financing activities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37,686</w:t>
            </w:r>
          </w:p>
        </w:tc>
        <w:tc>
          <w:tcPr>
            <w:tcW w:w="80" w:type="dxa"/>
            <w:vAlign w:val="bottom"/>
            <w:tcBorders>
              <w:bottom w:val="single" w:sz="8" w:color="D5D5D5"/>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(75,913)</w:t>
            </w:r>
          </w:p>
        </w:tc>
        <w:tc>
          <w:tcPr>
            <w:tcW w:w="60" w:type="dxa"/>
            <w:vAlign w:val="bottom"/>
            <w:tcBorders>
              <w:bottom w:val="single" w:sz="8" w:color="D5D5D5"/>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(67,427)</w:t>
            </w:r>
          </w:p>
        </w:tc>
        <w:tc>
          <w:tcPr>
            <w:tcW w:w="80" w:type="dxa"/>
            <w:vAlign w:val="bottom"/>
            <w:tcBorders>
              <w:bottom w:val="single" w:sz="8" w:color="D5D5D5"/>
            </w:tcBorders>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67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Net decrease in cash, cash equivalents and restricted cash</w:t>
            </w:r>
          </w:p>
        </w:tc>
        <w:tc>
          <w:tcPr>
            <w:tcW w:w="240" w:type="dxa"/>
            <w:vAlign w:val="bottom"/>
            <w:shd w:val="clear" w:color="auto" w:fill="D5D5D5"/>
          </w:tcPr>
          <w:p>
            <w:pPr>
              <w:spacing w:after="0"/>
              <w:rPr>
                <w:sz w:val="24"/>
                <w:szCs w:val="24"/>
                <w:color w:val="auto"/>
              </w:rPr>
            </w:pPr>
          </w:p>
        </w:tc>
        <w:tc>
          <w:tcPr>
            <w:tcW w:w="8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(8,416)</w:t>
            </w:r>
          </w:p>
        </w:tc>
        <w:tc>
          <w:tcPr>
            <w:tcW w:w="80" w:type="dxa"/>
            <w:vAlign w:val="bottom"/>
            <w:shd w:val="clear" w:color="auto" w:fill="D5D5D5"/>
          </w:tcPr>
          <w:p>
            <w:pPr>
              <w:spacing w:after="0"/>
              <w:rPr>
                <w:sz w:val="24"/>
                <w:szCs w:val="24"/>
                <w:color w:val="auto"/>
              </w:rPr>
            </w:pPr>
          </w:p>
        </w:tc>
        <w:tc>
          <w:tcPr>
            <w:tcW w:w="240" w:type="dxa"/>
            <w:vAlign w:val="bottom"/>
            <w:shd w:val="clear" w:color="auto" w:fill="D5D5D5"/>
          </w:tcPr>
          <w:p>
            <w:pPr>
              <w:spacing w:after="0"/>
              <w:rPr>
                <w:sz w:val="24"/>
                <w:szCs w:val="24"/>
                <w:color w:val="auto"/>
              </w:rPr>
            </w:pPr>
          </w:p>
        </w:tc>
        <w:tc>
          <w:tcPr>
            <w:tcW w:w="8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(123,100)</w:t>
            </w:r>
          </w:p>
        </w:tc>
        <w:tc>
          <w:tcPr>
            <w:tcW w:w="60" w:type="dxa"/>
            <w:vAlign w:val="bottom"/>
            <w:shd w:val="clear" w:color="auto" w:fill="D5D5D5"/>
          </w:tcPr>
          <w:p>
            <w:pPr>
              <w:spacing w:after="0"/>
              <w:rPr>
                <w:sz w:val="24"/>
                <w:szCs w:val="24"/>
                <w:color w:val="auto"/>
              </w:rPr>
            </w:pPr>
          </w:p>
        </w:tc>
        <w:tc>
          <w:tcPr>
            <w:tcW w:w="260" w:type="dxa"/>
            <w:vAlign w:val="bottom"/>
            <w:shd w:val="clear" w:color="auto" w:fill="D5D5D5"/>
          </w:tcPr>
          <w:p>
            <w:pPr>
              <w:spacing w:after="0"/>
              <w:rPr>
                <w:sz w:val="24"/>
                <w:szCs w:val="24"/>
                <w:color w:val="auto"/>
              </w:rPr>
            </w:pPr>
          </w:p>
        </w:tc>
        <w:tc>
          <w:tcPr>
            <w:tcW w:w="8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(86,571)</w:t>
            </w:r>
          </w:p>
        </w:tc>
        <w:tc>
          <w:tcPr>
            <w:tcW w:w="8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700" w:type="dxa"/>
            <w:vAlign w:val="bottom"/>
            <w:tcBorders>
              <w:bottom w:val="single" w:sz="8" w:color="D5D5D5"/>
            </w:tcBorders>
          </w:tcPr>
          <w:p>
            <w:pPr>
              <w:ind w:left="40"/>
              <w:spacing w:after="0"/>
              <w:rPr>
                <w:sz w:val="20"/>
                <w:szCs w:val="20"/>
                <w:color w:val="auto"/>
              </w:rPr>
            </w:pPr>
            <w:r>
              <w:rPr>
                <w:rFonts w:ascii="Times New Roman" w:cs="Times New Roman" w:eastAsia="Times New Roman" w:hAnsi="Times New Roman"/>
                <w:sz w:val="19"/>
                <w:szCs w:val="19"/>
                <w:b w:val="1"/>
                <w:bCs w:val="1"/>
                <w:color w:val="auto"/>
              </w:rPr>
              <w:t>Cash, cash equivalents and restricted cash at beginning of period (Note 8)</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102,890</w:t>
            </w:r>
          </w:p>
        </w:tc>
        <w:tc>
          <w:tcPr>
            <w:tcW w:w="80" w:type="dxa"/>
            <w:vAlign w:val="bottom"/>
            <w:tcBorders>
              <w:bottom w:val="single" w:sz="8" w:color="D5D5D5"/>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225,990</w:t>
            </w:r>
          </w:p>
        </w:tc>
        <w:tc>
          <w:tcPr>
            <w:tcW w:w="60" w:type="dxa"/>
            <w:vAlign w:val="bottom"/>
            <w:tcBorders>
              <w:bottom w:val="single" w:sz="8" w:color="D5D5D5"/>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312,561</w:t>
            </w:r>
          </w:p>
        </w:tc>
        <w:tc>
          <w:tcPr>
            <w:tcW w:w="80" w:type="dxa"/>
            <w:vAlign w:val="bottom"/>
            <w:tcBorders>
              <w:bottom w:val="single" w:sz="8" w:color="D5D5D5"/>
            </w:tcBorders>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67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b w:val="1"/>
                <w:bCs w:val="1"/>
                <w:color w:val="auto"/>
              </w:rPr>
              <w:t>Cash, cash equivalents and restricted cash at end of period (Note 8)</w:t>
            </w:r>
          </w:p>
        </w:tc>
        <w:tc>
          <w:tcPr>
            <w:tcW w:w="24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94,474</w:t>
            </w:r>
          </w:p>
        </w:tc>
        <w:tc>
          <w:tcPr>
            <w:tcW w:w="32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102,890</w:t>
            </w:r>
          </w:p>
        </w:tc>
        <w:tc>
          <w:tcPr>
            <w:tcW w:w="32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225,990</w:t>
            </w:r>
          </w:p>
        </w:tc>
        <w:tc>
          <w:tcPr>
            <w:tcW w:w="8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700" w:type="dxa"/>
            <w:vAlign w:val="bottom"/>
            <w:tcBorders>
              <w:top w:val="single" w:sz="8" w:color="D5D5D5"/>
            </w:tcBorders>
          </w:tcPr>
          <w:p>
            <w:pPr>
              <w:ind w:left="40"/>
              <w:spacing w:after="0" w:line="184" w:lineRule="exact"/>
              <w:rPr>
                <w:sz w:val="20"/>
                <w:szCs w:val="20"/>
                <w:color w:val="auto"/>
              </w:rPr>
            </w:pPr>
            <w:r>
              <w:rPr>
                <w:rFonts w:ascii="Times New Roman" w:cs="Times New Roman" w:eastAsia="Times New Roman" w:hAnsi="Times New Roman"/>
                <w:sz w:val="19"/>
                <w:szCs w:val="19"/>
                <w:b w:val="1"/>
                <w:bCs w:val="1"/>
                <w:color w:val="auto"/>
              </w:rPr>
              <w:t>Supplemental disclosure of other cash flow activities and non-cash investing and</w:t>
            </w: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D5D5D5"/>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60" w:type="dxa"/>
            <w:vAlign w:val="bottom"/>
            <w:tcBorders>
              <w:top w:val="single" w:sz="8" w:color="D5D5D5"/>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D5D5D5"/>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670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auto"/>
              </w:rPr>
              <w:t>financing activities: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67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Cash paid for interest</w:t>
            </w:r>
          </w:p>
        </w:tc>
        <w:tc>
          <w:tcPr>
            <w:tcW w:w="24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57,924</w:t>
            </w:r>
          </w:p>
        </w:tc>
        <w:tc>
          <w:tcPr>
            <w:tcW w:w="32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50,679</w:t>
            </w:r>
          </w:p>
        </w:tc>
        <w:tc>
          <w:tcPr>
            <w:tcW w:w="32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37,928</w:t>
            </w:r>
          </w:p>
        </w:tc>
        <w:tc>
          <w:tcPr>
            <w:tcW w:w="8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Cash paid for taxes, net</w:t>
            </w:r>
          </w:p>
        </w:tc>
        <w:tc>
          <w:tcPr>
            <w:tcW w:w="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61,542</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96,616</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6,915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Purchases of capital assets included in accounts payable or other accrued liabilities at</w:t>
            </w:r>
          </w:p>
        </w:tc>
        <w:tc>
          <w:tcPr>
            <w:tcW w:w="240" w:type="dxa"/>
            <w:vAlign w:val="bottom"/>
            <w:vMerge w:val="restart"/>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vMerge w:val="restart"/>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16,059</w:t>
            </w:r>
          </w:p>
        </w:tc>
        <w:tc>
          <w:tcPr>
            <w:tcW w:w="320" w:type="dxa"/>
            <w:vAlign w:val="bottom"/>
            <w:gridSpan w:val="2"/>
            <w:vMerge w:val="restart"/>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vMerge w:val="restart"/>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7,338</w:t>
            </w:r>
          </w:p>
        </w:tc>
        <w:tc>
          <w:tcPr>
            <w:tcW w:w="320" w:type="dxa"/>
            <w:vAlign w:val="bottom"/>
            <w:gridSpan w:val="2"/>
            <w:vMerge w:val="restart"/>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vMerge w:val="restart"/>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8,256</w:t>
            </w:r>
          </w:p>
        </w:tc>
        <w:tc>
          <w:tcPr>
            <w:tcW w:w="80" w:type="dxa"/>
            <w:vAlign w:val="bottom"/>
            <w:shd w:val="clear" w:color="auto" w:fill="D5D5D5"/>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7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period end</w:t>
            </w:r>
          </w:p>
        </w:tc>
        <w:tc>
          <w:tcPr>
            <w:tcW w:w="240" w:type="dxa"/>
            <w:vAlign w:val="bottom"/>
            <w:vMerge w:val="continue"/>
            <w:shd w:val="clear" w:color="auto" w:fill="D5D5D5"/>
          </w:tcPr>
          <w:p>
            <w:pPr>
              <w:spacing w:after="0"/>
              <w:rPr>
                <w:sz w:val="22"/>
                <w:szCs w:val="22"/>
                <w:color w:val="auto"/>
              </w:rPr>
            </w:pPr>
          </w:p>
        </w:tc>
        <w:tc>
          <w:tcPr>
            <w:tcW w:w="840" w:type="dxa"/>
            <w:vAlign w:val="bottom"/>
            <w:vMerge w:val="continue"/>
            <w:shd w:val="clear" w:color="auto" w:fill="D5D5D5"/>
          </w:tcPr>
          <w:p>
            <w:pPr>
              <w:spacing w:after="0"/>
              <w:rPr>
                <w:sz w:val="22"/>
                <w:szCs w:val="22"/>
                <w:color w:val="auto"/>
              </w:rPr>
            </w:pPr>
          </w:p>
        </w:tc>
        <w:tc>
          <w:tcPr>
            <w:tcW w:w="320" w:type="dxa"/>
            <w:vAlign w:val="bottom"/>
            <w:gridSpan w:val="2"/>
            <w:vMerge w:val="continue"/>
            <w:shd w:val="clear" w:color="auto" w:fill="D5D5D5"/>
          </w:tcPr>
          <w:p>
            <w:pPr>
              <w:spacing w:after="0"/>
              <w:rPr>
                <w:sz w:val="22"/>
                <w:szCs w:val="22"/>
                <w:color w:val="auto"/>
              </w:rPr>
            </w:pPr>
          </w:p>
        </w:tc>
        <w:tc>
          <w:tcPr>
            <w:tcW w:w="860" w:type="dxa"/>
            <w:vAlign w:val="bottom"/>
            <w:vMerge w:val="continue"/>
            <w:shd w:val="clear" w:color="auto" w:fill="D5D5D5"/>
          </w:tcPr>
          <w:p>
            <w:pPr>
              <w:spacing w:after="0"/>
              <w:rPr>
                <w:sz w:val="22"/>
                <w:szCs w:val="22"/>
                <w:color w:val="auto"/>
              </w:rPr>
            </w:pPr>
          </w:p>
        </w:tc>
        <w:tc>
          <w:tcPr>
            <w:tcW w:w="320" w:type="dxa"/>
            <w:vAlign w:val="bottom"/>
            <w:gridSpan w:val="2"/>
            <w:vMerge w:val="continue"/>
            <w:shd w:val="clear" w:color="auto" w:fill="D5D5D5"/>
          </w:tcPr>
          <w:p>
            <w:pPr>
              <w:spacing w:after="0"/>
              <w:rPr>
                <w:sz w:val="22"/>
                <w:szCs w:val="22"/>
                <w:color w:val="auto"/>
              </w:rPr>
            </w:pPr>
          </w:p>
        </w:tc>
        <w:tc>
          <w:tcPr>
            <w:tcW w:w="840" w:type="dxa"/>
            <w:vAlign w:val="bottom"/>
            <w:vMerge w:val="continue"/>
            <w:shd w:val="clear" w:color="auto" w:fill="D5D5D5"/>
          </w:tcPr>
          <w:p>
            <w:pPr>
              <w:spacing w:after="0"/>
              <w:rPr>
                <w:sz w:val="22"/>
                <w:szCs w:val="22"/>
                <w:color w:val="auto"/>
              </w:rPr>
            </w:pPr>
          </w:p>
        </w:tc>
        <w:tc>
          <w:tcPr>
            <w:tcW w:w="80" w:type="dxa"/>
            <w:vAlign w:val="bottom"/>
            <w:shd w:val="clear" w:color="auto" w:fill="D5D5D5"/>
          </w:tcPr>
          <w:p>
            <w:pPr>
              <w:spacing w:after="0"/>
              <w:rPr>
                <w:sz w:val="22"/>
                <w:szCs w:val="22"/>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See notes to the consolidated financial statements.</w:t>
      </w:r>
    </w:p>
    <w:p>
      <w:pPr>
        <w:sectPr>
          <w:pgSz w:w="11880" w:h="15480" w:orient="portrait"/>
          <w:cols w:equalWidth="0" w:num="1">
            <w:col w:w="10200"/>
          </w:cols>
          <w:pgMar w:left="900" w:top="912"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254000</wp:posOffset>
            </wp:positionV>
            <wp:extent cx="76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5">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6964680</wp:posOffset>
            </wp:positionH>
            <wp:positionV relativeFrom="paragraph">
              <wp:posOffset>254000</wp:posOffset>
            </wp:positionV>
            <wp:extent cx="76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6">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10200"/>
          </w:cols>
          <w:pgMar w:left="900" w:top="912" w:right="780" w:bottom="0" w:gutter="0" w:footer="0" w:header="0"/>
          <w:type w:val="continuous"/>
        </w:sectPr>
      </w:pPr>
    </w:p>
    <w:bookmarkStart w:id="54" w:name="page55"/>
    <w:bookmarkEnd w:id="54"/>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1. Basis of Presentation</w:t>
      </w:r>
    </w:p>
    <w:p>
      <w:pPr>
        <w:spacing w:after="0" w:line="250" w:lineRule="exact"/>
        <w:rPr>
          <w:sz w:val="20"/>
          <w:szCs w:val="20"/>
          <w:color w:val="auto"/>
        </w:rPr>
      </w:pPr>
    </w:p>
    <w:p>
      <w:pPr>
        <w:ind w:right="80" w:firstLine="345"/>
        <w:spacing w:after="0" w:line="260" w:lineRule="auto"/>
        <w:rPr>
          <w:sz w:val="20"/>
          <w:szCs w:val="20"/>
          <w:color w:val="auto"/>
        </w:rPr>
      </w:pPr>
      <w:r>
        <w:rPr>
          <w:rFonts w:ascii="Times New Roman" w:cs="Times New Roman" w:eastAsia="Times New Roman" w:hAnsi="Times New Roman"/>
          <w:sz w:val="19"/>
          <w:szCs w:val="19"/>
          <w:color w:val="auto"/>
        </w:rPr>
        <w:t>Dycom Industries, Inc. (“Dycom,” the “Company,” “we,” “our,” or “us”) is a leading provider of specialty contracting services throughout the United States. These services include program management, planning; engineering and design; aerial, underground, and wireless construction; maintenance; and fulfillment services for telecommunications providers. Additionally, Dycom provides underground facility locating services for various utilities, including telecommunications providers, as well as other construction and maintenance services for electric and gas utilities. Dycom supplies the labor, tools, and equipment necessary to provide these services to its customers.</w:t>
      </w:r>
    </w:p>
    <w:p>
      <w:pPr>
        <w:spacing w:after="0" w:line="190" w:lineRule="exact"/>
        <w:rPr>
          <w:sz w:val="20"/>
          <w:szCs w:val="20"/>
          <w:color w:val="auto"/>
        </w:rPr>
      </w:pPr>
    </w:p>
    <w:p>
      <w:pPr>
        <w:ind w:right="220" w:firstLine="345"/>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 xml:space="preserve">Accounting Period. </w:t>
      </w:r>
      <w:r>
        <w:rPr>
          <w:rFonts w:ascii="Times New Roman" w:cs="Times New Roman" w:eastAsia="Times New Roman" w:hAnsi="Times New Roman"/>
          <w:sz w:val="19"/>
          <w:szCs w:val="19"/>
          <w:color w:val="auto"/>
        </w:rPr>
        <w:t>Our fiscal year ends on the last Saturday in January. As a result, each fiscal year consists of either 52</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weeks or 53 weeks of operations (with the additional week of operations occurring in the fourth quarter). Fiscal 2025, fiscal 2024, and fiscal 2023 each consisted of 52 weeks of operations. The next 53 week fiscal period will occur next fiscal year, which is the fiscal year ending January 31, 2026.</w:t>
      </w:r>
    </w:p>
    <w:p>
      <w:pPr>
        <w:spacing w:after="0" w:line="186" w:lineRule="exact"/>
        <w:rPr>
          <w:sz w:val="20"/>
          <w:szCs w:val="20"/>
          <w:color w:val="auto"/>
        </w:rPr>
      </w:pPr>
    </w:p>
    <w:p>
      <w:pPr>
        <w:ind w:right="40" w:firstLine="345"/>
        <w:spacing w:after="0" w:line="262" w:lineRule="auto"/>
        <w:rPr>
          <w:sz w:val="20"/>
          <w:szCs w:val="20"/>
          <w:color w:val="auto"/>
        </w:rPr>
      </w:pPr>
      <w:r>
        <w:rPr>
          <w:rFonts w:ascii="Times New Roman" w:cs="Times New Roman" w:eastAsia="Times New Roman" w:hAnsi="Times New Roman"/>
          <w:sz w:val="19"/>
          <w:szCs w:val="19"/>
          <w:color w:val="auto"/>
        </w:rPr>
        <w:t>The accompanying consolidated financial statements of the Company and its subsidiaries, all of which are wholly-owned, have been prepared in accordance with accounting principles generally accepted in the United States of America (“GAAP”) pursuant to the rules and regulations of the U.S. Securities and Exchange Commission (“SEC”). In the opinion of management, all adjustments considered necessary for a fair presentation of such statements have been included. This includes all normal and recurring adjustments and elimination of intercompany accounts and transactions.</w:t>
      </w:r>
    </w:p>
    <w:p>
      <w:pPr>
        <w:spacing w:after="0" w:line="187" w:lineRule="exact"/>
        <w:rPr>
          <w:sz w:val="20"/>
          <w:szCs w:val="20"/>
          <w:color w:val="auto"/>
        </w:rPr>
      </w:pPr>
    </w:p>
    <w:p>
      <w:pPr>
        <w:ind w:firstLine="345"/>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Segment Information. </w:t>
      </w:r>
      <w:r>
        <w:rPr>
          <w:rFonts w:ascii="Times New Roman" w:cs="Times New Roman" w:eastAsia="Times New Roman" w:hAnsi="Times New Roman"/>
          <w:sz w:val="19"/>
          <w:szCs w:val="19"/>
          <w:color w:val="auto"/>
        </w:rPr>
        <w:t>The Company operates in one reportable segment. Its services are provided by its operating segments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on a decentralized basis. Each operating segment consists of a subsidiary (or in certain instances, the combination of two or more subsidiaries), whose results are regularly reviewed by the Company’s Chief Executive Officer, the chief operating decision maker. All of the Company’s operating segments have been aggregated into one reportable segment based on their similar economic characteristics, nature of services and production processes, type of customers, and service distribution methods. See Note 21, </w:t>
      </w:r>
      <w:r>
        <w:rPr>
          <w:rFonts w:ascii="Times New Roman" w:cs="Times New Roman" w:eastAsia="Times New Roman" w:hAnsi="Times New Roman"/>
          <w:sz w:val="19"/>
          <w:szCs w:val="19"/>
          <w:b w:val="1"/>
          <w:bCs w:val="1"/>
          <w:i w:val="1"/>
          <w:iCs w:val="1"/>
          <w:color w:val="auto"/>
        </w:rPr>
        <w:t>Segment Reporting,</w:t>
      </w:r>
      <w:r>
        <w:rPr>
          <w:rFonts w:ascii="Times New Roman" w:cs="Times New Roman" w:eastAsia="Times New Roman" w:hAnsi="Times New Roman"/>
          <w:sz w:val="19"/>
          <w:szCs w:val="19"/>
          <w:color w:val="auto"/>
        </w:rPr>
        <w:t xml:space="preserve"> for additional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2. Significant Accounting Policies and Estimates</w:t>
      </w:r>
    </w:p>
    <w:p>
      <w:pPr>
        <w:spacing w:after="0" w:line="247" w:lineRule="exact"/>
        <w:rPr>
          <w:sz w:val="20"/>
          <w:szCs w:val="20"/>
          <w:color w:val="auto"/>
        </w:rPr>
      </w:pPr>
    </w:p>
    <w:p>
      <w:pPr>
        <w:ind w:right="100" w:firstLine="345"/>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 xml:space="preserve">Use of Estimates. </w:t>
      </w:r>
      <w:r>
        <w:rPr>
          <w:rFonts w:ascii="Times New Roman" w:cs="Times New Roman" w:eastAsia="Times New Roman" w:hAnsi="Times New Roman"/>
          <w:sz w:val="19"/>
          <w:szCs w:val="19"/>
          <w:color w:val="auto"/>
        </w:rPr>
        <w:t>The preparation of financial statements in conformity with GAAP requires management to make certain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estimates and assumptions that affect the amounts reported in these consolidated financial statements and accompanying notes. These key estimates include: the recognition of revenue under the cost-to-cost method of progress, accrued insurance claims, the allowance for credit losses, accruals for contingencies, stock-based compensation expense for performance-based stock awards, the fair value of reporting units for the goodwill impairment analysis, the assessment of impairment of intangibles and other long-lived assets, the purchase price allocations of businesses acquired, and income taxes. These estimates are based on our historical experience and management’s understanding of current facts and circumstances. At the time they are made, we believe that such estimates are fair when considered in conjunction with the Company’s consolidated financial position and results of operations taken as a whole. However, actual results could differ materially from those estimates.</w:t>
      </w:r>
    </w:p>
    <w:p>
      <w:pPr>
        <w:spacing w:after="0" w:line="198" w:lineRule="exact"/>
        <w:rPr>
          <w:sz w:val="20"/>
          <w:szCs w:val="20"/>
          <w:color w:val="auto"/>
        </w:rPr>
      </w:pPr>
    </w:p>
    <w:p>
      <w:pPr>
        <w:ind w:right="20" w:firstLine="345"/>
        <w:spacing w:after="0" w:line="255"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Revenue Recognition. </w:t>
      </w:r>
      <w:r>
        <w:rPr>
          <w:rFonts w:ascii="Times New Roman" w:cs="Times New Roman" w:eastAsia="Times New Roman" w:hAnsi="Times New Roman"/>
          <w:sz w:val="19"/>
          <w:szCs w:val="19"/>
          <w:color w:val="auto"/>
        </w:rPr>
        <w:t>We perform a significant amount of our services under master service agreements and other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contracts that contain customer-specified service requirements. These agreements include discrete pricing for individual tasks including, for example, the placement of underground or aerial fiber, directional boring, and fiber splicing, each based on a specific unit of measure. A contractual agreement exists when each party involved approves and commits to the agreement, the rights of the parties and payment terms are identified, the agreement has commercial substance, and collectability of consideration is probable. Our services are performed for the sole benefit of our customers, whereby the assets being created or maintained are controlled by the customer and the services we perform do not have alternative benefits for us. Contract revenue is recognized over time as services are performed and customers simultaneously receive and consume the benefits we provide. Output measures, such as units, delivered are utilized to assess progress against specific contractual performance obligations for the majority of our services. The selection of the method to measure progress towards completion requires judgment and is based on the nature of the services to be provided. For us, the output method using units delivered best represents the measure of progress against the performance obligations incorporated within the contractual agreements. This method captures the amount of units delivered pursuant to contracts and is used only when our performance does not produce significant amounts of work in process prior to complete satisfaction of the performance obligation. For a portion of contract items, units to be completed consist of multiple tasks. For these items, the transaction price is allocated to each task based on relative standalone measurements, such as selling prices for similar tasks, or in the alternative, the cost to perform the tasks. Contract revenue is</w:t>
      </w:r>
    </w:p>
    <w:p>
      <w:pPr>
        <w:sectPr>
          <w:pgSz w:w="11880" w:h="15480" w:orient="portrait"/>
          <w:cols w:equalWidth="0" w:num="1">
            <w:col w:w="9840"/>
          </w:cols>
          <w:pgMar w:left="1000" w:top="905"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49</w:t>
      </w:r>
    </w:p>
    <w:p>
      <w:pPr>
        <w:spacing w:after="0" w:line="20" w:lineRule="exact"/>
        <w:rPr>
          <w:sz w:val="20"/>
          <w:szCs w:val="20"/>
          <w:color w:val="auto"/>
        </w:rPr>
      </w:pPr>
    </w:p>
    <w:p>
      <w:pPr>
        <w:sectPr>
          <w:pgSz w:w="11880" w:h="15480" w:orient="portrait"/>
          <w:cols w:equalWidth="0" w:num="1">
            <w:col w:w="9840"/>
          </w:cols>
          <w:pgMar w:left="1000" w:top="905" w:right="1040" w:bottom="0" w:gutter="0" w:footer="0" w:header="0"/>
          <w:type w:val="continuous"/>
        </w:sectPr>
      </w:pPr>
    </w:p>
    <w:bookmarkStart w:id="55" w:name="page56"/>
    <w:bookmarkEnd w:id="55"/>
    <w:p>
      <w:pPr>
        <w:ind w:right="560"/>
        <w:spacing w:after="0" w:line="289" w:lineRule="auto"/>
        <w:rPr>
          <w:sz w:val="20"/>
          <w:szCs w:val="20"/>
          <w:color w:val="auto"/>
        </w:rPr>
      </w:pPr>
      <w:r>
        <w:rPr>
          <w:rFonts w:ascii="Times New Roman" w:cs="Times New Roman" w:eastAsia="Times New Roman" w:hAnsi="Times New Roman"/>
          <w:sz w:val="19"/>
          <w:szCs w:val="19"/>
          <w:color w:val="auto"/>
        </w:rPr>
        <w:t>recognized as the tasks are completed as a measurement of progress in the satisfaction of the corresponding performance obligation.</w:t>
      </w:r>
    </w:p>
    <w:p>
      <w:pPr>
        <w:spacing w:after="0" w:line="165" w:lineRule="exact"/>
        <w:rPr>
          <w:sz w:val="20"/>
          <w:szCs w:val="20"/>
          <w:color w:val="auto"/>
        </w:rPr>
      </w:pPr>
    </w:p>
    <w:p>
      <w:pPr>
        <w:ind w:right="80" w:firstLine="345"/>
        <w:spacing w:after="0" w:line="259" w:lineRule="auto"/>
        <w:rPr>
          <w:sz w:val="20"/>
          <w:szCs w:val="20"/>
          <w:color w:val="auto"/>
        </w:rPr>
      </w:pPr>
      <w:r>
        <w:rPr>
          <w:rFonts w:ascii="Times New Roman" w:cs="Times New Roman" w:eastAsia="Times New Roman" w:hAnsi="Times New Roman"/>
          <w:sz w:val="19"/>
          <w:szCs w:val="19"/>
          <w:color w:val="auto"/>
        </w:rPr>
        <w:t>For certain contracts, representing less than 5% of contract revenues during fiscal 2025, fiscal 2024, and fiscal 2023, we use the cost-to-cost measure of progress. These contracts are generally projects that are completed over a period of less than 12 months and for which payment is received in a lump sum at the end of the project. Under the cost-to-cost measure of progress, the extent of progress toward completion is measured based on the ratio of costs incurred to date to the total estimated costs. Contract costs include direct labor, direct materials, and subcontractor costs, as well as an allocation of indirect costs. Contract revenues are recorded as costs are incurred. We accrue the entire amount of a contract loss, if any, at the time the loss is determined to be probable and can be reasonably estimated.</w:t>
      </w:r>
    </w:p>
    <w:p>
      <w:pPr>
        <w:spacing w:after="0" w:line="193" w:lineRule="exact"/>
        <w:rPr>
          <w:sz w:val="20"/>
          <w:szCs w:val="20"/>
          <w:color w:val="auto"/>
        </w:rPr>
      </w:pPr>
    </w:p>
    <w:p>
      <w:pPr>
        <w:ind w:right="320" w:firstLine="345"/>
        <w:spacing w:after="0" w:line="289" w:lineRule="auto"/>
        <w:rPr>
          <w:sz w:val="20"/>
          <w:szCs w:val="20"/>
          <w:color w:val="auto"/>
        </w:rPr>
      </w:pPr>
      <w:r>
        <w:rPr>
          <w:rFonts w:ascii="Times New Roman" w:cs="Times New Roman" w:eastAsia="Times New Roman" w:hAnsi="Times New Roman"/>
          <w:sz w:val="19"/>
          <w:szCs w:val="19"/>
          <w:color w:val="auto"/>
        </w:rPr>
        <w:t>There were no material amounts of unapproved change orders or claims recognized during fiscal 2025, fiscal 2024, and fiscal 2023.</w:t>
      </w:r>
    </w:p>
    <w:p>
      <w:pPr>
        <w:spacing w:after="0" w:line="162" w:lineRule="exact"/>
        <w:rPr>
          <w:sz w:val="20"/>
          <w:szCs w:val="20"/>
          <w:color w:val="auto"/>
        </w:rPr>
      </w:pPr>
    </w:p>
    <w:p>
      <w:pPr>
        <w:ind w:right="80" w:firstLine="345"/>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 xml:space="preserve">Accounts Receivable, net. </w:t>
      </w:r>
      <w:r>
        <w:rPr>
          <w:rFonts w:ascii="Times New Roman" w:cs="Times New Roman" w:eastAsia="Times New Roman" w:hAnsi="Times New Roman"/>
          <w:sz w:val="19"/>
          <w:szCs w:val="19"/>
          <w:color w:val="auto"/>
        </w:rPr>
        <w:t>We grant credit to our customers, generally without collateral, under normal payment terms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(typically 30 to 90 days after invoicing). Generally, invoicing occurs within 45 days after the related services are performed. Accounts receivable represents an unconditional right to consideration arising from our performance under contracts with customers. Accounts receivable include billed accounts receivable, unbilled accounts receivable, and retainage. The carrying value of such receivables, net of the allowance for credit losses, represents their estimated realizable value. Unbilled accounts receivable represent amounts we have an unconditional right to receive payment for that will be billed at a later date due to administrative requirements in the billing processes specified by our customers. Certain of our contracts contain retainage provisions whereby a portion of the revenue earned is withheld from payment as a form of security until contractual provisions are satisfied. The collectability of retainage is included in our overall assessment of the collectability of accounts receivable. We expect to collect the outstanding balance of current accounts receivable, net (including trade accounts receivable, unbilled accounts receivable, and retainage) within the next 12 months. We estimate our allowance for credit losses by evaluating specific accounts receivable balances based on historical collection trends, the age of outstanding receivables, and the credit worthiness of our customers.</w:t>
      </w:r>
    </w:p>
    <w:p>
      <w:pPr>
        <w:spacing w:after="0" w:line="199" w:lineRule="exact"/>
        <w:rPr>
          <w:sz w:val="20"/>
          <w:szCs w:val="20"/>
          <w:color w:val="auto"/>
        </w:rPr>
      </w:pPr>
    </w:p>
    <w:p>
      <w:pPr>
        <w:ind w:firstLine="345"/>
        <w:spacing w:after="0" w:line="262" w:lineRule="auto"/>
        <w:rPr>
          <w:sz w:val="20"/>
          <w:szCs w:val="20"/>
          <w:color w:val="auto"/>
        </w:rPr>
      </w:pPr>
      <w:r>
        <w:rPr>
          <w:rFonts w:ascii="Times New Roman" w:cs="Times New Roman" w:eastAsia="Times New Roman" w:hAnsi="Times New Roman"/>
          <w:sz w:val="19"/>
          <w:szCs w:val="19"/>
          <w:color w:val="auto"/>
        </w:rPr>
        <w:t>We participate in a customer-sponsored vendor payment program for one of our customers. All eligible accounts receivable from this customer are included in the program and payment is received pursuant to a non-recourse sale to a bank partner of the customer. This program effectively reduces the time to collect these receivables as compared to that customer’s standard payment terms. We incur a discount fee to the bank on the payments received that is reflected as an expense component in other income, net, in the consolidated statements of operations.</w:t>
      </w:r>
    </w:p>
    <w:p>
      <w:pPr>
        <w:spacing w:after="0" w:line="187" w:lineRule="exact"/>
        <w:rPr>
          <w:sz w:val="20"/>
          <w:szCs w:val="20"/>
          <w:color w:val="auto"/>
        </w:rPr>
      </w:pPr>
    </w:p>
    <w:p>
      <w:pPr>
        <w:jc w:val="center"/>
        <w:ind w:right="300"/>
        <w:spacing w:after="0" w:line="292"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Contract Assets. </w:t>
      </w:r>
      <w:r>
        <w:rPr>
          <w:rFonts w:ascii="Times New Roman" w:cs="Times New Roman" w:eastAsia="Times New Roman" w:hAnsi="Times New Roman"/>
          <w:sz w:val="19"/>
          <w:szCs w:val="19"/>
          <w:color w:val="auto"/>
        </w:rPr>
        <w:t>Contract assets include unbilled amounts typically resulting from arrangements whereby complete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satisfaction of a performance obligation and the right to payment are conditioned on completing additional tasks or services.</w:t>
      </w:r>
    </w:p>
    <w:p>
      <w:pPr>
        <w:spacing w:after="0" w:line="160" w:lineRule="exact"/>
        <w:rPr>
          <w:sz w:val="20"/>
          <w:szCs w:val="20"/>
          <w:color w:val="auto"/>
        </w:rPr>
      </w:pPr>
    </w:p>
    <w:p>
      <w:pPr>
        <w:ind w:firstLine="345"/>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Contract Liabilities. </w:t>
      </w:r>
      <w:r>
        <w:rPr>
          <w:rFonts w:ascii="Times New Roman" w:cs="Times New Roman" w:eastAsia="Times New Roman" w:hAnsi="Times New Roman"/>
          <w:sz w:val="19"/>
          <w:szCs w:val="19"/>
          <w:color w:val="auto"/>
        </w:rPr>
        <w:t>Contract liabilities consist of amounts invoiced to customers in excess of revenue recognized. Our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contract assets and liabilities are reported in a net position on a contract by contract basis at the end of each reporting period. As of January 25, 2025 and January 27, 2024, the contract liabilities balance is classified as current based on the timing of when we expect to complete the tasks required for the recognition of revenue and contract completion.</w:t>
      </w:r>
    </w:p>
    <w:p>
      <w:pPr>
        <w:spacing w:after="0" w:line="183" w:lineRule="exact"/>
        <w:rPr>
          <w:sz w:val="20"/>
          <w:szCs w:val="20"/>
          <w:color w:val="auto"/>
        </w:rPr>
      </w:pPr>
    </w:p>
    <w:p>
      <w:pPr>
        <w:ind w:right="60" w:firstLine="345"/>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 xml:space="preserve">Cash and Equivalents. </w:t>
      </w:r>
      <w:r>
        <w:rPr>
          <w:rFonts w:ascii="Times New Roman" w:cs="Times New Roman" w:eastAsia="Times New Roman" w:hAnsi="Times New Roman"/>
          <w:sz w:val="19"/>
          <w:szCs w:val="19"/>
          <w:color w:val="auto"/>
        </w:rPr>
        <w:t>Cash and equivalents primarily include balances on deposit in banks. We maintain our cash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equivalents at financial institutions we believe to be of high credit quality. To date, we have not experienced any loss or lack of access to cash in our operating accounts.</w:t>
      </w:r>
    </w:p>
    <w:p>
      <w:pPr>
        <w:spacing w:after="0" w:line="179" w:lineRule="exact"/>
        <w:rPr>
          <w:sz w:val="20"/>
          <w:szCs w:val="20"/>
          <w:color w:val="auto"/>
        </w:rPr>
      </w:pPr>
    </w:p>
    <w:p>
      <w:pPr>
        <w:ind w:right="120" w:firstLine="345"/>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Inventories. </w:t>
      </w:r>
      <w:r>
        <w:rPr>
          <w:rFonts w:ascii="Times New Roman" w:cs="Times New Roman" w:eastAsia="Times New Roman" w:hAnsi="Times New Roman"/>
          <w:sz w:val="19"/>
          <w:szCs w:val="19"/>
          <w:color w:val="auto"/>
        </w:rPr>
        <w:t>Inventories consist of materials and supplies used in the ordinary course of business and are carried at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lower of cost (using the first-in, first-out method) or net realizable value. Inventories also include certain job specific materials that are valued using the specific identification method. For contracts where we are required to supply part or all of the materials on behalf of a customer, the loss of a customer or declines in contract volumes could result in an impairment of the value of materials purchased.</w:t>
      </w:r>
    </w:p>
    <w:p>
      <w:pPr>
        <w:spacing w:after="0" w:line="190" w:lineRule="exact"/>
        <w:rPr>
          <w:sz w:val="20"/>
          <w:szCs w:val="20"/>
          <w:color w:val="auto"/>
        </w:rPr>
      </w:pPr>
    </w:p>
    <w:p>
      <w:pPr>
        <w:ind w:right="20" w:firstLine="345"/>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Property and Equipment. </w:t>
      </w:r>
      <w:r>
        <w:rPr>
          <w:rFonts w:ascii="Times New Roman" w:cs="Times New Roman" w:eastAsia="Times New Roman" w:hAnsi="Times New Roman"/>
          <w:sz w:val="19"/>
          <w:szCs w:val="19"/>
          <w:color w:val="auto"/>
        </w:rPr>
        <w:t>Property and equipment are stated at cost and depreciated on a straight-line basis over their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estimated useful lives (see Note 9, </w:t>
      </w:r>
      <w:r>
        <w:rPr>
          <w:rFonts w:ascii="Times New Roman" w:cs="Times New Roman" w:eastAsia="Times New Roman" w:hAnsi="Times New Roman"/>
          <w:sz w:val="19"/>
          <w:szCs w:val="19"/>
          <w:b w:val="1"/>
          <w:bCs w:val="1"/>
          <w:i w:val="1"/>
          <w:iCs w:val="1"/>
          <w:color w:val="auto"/>
        </w:rPr>
        <w:t>Property and Equipment</w:t>
      </w:r>
      <w:r>
        <w:rPr>
          <w:rFonts w:ascii="Times New Roman" w:cs="Times New Roman" w:eastAsia="Times New Roman" w:hAnsi="Times New Roman"/>
          <w:sz w:val="19"/>
          <w:szCs w:val="19"/>
          <w:color w:val="auto"/>
        </w:rPr>
        <w:t>, for the range of useful lives). Leasehold improvements are depreciated on a straight-line basis over the lesser of the estimated useful life of the asset or the remaining lease term. Maintenance and repairs are expensed as incurred and major improvements are capitalized. When assets are sold or retired, the cost and related accumulated depreciation are removed from the accounts and the resulting gain or loss is included in other income. Capitalized software consists primarily of costs to purchase and develop internal-use software and is amortized over its</w:t>
      </w:r>
    </w:p>
    <w:p>
      <w:pPr>
        <w:sectPr>
          <w:pgSz w:w="11880" w:h="15480" w:orient="portrait"/>
          <w:cols w:equalWidth="0" w:num="1">
            <w:col w:w="9820"/>
          </w:cols>
          <w:pgMar w:left="1000" w:top="897" w:right="1060" w:bottom="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50</w:t>
      </w:r>
    </w:p>
    <w:p>
      <w:pPr>
        <w:spacing w:after="0" w:line="20" w:lineRule="exact"/>
        <w:rPr>
          <w:sz w:val="20"/>
          <w:szCs w:val="20"/>
          <w:color w:val="auto"/>
        </w:rPr>
      </w:pPr>
    </w:p>
    <w:p>
      <w:pPr>
        <w:sectPr>
          <w:pgSz w:w="11880" w:h="15480" w:orient="portrait"/>
          <w:cols w:equalWidth="0" w:num="1">
            <w:col w:w="9820"/>
          </w:cols>
          <w:pgMar w:left="1000" w:top="897" w:right="1060" w:bottom="0" w:gutter="0" w:footer="0" w:header="0"/>
          <w:type w:val="continuous"/>
        </w:sectPr>
      </w:pPr>
    </w:p>
    <w:bookmarkStart w:id="56" w:name="page57"/>
    <w:bookmarkEnd w:id="56"/>
    <w:p>
      <w:pPr>
        <w:ind w:right="60"/>
        <w:spacing w:after="0" w:line="289" w:lineRule="auto"/>
        <w:rPr>
          <w:sz w:val="20"/>
          <w:szCs w:val="20"/>
          <w:color w:val="auto"/>
        </w:rPr>
      </w:pPr>
      <w:r>
        <w:rPr>
          <w:rFonts w:ascii="Times New Roman" w:cs="Times New Roman" w:eastAsia="Times New Roman" w:hAnsi="Times New Roman"/>
          <w:sz w:val="19"/>
          <w:szCs w:val="19"/>
          <w:color w:val="auto"/>
        </w:rPr>
        <w:t>useful life as a component of depreciation expense. Property and equipment includes internally developed capitalized computer software at net book value of $14.3 million and $12.4 million as of January 25, 2025 and January 27, 2024, respectively.</w:t>
      </w:r>
    </w:p>
    <w:p>
      <w:pPr>
        <w:spacing w:after="0" w:line="162" w:lineRule="exact"/>
        <w:rPr>
          <w:sz w:val="20"/>
          <w:szCs w:val="20"/>
          <w:color w:val="auto"/>
        </w:rPr>
      </w:pPr>
    </w:p>
    <w:p>
      <w:pPr>
        <w:ind w:right="20" w:firstLine="345"/>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 xml:space="preserve">Leases. </w:t>
      </w:r>
      <w:r>
        <w:rPr>
          <w:rFonts w:ascii="Times New Roman" w:cs="Times New Roman" w:eastAsia="Times New Roman" w:hAnsi="Times New Roman"/>
          <w:sz w:val="19"/>
          <w:szCs w:val="19"/>
          <w:color w:val="auto"/>
        </w:rPr>
        <w:t>Our leases are accounted for as operating leases, with lease expense recognized on a straight-line basis over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lease term. The lease term may include options to extend or terminate the lease when it is reasonably certain that we will exercise that option. For leases with initial terms greater than 12 months, we record operating lease right-of-use assets and corresponding operating lease liabilities. Operating lease right-of-use assets represent our right to use the underlying asset for the lease term and operating lease liabilities represent our obligation to make the related lease payments. These assets and liabilities are recognized at the commencement date based on the present value of lease payments over the lease term. As our leases do not provide an implicit rate, we use our incremental borrowing rate based on the information available at the commencement date in determining the present value of lease payments. Leases with an initial term of 12 months or less are not recorded on our consolidated balance sheet.</w:t>
      </w:r>
    </w:p>
    <w:p>
      <w:pPr>
        <w:spacing w:after="0" w:line="198" w:lineRule="exact"/>
        <w:rPr>
          <w:sz w:val="20"/>
          <w:szCs w:val="20"/>
          <w:color w:val="auto"/>
        </w:rPr>
      </w:pPr>
    </w:p>
    <w:p>
      <w:pPr>
        <w:ind w:right="20" w:firstLine="345"/>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Goodwill and Intangible Assets. </w:t>
      </w:r>
      <w:r>
        <w:rPr>
          <w:rFonts w:ascii="Times New Roman" w:cs="Times New Roman" w:eastAsia="Times New Roman" w:hAnsi="Times New Roman"/>
          <w:sz w:val="19"/>
          <w:szCs w:val="19"/>
          <w:color w:val="auto"/>
        </w:rPr>
        <w:t>Goodwill and other indefinite-lived intangible assets are assessed annually for impairment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as of the first day of the fourth fiscal quarter of each year, or more frequently if events occur that would indicate a potential reduction in the fair value of a reporting unit below its carrying value. We perform our annual impairment review of goodwill at the reporting unit level. Each of our operating segments with goodwill represents a reporting unit for the purpose of assessing impairment. If we determine the fair value of the reporting unit’s goodwill or other indefinite-lived intangible assets is less than their carrying value as a result of an annual or interim test, an impairment loss is recognized and reflected in operating income or loss in the consolidated statements of operations during the period incurred.</w:t>
      </w:r>
    </w:p>
    <w:p>
      <w:pPr>
        <w:spacing w:after="0" w:line="196" w:lineRule="exact"/>
        <w:rPr>
          <w:sz w:val="20"/>
          <w:szCs w:val="20"/>
          <w:color w:val="auto"/>
        </w:rPr>
      </w:pPr>
    </w:p>
    <w:p>
      <w:pPr>
        <w:ind w:right="40" w:firstLine="345"/>
        <w:spacing w:after="0" w:line="260" w:lineRule="auto"/>
        <w:rPr>
          <w:sz w:val="20"/>
          <w:szCs w:val="20"/>
          <w:color w:val="auto"/>
        </w:rPr>
      </w:pPr>
      <w:r>
        <w:rPr>
          <w:rFonts w:ascii="Times New Roman" w:cs="Times New Roman" w:eastAsia="Times New Roman" w:hAnsi="Times New Roman"/>
          <w:sz w:val="19"/>
          <w:szCs w:val="19"/>
          <w:color w:val="auto"/>
        </w:rPr>
        <w:t>We review finite-lived intangible assets for impairment whenever an event occurs or circumstances change that indicate that the carrying amount of such assets may not be fully recoverable. Recoverability is determined based on an estimate of undiscounted future cash flows resulting from the use of an asset and its eventual disposition. If an asset is not recoverable, an impairment loss is measured by comparing the fair value of the asset to its carrying value. If we determine the fair value of an asset is less than the carrying value, an impairment loss is recognized in operating income or loss in the consolidated statements of operations during the period incurred.</w:t>
      </w:r>
    </w:p>
    <w:p>
      <w:pPr>
        <w:spacing w:after="0" w:line="193" w:lineRule="exact"/>
        <w:rPr>
          <w:sz w:val="20"/>
          <w:szCs w:val="20"/>
          <w:color w:val="auto"/>
        </w:rPr>
      </w:pPr>
    </w:p>
    <w:p>
      <w:pPr>
        <w:ind w:firstLine="345"/>
        <w:spacing w:after="0" w:line="257" w:lineRule="auto"/>
        <w:rPr>
          <w:sz w:val="20"/>
          <w:szCs w:val="20"/>
          <w:color w:val="auto"/>
        </w:rPr>
      </w:pPr>
      <w:r>
        <w:rPr>
          <w:rFonts w:ascii="Times New Roman" w:cs="Times New Roman" w:eastAsia="Times New Roman" w:hAnsi="Times New Roman"/>
          <w:sz w:val="19"/>
          <w:szCs w:val="19"/>
          <w:color w:val="auto"/>
        </w:rPr>
        <w:t xml:space="preserve">We use judgment in assessing whether goodwill and intangible assets are impaired. Estimates of fair value are based on our projection of revenues, operating costs, and cash flows taking into consideration historical and anticipated future results, general economic and market conditions, as well as the impact of planned business or operational strategies. We determine the fair value of our reporting units using a weighing of fair values derived in equal proportions from the income approach and market approach valuation methodologies. The income approach uses the discounted cash flow method and the market approach uses the guideline company method. Changes in our judgments and projections could result in significantly different estimates of fair value, potentially resulting in impairments of goodwill and other intangible assets. The inputs used for fair value measurements of the reporting units and other related indefinite-lived intangible assets are the lowest level (Level 3) inputs. See Note 10, </w:t>
      </w:r>
      <w:r>
        <w:rPr>
          <w:rFonts w:ascii="Times New Roman" w:cs="Times New Roman" w:eastAsia="Times New Roman" w:hAnsi="Times New Roman"/>
          <w:sz w:val="19"/>
          <w:szCs w:val="19"/>
          <w:b w:val="1"/>
          <w:bCs w:val="1"/>
          <w:i w:val="1"/>
          <w:iCs w:val="1"/>
          <w:color w:val="auto"/>
        </w:rPr>
        <w:t>Goodwill and Intangible Assets</w:t>
      </w:r>
      <w:r>
        <w:rPr>
          <w:rFonts w:ascii="Times New Roman" w:cs="Times New Roman" w:eastAsia="Times New Roman" w:hAnsi="Times New Roman"/>
          <w:sz w:val="19"/>
          <w:szCs w:val="19"/>
          <w:color w:val="auto"/>
        </w:rPr>
        <w:t>, for additional information regarding our annual assessment of goodwill and other indefinite-lived intangible assets.</w:t>
      </w:r>
    </w:p>
    <w:p>
      <w:pPr>
        <w:spacing w:after="0" w:line="192" w:lineRule="exact"/>
        <w:rPr>
          <w:sz w:val="20"/>
          <w:szCs w:val="20"/>
          <w:color w:val="auto"/>
        </w:rPr>
      </w:pPr>
    </w:p>
    <w:p>
      <w:pPr>
        <w:ind w:right="60" w:firstLine="345"/>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Implementation Costs – Cloud Computing Arrangements. </w:t>
      </w:r>
      <w:r>
        <w:rPr>
          <w:rFonts w:ascii="Times New Roman" w:cs="Times New Roman" w:eastAsia="Times New Roman" w:hAnsi="Times New Roman"/>
          <w:sz w:val="19"/>
          <w:szCs w:val="19"/>
          <w:color w:val="auto"/>
        </w:rPr>
        <w:t>In accordance with ASU 2018-15, Customer’s Accounting for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Implementation Costs Incurred in a Cloud Computing Arrangement That Is a Service Contract, which amends ASC 350-40, Internal-Use Software, to the extent costs incurred in a cloud computing arrangement are capitalizable, the corresponding costs are recorded in other assets and the related amortization is included in general and administrative expense in the consolidated statements of operations. The amount of capitalized cloud computing implementation costs included in other non-current assets was $29.8 million and $7.2 million as of January 25, 2025 and January 27, 2024 , respectively. The amortization of capitalized implementation costs related to cloud computing arrangements was not material during fiscal 2025, fiscal 2024, or fiscal 2023.</w:t>
      </w:r>
    </w:p>
    <w:p>
      <w:pPr>
        <w:spacing w:after="0" w:line="193" w:lineRule="exact"/>
        <w:rPr>
          <w:sz w:val="20"/>
          <w:szCs w:val="20"/>
          <w:color w:val="auto"/>
        </w:rPr>
      </w:pPr>
    </w:p>
    <w:p>
      <w:pPr>
        <w:ind w:right="120" w:firstLine="345"/>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Long-Lived Tangible Assets. </w:t>
      </w:r>
      <w:r>
        <w:rPr>
          <w:rFonts w:ascii="Times New Roman" w:cs="Times New Roman" w:eastAsia="Times New Roman" w:hAnsi="Times New Roman"/>
          <w:sz w:val="19"/>
          <w:szCs w:val="19"/>
          <w:color w:val="auto"/>
        </w:rPr>
        <w:t>We review long-lived tangible assets for impairment whenever events or changes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circumstances indicate that the carrying amount of such assets may not be fully recoverable. Determination of recoverability is based on an estimate of undiscounted future cash flows resulting from the use of an asset group and its eventual disposition. Measurement of an impairment loss is based on the fair value of the asset compared to its carrying value. Long-lived tangible assets to be disposed of are reported at the lower of their carrying amount or fair value less costs to sell.</w:t>
      </w:r>
    </w:p>
    <w:p>
      <w:pPr>
        <w:spacing w:after="0" w:line="190" w:lineRule="exact"/>
        <w:rPr>
          <w:sz w:val="20"/>
          <w:szCs w:val="20"/>
          <w:color w:val="auto"/>
        </w:rPr>
      </w:pPr>
    </w:p>
    <w:p>
      <w:pPr>
        <w:ind w:right="120" w:firstLine="345"/>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Accrued Insurance Claims. </w:t>
      </w:r>
      <w:r>
        <w:rPr>
          <w:rFonts w:ascii="Times New Roman" w:cs="Times New Roman" w:eastAsia="Times New Roman" w:hAnsi="Times New Roman"/>
          <w:sz w:val="19"/>
          <w:szCs w:val="19"/>
          <w:color w:val="auto"/>
        </w:rPr>
        <w:t>For claims within our insurance program, we retain the risk of loss, up to certain limits, for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matters related to automobile liability, general liability (including damages associated with underground facility locating services), workers’ compensation, and employee group health. Additionally, within our aggregate coverage limits and above our base layer of third-party insurance coverage, we have retained the risk of loss at certain levels of exposure. We have established reserves that we believe to be adequate based on current evaluations and our experience with these types of claims. A liability for unpaid claims and the associated claim expenses, including incurred but not reported losses, is determined with</w:t>
      </w:r>
    </w:p>
    <w:p>
      <w:pPr>
        <w:sectPr>
          <w:pgSz w:w="11880" w:h="15480" w:orient="portrait"/>
          <w:cols w:equalWidth="0" w:num="1">
            <w:col w:w="9840"/>
          </w:cols>
          <w:pgMar w:left="1000" w:top="897" w:right="1040" w:bottom="0" w:gutter="0" w:footer="0" w:header="0"/>
        </w:sectPr>
      </w:pP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p>
    <w:p>
      <w:pPr>
        <w:sectPr>
          <w:pgSz w:w="11880" w:h="15480" w:orient="portrait"/>
          <w:cols w:equalWidth="0" w:num="1">
            <w:col w:w="9840"/>
          </w:cols>
          <w:pgMar w:left="1000" w:top="897" w:right="1040" w:bottom="0" w:gutter="0" w:footer="0" w:header="0"/>
          <w:type w:val="continuous"/>
        </w:sectPr>
      </w:pPr>
    </w:p>
    <w:bookmarkStart w:id="57" w:name="page58"/>
    <w:bookmarkEnd w:id="57"/>
    <w:p>
      <w:pPr>
        <w:spacing w:after="0" w:line="289" w:lineRule="auto"/>
        <w:rPr>
          <w:sz w:val="20"/>
          <w:szCs w:val="20"/>
          <w:color w:val="auto"/>
        </w:rPr>
      </w:pPr>
      <w:r>
        <w:rPr>
          <w:rFonts w:ascii="Times New Roman" w:cs="Times New Roman" w:eastAsia="Times New Roman" w:hAnsi="Times New Roman"/>
          <w:sz w:val="19"/>
          <w:szCs w:val="19"/>
          <w:color w:val="auto"/>
        </w:rPr>
        <w:t>the assistance of an actuary and reflected in the consolidated financial statements as accrued insurance claims. The effect on our financial statements is generally limited to the amount needed to satisfy our insurance deductibles or retentions.</w:t>
      </w:r>
    </w:p>
    <w:p>
      <w:pPr>
        <w:spacing w:after="0" w:line="165" w:lineRule="exact"/>
        <w:rPr>
          <w:sz w:val="20"/>
          <w:szCs w:val="20"/>
          <w:color w:val="auto"/>
        </w:rPr>
      </w:pPr>
    </w:p>
    <w:p>
      <w:pPr>
        <w:ind w:right="60" w:firstLine="345"/>
        <w:spacing w:after="0" w:line="262" w:lineRule="auto"/>
        <w:rPr>
          <w:sz w:val="20"/>
          <w:szCs w:val="20"/>
          <w:color w:val="auto"/>
        </w:rPr>
      </w:pPr>
      <w:r>
        <w:rPr>
          <w:rFonts w:ascii="Times New Roman" w:cs="Times New Roman" w:eastAsia="Times New Roman" w:hAnsi="Times New Roman"/>
          <w:sz w:val="19"/>
          <w:szCs w:val="19"/>
          <w:color w:val="auto"/>
        </w:rPr>
        <w:t>We estimate the liability for claims based on facts, circumstances, and historical experience. Even though they will not be paid until sometime in the future, recorded loss reserves are not discounted. Factors affecting the determination of the expected cost for existing and incurred but not reported claims include, but are not limited to, the magnitude and quantity of future claims, the payment pattern of claims which have been incurred, changes in the medical condition of claimants, and other factors such as inflation, tort reform or other legislative changes, unfavorable jury decisions and court interpretations.</w:t>
      </w:r>
    </w:p>
    <w:p>
      <w:pPr>
        <w:spacing w:after="0" w:line="187" w:lineRule="exact"/>
        <w:rPr>
          <w:sz w:val="20"/>
          <w:szCs w:val="20"/>
          <w:color w:val="auto"/>
        </w:rPr>
      </w:pPr>
    </w:p>
    <w:p>
      <w:pPr>
        <w:ind w:right="40" w:firstLine="345"/>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Income Taxes. </w:t>
      </w:r>
      <w:r>
        <w:rPr>
          <w:rFonts w:ascii="Times New Roman" w:cs="Times New Roman" w:eastAsia="Times New Roman" w:hAnsi="Times New Roman"/>
          <w:sz w:val="19"/>
          <w:szCs w:val="19"/>
          <w:color w:val="auto"/>
        </w:rPr>
        <w:t>We account for income taxes under the asset and liability method. This approach requires the recognition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deferred tax assets and liabilities for the expected future tax consequences of temporary differences between the carrying amounts and the tax bases of assets and liabilities. Measurement of our tax position is based on the applicable statutes, federal and state case law, and our interpretations of tax regulations. The effect of a change in tax rates on deferred tax assets and liabilities is recognized in income during the period that includes the enactment date. We record net deferred tax assets to the extent we believe these assets will more likely than not be realized. In making such determination, we consider all relevant factors, including future reversals of existing taxable temporary differences, projected future taxable income, tax planning strategies and recent financial operations. In the event we determine that we would be able to realize deferred income tax assets in excess of their net recorded amount, we would adjust the valuation allowance, which would reduce the provision for income taxes.</w:t>
      </w:r>
    </w:p>
    <w:p>
      <w:pPr>
        <w:spacing w:after="0" w:line="198" w:lineRule="exact"/>
        <w:rPr>
          <w:sz w:val="20"/>
          <w:szCs w:val="20"/>
          <w:color w:val="auto"/>
        </w:rPr>
      </w:pPr>
    </w:p>
    <w:p>
      <w:pPr>
        <w:ind w:right="60" w:firstLine="345"/>
        <w:spacing w:after="0" w:line="262" w:lineRule="auto"/>
        <w:rPr>
          <w:sz w:val="20"/>
          <w:szCs w:val="20"/>
          <w:color w:val="auto"/>
        </w:rPr>
      </w:pPr>
      <w:r>
        <w:rPr>
          <w:rFonts w:ascii="Times New Roman" w:cs="Times New Roman" w:eastAsia="Times New Roman" w:hAnsi="Times New Roman"/>
          <w:sz w:val="19"/>
          <w:szCs w:val="19"/>
          <w:color w:val="auto"/>
        </w:rPr>
        <w:t>We recognize tax benefits in the amount that we deem, more likely than not, will be realized upon ultimate settlement of any tax uncertainty. Tax positions that fail to qualify for recognition are recognized during the period in which the more-likely-than-not standard has been reached, when the tax positions are resolved with the respective taxing authority or when the statute of limitations for tax examination has expired. We recognize applicable interest related to tax amounts in interest expense and penalties within general and administrative expenses.</w:t>
      </w:r>
    </w:p>
    <w:p>
      <w:pPr>
        <w:spacing w:after="0" w:line="190" w:lineRule="exact"/>
        <w:rPr>
          <w:sz w:val="20"/>
          <w:szCs w:val="20"/>
          <w:color w:val="auto"/>
        </w:rPr>
      </w:pPr>
    </w:p>
    <w:p>
      <w:pPr>
        <w:jc w:val="both"/>
        <w:ind w:firstLine="345"/>
        <w:spacing w:after="0" w:line="271" w:lineRule="auto"/>
        <w:rPr>
          <w:sz w:val="20"/>
          <w:szCs w:val="20"/>
          <w:color w:val="auto"/>
        </w:rPr>
      </w:pPr>
      <w:r>
        <w:rPr>
          <w:rFonts w:ascii="Times New Roman" w:cs="Times New Roman" w:eastAsia="Times New Roman" w:hAnsi="Times New Roman"/>
          <w:sz w:val="19"/>
          <w:szCs w:val="19"/>
          <w:color w:val="auto"/>
        </w:rPr>
        <w:t>We believe our provision for income taxes is adequate; however, any assessment would affect our results of operations and cash flows. With few exceptions, we are no longer subject to U.S. federal, state and local, or Canadian income tax examinations for fiscal years ended 2018 and prior.</w:t>
      </w:r>
    </w:p>
    <w:p>
      <w:pPr>
        <w:spacing w:after="0" w:line="179" w:lineRule="exact"/>
        <w:rPr>
          <w:sz w:val="20"/>
          <w:szCs w:val="20"/>
          <w:color w:val="auto"/>
        </w:rPr>
      </w:pPr>
    </w:p>
    <w:p>
      <w:pPr>
        <w:ind w:right="120" w:firstLine="345"/>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Per Share Data. </w:t>
      </w:r>
      <w:r>
        <w:rPr>
          <w:rFonts w:ascii="Times New Roman" w:cs="Times New Roman" w:eastAsia="Times New Roman" w:hAnsi="Times New Roman"/>
          <w:sz w:val="19"/>
          <w:szCs w:val="19"/>
          <w:color w:val="auto"/>
        </w:rPr>
        <w:t>Basic earnings per common share is computed based on the weighted average number of common shares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outstanding during the period, excluding unvested restricted share units. Diluted earnings per common share includes the weighted average number of common shares outstanding during the period and dilutive potential common shares arising from our stock-based awards (including unvested restricted share units), convertible senior notes, and warrants if their inclusion is dilutive under the treasury stock method. Common stock equivalents related to stock-based awards are excluded from diluted earnings per common share calculations if their effect would be anti-dilutive.</w:t>
      </w:r>
    </w:p>
    <w:p>
      <w:pPr>
        <w:spacing w:after="0" w:line="193" w:lineRule="exact"/>
        <w:rPr>
          <w:sz w:val="20"/>
          <w:szCs w:val="20"/>
          <w:color w:val="auto"/>
        </w:rPr>
      </w:pPr>
    </w:p>
    <w:p>
      <w:pPr>
        <w:ind w:firstLine="345"/>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Stock-Based Compensation. </w:t>
      </w:r>
      <w:r>
        <w:rPr>
          <w:rFonts w:ascii="Times New Roman" w:cs="Times New Roman" w:eastAsia="Times New Roman" w:hAnsi="Times New Roman"/>
          <w:sz w:val="19"/>
          <w:szCs w:val="19"/>
          <w:color w:val="auto"/>
        </w:rPr>
        <w:t>We have stock-based compensation plans under which we grant stock-based awards, including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stock options, time-based restricted share units (“RSUs”), and performance-based restricted share units (“Performance RSUs”) to attract, retain, and reward talented employees, officers, and directors, and to align stockholder and employee interests. The resulting compensation expense is recognized on a straight-line basis over the vesting period, net of actual forfeitures, and is included in general and administrative expenses in the consolidated statements of operations. This expense fluctuates over time as a result of the vesting periods of the stock-based awards and, for our Performance RSUs, the expected achievement of performance measures.</w:t>
      </w:r>
    </w:p>
    <w:p>
      <w:pPr>
        <w:spacing w:after="0" w:line="196" w:lineRule="exact"/>
        <w:rPr>
          <w:sz w:val="20"/>
          <w:szCs w:val="20"/>
          <w:color w:val="auto"/>
        </w:rPr>
      </w:pPr>
    </w:p>
    <w:p>
      <w:pPr>
        <w:ind w:right="20" w:firstLine="345"/>
        <w:spacing w:after="0" w:line="258" w:lineRule="auto"/>
        <w:rPr>
          <w:sz w:val="20"/>
          <w:szCs w:val="20"/>
          <w:color w:val="auto"/>
        </w:rPr>
      </w:pPr>
      <w:r>
        <w:rPr>
          <w:rFonts w:ascii="Times New Roman" w:cs="Times New Roman" w:eastAsia="Times New Roman" w:hAnsi="Times New Roman"/>
          <w:sz w:val="19"/>
          <w:szCs w:val="19"/>
          <w:color w:val="auto"/>
        </w:rPr>
        <w:t>Compensation expense for stock-based awards is based on fair value at the measurement date. The fair value of stock options is estimated on the date of grant using the Black-Scholes option pricing model. This valuation is affected by our stock price as well as other inputs, including the expected common stock price volatility over the expected life of the options, the expected term of the stock option, risk-free interest rates, and expected dividends, if any. Stock options vest ratably over a four-year period and are exercisable over a period of up to ten years. The fair value of RSUs and Performance RSUs is estimated on the date of grant and is equal to the closing market price per share of our common stock on that date. RSUs generally vest ratably over a four-year period. Performance RSUs vest ratably over a three-year period, if certain performance measures are achieved. Each RSU and Performance RSU is settled in one share of the Company’s common stock upon vesting.</w:t>
      </w:r>
    </w:p>
    <w:p>
      <w:pPr>
        <w:spacing w:after="0" w:line="195" w:lineRule="exact"/>
        <w:rPr>
          <w:sz w:val="20"/>
          <w:szCs w:val="20"/>
          <w:color w:val="auto"/>
        </w:rPr>
      </w:pPr>
    </w:p>
    <w:p>
      <w:pPr>
        <w:ind w:right="180" w:firstLine="345"/>
        <w:spacing w:after="0" w:line="262" w:lineRule="auto"/>
        <w:rPr>
          <w:sz w:val="20"/>
          <w:szCs w:val="20"/>
          <w:color w:val="auto"/>
        </w:rPr>
      </w:pPr>
      <w:r>
        <w:rPr>
          <w:rFonts w:ascii="Times New Roman" w:cs="Times New Roman" w:eastAsia="Times New Roman" w:hAnsi="Times New Roman"/>
          <w:sz w:val="19"/>
          <w:szCs w:val="19"/>
          <w:color w:val="auto"/>
        </w:rPr>
        <w:t>For Performance RSUs, we evaluate compensation expense quarterly and recognize expense only if we determine it is probable that the performance measures for the awards will be met. The performance measures for target awards are based on our operating earnings (adjusted for certain amounts) as a percentage of contract revenues and our operating cash flow level (adjusted for certain amounts) for the applicable four-quarter performance period. Additionally, certain awards include three-year performance measures that are more difficult to achieve than those required to earn target awards and, if met, result in</w:t>
      </w:r>
    </w:p>
    <w:p>
      <w:pPr>
        <w:sectPr>
          <w:pgSz w:w="11880" w:h="15480" w:orient="portrait"/>
          <w:cols w:equalWidth="0" w:num="1">
            <w:col w:w="9820"/>
          </w:cols>
          <w:pgMar w:left="1000" w:top="897" w:right="1060" w:bottom="0" w:gutter="0" w:footer="0" w:header="0"/>
        </w:sectPr>
      </w:pPr>
    </w:p>
    <w:p>
      <w:pPr>
        <w:spacing w:after="0" w:line="3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52</w:t>
      </w:r>
    </w:p>
    <w:p>
      <w:pPr>
        <w:spacing w:after="0" w:line="20" w:lineRule="exact"/>
        <w:rPr>
          <w:sz w:val="20"/>
          <w:szCs w:val="20"/>
          <w:color w:val="auto"/>
        </w:rPr>
      </w:pPr>
    </w:p>
    <w:p>
      <w:pPr>
        <w:sectPr>
          <w:pgSz w:w="11880" w:h="15480" w:orient="portrait"/>
          <w:cols w:equalWidth="0" w:num="1">
            <w:col w:w="9820"/>
          </w:cols>
          <w:pgMar w:left="1000" w:top="897" w:right="1060" w:bottom="0" w:gutter="0" w:footer="0" w:header="0"/>
          <w:type w:val="continuous"/>
        </w:sectPr>
      </w:pPr>
    </w:p>
    <w:bookmarkStart w:id="58" w:name="page59"/>
    <w:bookmarkEnd w:id="58"/>
    <w:p>
      <w:pPr>
        <w:spacing w:after="0" w:line="258" w:lineRule="auto"/>
        <w:rPr>
          <w:sz w:val="20"/>
          <w:szCs w:val="20"/>
          <w:color w:val="auto"/>
        </w:rPr>
      </w:pPr>
      <w:r>
        <w:rPr>
          <w:rFonts w:ascii="Times New Roman" w:cs="Times New Roman" w:eastAsia="Times New Roman" w:hAnsi="Times New Roman"/>
          <w:sz w:val="19"/>
          <w:szCs w:val="19"/>
          <w:color w:val="auto"/>
        </w:rPr>
        <w:t xml:space="preserve">supplemental shares awarded. The performance measures for supplemental awards are based on three-year cumulative operating earnings (adjusted for certain amounts) as a percentage of contract revenues and three-year cumulative operating cash flow level (adjusted for certain amounts). In a period we determine it is no longer probable that we will achieve certain performance measures for the awards, we reverse the stock-based compensation expense that we had previously recognized and associated with the portion of Performance RSUs that are no longer expected to vest. The amount of the expense ultimately recognized depends on the number of awards that actually vest. Accordingly, stock-based compensation expense may vary from period to period. For additional information on our stock-based compensation plans, stock options, RSUs, and Performance RSUs, see Note 19, </w:t>
      </w:r>
      <w:r>
        <w:rPr>
          <w:rFonts w:ascii="Times New Roman" w:cs="Times New Roman" w:eastAsia="Times New Roman" w:hAnsi="Times New Roman"/>
          <w:sz w:val="19"/>
          <w:szCs w:val="19"/>
          <w:b w:val="1"/>
          <w:bCs w:val="1"/>
          <w:i w:val="1"/>
          <w:iCs w:val="1"/>
          <w:color w:val="auto"/>
        </w:rPr>
        <w:t>Stock-Based Awards</w:t>
      </w:r>
      <w:r>
        <w:rPr>
          <w:rFonts w:ascii="Times New Roman" w:cs="Times New Roman" w:eastAsia="Times New Roman" w:hAnsi="Times New Roman"/>
          <w:sz w:val="19"/>
          <w:szCs w:val="19"/>
          <w:color w:val="auto"/>
        </w:rPr>
        <w:t>.</w:t>
      </w:r>
    </w:p>
    <w:p>
      <w:pPr>
        <w:spacing w:after="0" w:line="192" w:lineRule="exact"/>
        <w:rPr>
          <w:sz w:val="20"/>
          <w:szCs w:val="20"/>
          <w:color w:val="auto"/>
        </w:rPr>
      </w:pPr>
    </w:p>
    <w:p>
      <w:pPr>
        <w:ind w:right="20" w:firstLine="345"/>
        <w:spacing w:after="0" w:line="257"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Contingencies and Litigation. </w:t>
      </w:r>
      <w:r>
        <w:rPr>
          <w:rFonts w:ascii="Times New Roman" w:cs="Times New Roman" w:eastAsia="Times New Roman" w:hAnsi="Times New Roman"/>
          <w:sz w:val="19"/>
          <w:szCs w:val="19"/>
          <w:color w:val="auto"/>
        </w:rPr>
        <w:t>In the ordinary course of our business, we are involved in certain legal proceedings and other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claims, including claims for indemnification by our customers. In determining whether a loss should be accrued, we evaluate, among other factors, the probability of an unfavorable outcome and the ability to make a reasonable estimate of the amount of loss. If only a range of probable loss can be determined, we accrue for our best estimate within the range for the contingency. In those cases where none of the estimates within the range is better than another, we accrue for the amount representing the low end of the range. As additional information becomes available, we reassess the potential liability related to our pending litigation and other contingencies and revise our estimates as applicable. Revisions of our estimates of the potential liability could materially impact our results of operations. Additionally, if the final outcome of such litigation and contingencies differs adversely from that currently expected, it would result in a charge to operating results when determined.</w:t>
      </w:r>
    </w:p>
    <w:p>
      <w:pPr>
        <w:spacing w:after="0" w:line="198" w:lineRule="exact"/>
        <w:rPr>
          <w:sz w:val="20"/>
          <w:szCs w:val="20"/>
          <w:color w:val="auto"/>
        </w:rPr>
      </w:pPr>
    </w:p>
    <w:p>
      <w:pPr>
        <w:ind w:right="20" w:firstLine="345"/>
        <w:spacing w:after="0" w:line="255" w:lineRule="auto"/>
        <w:rPr>
          <w:sz w:val="20"/>
          <w:szCs w:val="20"/>
          <w:color w:val="auto"/>
        </w:rPr>
      </w:pPr>
      <w:r>
        <w:rPr>
          <w:rFonts w:ascii="Times New Roman" w:cs="Times New Roman" w:eastAsia="Times New Roman" w:hAnsi="Times New Roman"/>
          <w:sz w:val="19"/>
          <w:szCs w:val="19"/>
          <w:b w:val="1"/>
          <w:bCs w:val="1"/>
          <w:i w:val="1"/>
          <w:iCs w:val="1"/>
          <w:color w:val="auto"/>
        </w:rPr>
        <w:t xml:space="preserve">Business Combinations. </w:t>
      </w:r>
      <w:r>
        <w:rPr>
          <w:rFonts w:ascii="Times New Roman" w:cs="Times New Roman" w:eastAsia="Times New Roman" w:hAnsi="Times New Roman"/>
          <w:sz w:val="19"/>
          <w:szCs w:val="19"/>
          <w:color w:val="auto"/>
        </w:rPr>
        <w:t>We account for business combinations under the acquisition method of accounting. The purchase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price of each business acquired is allocated to the tangible and intangible assets acquired and the liabilities assumed based on information regarding their respective fair values on the date of acquisition. Any excess of the purchase price over the fair value of the separately identifiable assets acquired and the liabilities assumed is allocated to goodwill. Management determines the fair values used in purchase price allocations for intangible assets based on historical data, estimated discounted future cash flows, expected royalty rates for trademarks and trade names, as well as certain other information. The valuation of assets acquired and liabilities assumed requires a number of judgments and is subject to revision as additional information about the fair value of assets and liabilities becomes available. Additional information, which existed as of the acquisition date but unknown to us at that time, may become known during the remainder of the measurement period. This measurement period may not exceed 12 months from the acquisition date. We will recognize any adjustments to provisional amounts that are identified during the measurement period in the reporting period in which the adjustments are determined. Additionally, in the same period in which adjustments are recognized, we will record the effect on earnings of changes in depreciation, amortization, or other income effects, if any, as a result of any change to the provisional amounts, calculated as if the accounting adjustment had been completed at the acquisition date. Acquisition costs are expensed as incurred. The results of operations of businesses acquired are included in the consolidated financial statements from their dates of acquisition.</w:t>
      </w:r>
    </w:p>
    <w:p>
      <w:pPr>
        <w:spacing w:after="0" w:line="204" w:lineRule="exact"/>
        <w:rPr>
          <w:sz w:val="20"/>
          <w:szCs w:val="20"/>
          <w:color w:val="auto"/>
        </w:rPr>
      </w:pPr>
    </w:p>
    <w:p>
      <w:pPr>
        <w:ind w:right="60" w:firstLine="345"/>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Fair Value of Financial Instruments. </w:t>
      </w:r>
      <w:r>
        <w:rPr>
          <w:rFonts w:ascii="Times New Roman" w:cs="Times New Roman" w:eastAsia="Times New Roman" w:hAnsi="Times New Roman"/>
          <w:sz w:val="19"/>
          <w:szCs w:val="19"/>
          <w:color w:val="auto"/>
        </w:rPr>
        <w:t>Our financial instruments primarily consist of cash and equivalents, restricted cash,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accounts receivable, income taxes receivable and payable, accounts payable, certain accrued expenses, and long-term debt. The carrying amounts of these items approximate fair value due to their short maturity, except for the fair value of our long-term debt, which is based on observable market-based inputs (Level 2). See Note 14, </w:t>
      </w:r>
      <w:r>
        <w:rPr>
          <w:rFonts w:ascii="Times New Roman" w:cs="Times New Roman" w:eastAsia="Times New Roman" w:hAnsi="Times New Roman"/>
          <w:sz w:val="19"/>
          <w:szCs w:val="19"/>
          <w:b w:val="1"/>
          <w:bCs w:val="1"/>
          <w:i w:val="1"/>
          <w:iCs w:val="1"/>
          <w:color w:val="auto"/>
        </w:rPr>
        <w:t>Debt</w:t>
      </w:r>
      <w:r>
        <w:rPr>
          <w:rFonts w:ascii="Times New Roman" w:cs="Times New Roman" w:eastAsia="Times New Roman" w:hAnsi="Times New Roman"/>
          <w:sz w:val="19"/>
          <w:szCs w:val="19"/>
          <w:color w:val="auto"/>
        </w:rPr>
        <w:t>, for further information regarding the fair value of such financial instruments. Our cash and equivalents are based on quoted market prices in active markets for identical assets (Level 1) as of January 25, 2025 and January 27, 2024. During fiscal 2025, fiscal 2024, and fiscal 2023 we had no material nonrecurring fair value measurements of assets or liabilities subsequent to their initial recognition.</w:t>
      </w:r>
    </w:p>
    <w:p>
      <w:pPr>
        <w:spacing w:after="0" w:line="193" w:lineRule="exact"/>
        <w:rPr>
          <w:sz w:val="20"/>
          <w:szCs w:val="20"/>
          <w:color w:val="auto"/>
        </w:rPr>
      </w:pPr>
    </w:p>
    <w:p>
      <w:pPr>
        <w:ind w:right="220" w:firstLine="345"/>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 xml:space="preserve">Taxes Collected from Customers. </w:t>
      </w:r>
      <w:r>
        <w:rPr>
          <w:rFonts w:ascii="Times New Roman" w:cs="Times New Roman" w:eastAsia="Times New Roman" w:hAnsi="Times New Roman"/>
          <w:sz w:val="19"/>
          <w:szCs w:val="19"/>
          <w:color w:val="auto"/>
        </w:rPr>
        <w:t>ASC Topic 606, Taxes Collected from Customers and Remitted to Governmental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Authorities, addresses the income statement presentation of any taxes collected from customers and remitted to a government authority and provides that the presentation of taxes on either a gross basis or a net basis is an accounting policy decision that should be disclosed. Our policy is to present contract revenues net of sales taxes.</w:t>
      </w:r>
    </w:p>
    <w:p>
      <w:pPr>
        <w:sectPr>
          <w:pgSz w:w="11880" w:h="15480" w:orient="portrait"/>
          <w:cols w:equalWidth="0" w:num="1">
            <w:col w:w="9840"/>
          </w:cols>
          <w:pgMar w:left="1000" w:top="89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53</w:t>
      </w:r>
    </w:p>
    <w:p>
      <w:pPr>
        <w:spacing w:after="0" w:line="20" w:lineRule="exact"/>
        <w:rPr>
          <w:sz w:val="20"/>
          <w:szCs w:val="20"/>
          <w:color w:val="auto"/>
        </w:rPr>
      </w:pPr>
    </w:p>
    <w:p>
      <w:pPr>
        <w:sectPr>
          <w:pgSz w:w="11880" w:h="15480" w:orient="portrait"/>
          <w:cols w:equalWidth="0" w:num="1">
            <w:col w:w="9840"/>
          </w:cols>
          <w:pgMar w:left="1000" w:top="897" w:right="104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9"/>
          <w:szCs w:val="19"/>
          <w:b w:val="1"/>
          <w:bCs w:val="1"/>
          <w:i w:val="1"/>
          <w:iCs w:val="1"/>
          <w:color w:val="auto"/>
        </w:rPr>
        <w:t>3. Accounting Standards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Recently Adopted Accounting Standards</w:t>
      </w:r>
    </w:p>
    <w:p>
      <w:pPr>
        <w:spacing w:after="0" w:line="246" w:lineRule="exact"/>
        <w:rPr>
          <w:sz w:val="20"/>
          <w:szCs w:val="20"/>
          <w:color w:val="auto"/>
        </w:rPr>
      </w:pPr>
    </w:p>
    <w:p>
      <w:pPr>
        <w:ind w:firstLine="346"/>
        <w:spacing w:after="0" w:line="241" w:lineRule="auto"/>
        <w:rPr>
          <w:sz w:val="20"/>
          <w:szCs w:val="20"/>
          <w:color w:val="auto"/>
        </w:rPr>
      </w:pPr>
      <w:r>
        <w:rPr>
          <w:rFonts w:ascii="Times New Roman" w:cs="Times New Roman" w:eastAsia="Times New Roman" w:hAnsi="Times New Roman"/>
          <w:sz w:val="19"/>
          <w:szCs w:val="19"/>
          <w:b w:val="1"/>
          <w:bCs w:val="1"/>
          <w:i w:val="1"/>
          <w:iCs w:val="1"/>
          <w:color w:val="auto"/>
        </w:rPr>
        <w:t>Leases</w:t>
      </w:r>
      <w:r>
        <w:rPr>
          <w:rFonts w:ascii="Times New Roman" w:cs="Times New Roman" w:eastAsia="Times New Roman" w:hAnsi="Times New Roman"/>
          <w:sz w:val="19"/>
          <w:szCs w:val="19"/>
          <w:color w:val="auto"/>
        </w:rPr>
        <w:t>. In March 2023, the FASB issued ASU 2023-01, Leases (Topic 842): Common Control Arrangements.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amendments require all entities including public companies to amortize leasehold improvements associated with common control leases over the useful life to the common control group. ASU 2023-01 is effective for fiscal years beginning after December 15, 2023, including interim periods within those fiscal years. Early adoption is permitted for both interim and annual financial statements that have not yet been made available for issuance. If an entity adopts the amendments in an interim period, it must adopt them as of the beginning of the fiscal year that includes that interim period. Transition can be done either retrospectively or prospectively. We adopted the provisions of ASU 2023-01 in the first quarter of fiscal 2025 by electing to apply the guidance prospectively to all new leasehold improvements recognized on or after January 28, 2024. The adoption of this update did not have a material impact on our consolidated financial statements.</w:t>
      </w:r>
    </w:p>
    <w:p>
      <w:pPr>
        <w:spacing w:after="0" w:line="176" w:lineRule="exact"/>
        <w:rPr>
          <w:sz w:val="20"/>
          <w:szCs w:val="20"/>
          <w:color w:val="auto"/>
        </w:rPr>
      </w:pPr>
    </w:p>
    <w:p>
      <w:pPr>
        <w:ind w:firstLine="346"/>
        <w:spacing w:after="0"/>
        <w:rPr>
          <w:sz w:val="20"/>
          <w:szCs w:val="20"/>
          <w:color w:val="auto"/>
        </w:rPr>
      </w:pPr>
      <w:r>
        <w:rPr>
          <w:rFonts w:ascii="Times New Roman" w:cs="Times New Roman" w:eastAsia="Times New Roman" w:hAnsi="Times New Roman"/>
          <w:sz w:val="19"/>
          <w:szCs w:val="19"/>
          <w:b w:val="1"/>
          <w:bCs w:val="1"/>
          <w:i w:val="1"/>
          <w:iCs w:val="1"/>
          <w:color w:val="auto"/>
        </w:rPr>
        <w:t>Segment Reporting: Improvements to Reportable Segment Disclosures</w:t>
      </w:r>
      <w:r>
        <w:rPr>
          <w:rFonts w:ascii="Times New Roman" w:cs="Times New Roman" w:eastAsia="Times New Roman" w:hAnsi="Times New Roman"/>
          <w:sz w:val="19"/>
          <w:szCs w:val="19"/>
          <w:color w:val="auto"/>
        </w:rPr>
        <w:t>. In November 2023, the FASB issued ASU</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2023-07, Segment Reporting (Topic 280): Improvements to Reportable Segment Disclosures. This ASU requires entities to disclose significant segment expenses, on an annual and interim basis, that are regularly provided to the chief operating decision maker, and an amount for other segment items by reportable segment, with a description of its composition. This ASU requires that a public entity that has a single reportable segment provide all the disclosures required by the amendments in this update and all existing segment disclosures in Topic 280. This ASU is effective for fiscal years beginning after December 15, 2023, and interim periods within fiscal years beginning after December 15, 2024, with early adoption permitted. A retrospective approach is required to be applied to all prior periods presented in the financial statements. We adopted the provisions of ASU 2023-07 in the fourth quarter of fiscal 2025, which resulted in additional disclosures in the notes to our consolidated financial statements. See Note 21, </w:t>
      </w:r>
      <w:r>
        <w:rPr>
          <w:rFonts w:ascii="Times New Roman" w:cs="Times New Roman" w:eastAsia="Times New Roman" w:hAnsi="Times New Roman"/>
          <w:sz w:val="19"/>
          <w:szCs w:val="19"/>
          <w:b w:val="1"/>
          <w:bCs w:val="1"/>
          <w:i w:val="1"/>
          <w:iCs w:val="1"/>
          <w:color w:val="auto"/>
        </w:rPr>
        <w:t>Segment Reporting</w:t>
      </w:r>
      <w:r>
        <w:rPr>
          <w:rFonts w:ascii="Times New Roman" w:cs="Times New Roman" w:eastAsia="Times New Roman" w:hAnsi="Times New Roman"/>
          <w:sz w:val="19"/>
          <w:szCs w:val="19"/>
          <w:color w:val="auto"/>
        </w:rPr>
        <w:t>. The adoption of the provisions of ASU 2023-07 did not impact our financial position or results of operations.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Accounting Standards Not Yet Adopted</w:t>
      </w:r>
    </w:p>
    <w:p>
      <w:pPr>
        <w:spacing w:after="0" w:line="246" w:lineRule="exact"/>
        <w:rPr>
          <w:sz w:val="20"/>
          <w:szCs w:val="20"/>
          <w:color w:val="auto"/>
        </w:rPr>
      </w:pPr>
    </w:p>
    <w:p>
      <w:pPr>
        <w:ind w:firstLine="346"/>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Income Taxes: Improvements to Income Tax Disclosures</w:t>
      </w:r>
      <w:r>
        <w:rPr>
          <w:rFonts w:ascii="Times New Roman" w:cs="Times New Roman" w:eastAsia="Times New Roman" w:hAnsi="Times New Roman"/>
          <w:sz w:val="19"/>
          <w:szCs w:val="19"/>
          <w:color w:val="auto"/>
        </w:rPr>
        <w:t>. In December 2023, the FASB issued ASU 2023-09, Income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Taxes (Topic 740): Improvements to Income Tax Disclosures. The ASU requires entities to disclose disaggregated information about their effective tax rate reconciliation as well as expanded information on income taxes paid by jurisdiction. The disclosure will be applied on a prospective basis, with the option to apply them retrospectively. ASU 2023-09 is effective for fiscal years beginning after December 15, 2024, with early adoption permitted. We plan to adopt the provisions of ASU 2023-09 in fiscal 2026 and we are evaluating the disclosure requirements related to the new standard.</w:t>
      </w:r>
    </w:p>
    <w:p>
      <w:pPr>
        <w:spacing w:after="0" w:line="193" w:lineRule="exact"/>
        <w:rPr>
          <w:sz w:val="20"/>
          <w:szCs w:val="20"/>
          <w:color w:val="auto"/>
        </w:rPr>
      </w:pPr>
    </w:p>
    <w:p>
      <w:pPr>
        <w:ind w:right="40" w:firstLine="346"/>
        <w:spacing w:after="0" w:line="241"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Income Statement-Reporting Comprehensive Income-Expense Disaggregation Disclosures (Subtopic 220-40): Disaggregation of Income Statement Expenses. </w:t>
      </w:r>
      <w:r>
        <w:rPr>
          <w:rFonts w:ascii="Times New Roman" w:cs="Times New Roman" w:eastAsia="Times New Roman" w:hAnsi="Times New Roman"/>
          <w:sz w:val="19"/>
          <w:szCs w:val="19"/>
          <w:color w:val="auto"/>
        </w:rPr>
        <w:t>In November 2024, the FASB issued ASU 2024-03, Income Statement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(Subtopic 220-40): Disaggregation of Income Statement Expenses. This ASU requires public entities to disclose, in the notes to the financial statements, specified information about certain costs and expenses at each interim and annual reporting period. In January 2025, the FASB issued ASU 2025-01, Income Statements (Subtopic 220-40): Clarifying the Effective Date. This ASU is effective for annual reporting periods beginning after December 15, 2026, and interim periods beginning after December 15, 2027, with early adoption permitted. We are currently evaluating the impact of the standard on our condensed consolidated financial statements.</w:t>
      </w:r>
    </w:p>
    <w:p>
      <w:pPr>
        <w:sectPr>
          <w:pgSz w:w="11880" w:h="15480" w:orient="portrait"/>
          <w:cols w:equalWidth="0" w:num="1">
            <w:col w:w="9840"/>
          </w:cols>
          <w:pgMar w:left="1000" w:top="889"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54</w:t>
      </w:r>
    </w:p>
    <w:p>
      <w:pPr>
        <w:spacing w:after="0" w:line="20" w:lineRule="exact"/>
        <w:rPr>
          <w:sz w:val="20"/>
          <w:szCs w:val="20"/>
          <w:color w:val="auto"/>
        </w:rPr>
      </w:pPr>
    </w:p>
    <w:p>
      <w:pPr>
        <w:sectPr>
          <w:pgSz w:w="11880" w:h="15480" w:orient="portrait"/>
          <w:cols w:equalWidth="0" w:num="1">
            <w:col w:w="9840"/>
          </w:cols>
          <w:pgMar w:left="1000" w:top="889" w:right="104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9"/>
          <w:szCs w:val="19"/>
          <w:b w:val="1"/>
          <w:bCs w:val="1"/>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t>4. Computation of Earnings per Common Share</w:t>
      </w:r>
    </w:p>
    <w:p>
      <w:pPr>
        <w:spacing w:after="0" w:line="250" w:lineRule="exact"/>
        <w:rPr>
          <w:sz w:val="20"/>
          <w:szCs w:val="20"/>
          <w:color w:val="auto"/>
        </w:rPr>
      </w:pPr>
    </w:p>
    <w:p>
      <w:pPr>
        <w:ind w:right="520" w:firstLine="345"/>
        <w:spacing w:after="0" w:line="289" w:lineRule="auto"/>
        <w:rPr>
          <w:sz w:val="20"/>
          <w:szCs w:val="20"/>
          <w:color w:val="auto"/>
        </w:rPr>
      </w:pPr>
      <w:r>
        <w:rPr>
          <w:rFonts w:ascii="Times New Roman" w:cs="Times New Roman" w:eastAsia="Times New Roman" w:hAnsi="Times New Roman"/>
          <w:sz w:val="19"/>
          <w:szCs w:val="19"/>
          <w:color w:val="auto"/>
        </w:rPr>
        <w:t>The following table sets forth the computation of basic and diluted earnings per common share (dollars in thousands, except per share amounts):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9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jc w:val="center"/>
              <w:ind w:right="64"/>
              <w:spacing w:after="0"/>
              <w:rPr>
                <w:sz w:val="20"/>
                <w:szCs w:val="20"/>
                <w:color w:val="auto"/>
              </w:rPr>
            </w:pPr>
            <w:r>
              <w:rPr>
                <w:rFonts w:ascii="Times New Roman" w:cs="Times New Roman" w:eastAsia="Times New Roman" w:hAnsi="Times New Roman"/>
                <w:sz w:val="19"/>
                <w:szCs w:val="19"/>
                <w:b w:val="1"/>
                <w:bCs w:val="1"/>
                <w:color w:val="auto"/>
              </w:rPr>
              <w:t>Fiscal Year Ended</w:t>
            </w:r>
          </w:p>
        </w:tc>
        <w:tc>
          <w:tcPr>
            <w:tcW w:w="10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5940" w:type="dxa"/>
            <w:vAlign w:val="bottom"/>
          </w:tcPr>
          <w:p>
            <w:pPr>
              <w:spacing w:after="0"/>
              <w:rPr>
                <w:sz w:val="16"/>
                <w:szCs w:val="16"/>
                <w:color w:val="auto"/>
              </w:rPr>
            </w:pPr>
          </w:p>
        </w:tc>
        <w:tc>
          <w:tcPr>
            <w:tcW w:w="1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9"/>
                <w:szCs w:val="19"/>
                <w:b w:val="1"/>
                <w:bCs w:val="1"/>
                <w:color w:val="auto"/>
              </w:rPr>
              <w:t>January 25,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rPr>
              <w:t>January 27,</w:t>
            </w:r>
          </w:p>
        </w:tc>
        <w:tc>
          <w:tcPr>
            <w:tcW w:w="80" w:type="dxa"/>
            <w:vAlign w:val="bottom"/>
          </w:tcPr>
          <w:p>
            <w:pPr>
              <w:spacing w:after="0"/>
              <w:rPr>
                <w:sz w:val="16"/>
                <w:szCs w:val="16"/>
                <w:color w:val="auto"/>
              </w:rPr>
            </w:pPr>
          </w:p>
        </w:tc>
        <w:tc>
          <w:tcPr>
            <w:tcW w:w="1240" w:type="dxa"/>
            <w:vAlign w:val="bottom"/>
            <w:gridSpan w:val="2"/>
          </w:tcPr>
          <w:p>
            <w:pPr>
              <w:jc w:val="right"/>
              <w:ind w:right="44"/>
              <w:spacing w:after="0" w:line="194" w:lineRule="exact"/>
              <w:rPr>
                <w:sz w:val="20"/>
                <w:szCs w:val="20"/>
                <w:color w:val="auto"/>
              </w:rPr>
            </w:pPr>
            <w:r>
              <w:rPr>
                <w:rFonts w:ascii="Times New Roman" w:cs="Times New Roman" w:eastAsia="Times New Roman" w:hAnsi="Times New Roman"/>
                <w:sz w:val="19"/>
                <w:szCs w:val="19"/>
                <w:b w:val="1"/>
                <w:bCs w:val="1"/>
                <w:color w:val="auto"/>
              </w:rPr>
              <w:t>January 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5940" w:type="dxa"/>
            <w:vAlign w:val="bottom"/>
            <w:tcBorders>
              <w:bottom w:val="single" w:sz="8" w:color="D5D5D5"/>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D5D5D5"/>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9"/>
                <w:szCs w:val="19"/>
                <w:b w:val="1"/>
                <w:bCs w:val="1"/>
                <w:color w:val="auto"/>
                <w:w w:val="99"/>
              </w:rPr>
              <w:t>2024</w:t>
            </w:r>
          </w:p>
        </w:tc>
        <w:tc>
          <w:tcPr>
            <w:tcW w:w="80" w:type="dxa"/>
            <w:vAlign w:val="bottom"/>
            <w:tcBorders>
              <w:bottom w:val="single" w:sz="8" w:color="D5D5D5"/>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9"/>
                <w:szCs w:val="19"/>
                <w:b w:val="1"/>
                <w:bCs w:val="1"/>
                <w:color w:val="auto"/>
              </w:rPr>
              <w:t>2023</w:t>
            </w:r>
          </w:p>
        </w:tc>
        <w:tc>
          <w:tcPr>
            <w:tcW w:w="20" w:type="dxa"/>
            <w:vAlign w:val="bottom"/>
            <w:tcBorders>
              <w:bottom w:val="single" w:sz="8" w:color="D5D5D5"/>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94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Net income available to common stockholders (numerator)</w:t>
            </w:r>
          </w:p>
        </w:tc>
        <w:tc>
          <w:tcPr>
            <w:tcW w:w="240" w:type="dxa"/>
            <w:vAlign w:val="bottom"/>
            <w:shd w:val="clear" w:color="auto" w:fill="D5D5D5"/>
          </w:tcPr>
          <w:p>
            <w:pPr>
              <w:jc w:val="right"/>
              <w:ind w:right="4"/>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233,413</w:t>
            </w:r>
          </w:p>
        </w:tc>
        <w:tc>
          <w:tcPr>
            <w:tcW w:w="380" w:type="dxa"/>
            <w:vAlign w:val="bottom"/>
            <w:gridSpan w:val="3"/>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218,923</w:t>
            </w:r>
          </w:p>
        </w:tc>
        <w:tc>
          <w:tcPr>
            <w:tcW w:w="30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142,213</w:t>
            </w:r>
          </w:p>
        </w:tc>
        <w:tc>
          <w:tcPr>
            <w:tcW w:w="2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940" w:type="dxa"/>
            <w:vAlign w:val="bottom"/>
            <w:tcBorders>
              <w:top w:val="single" w:sz="8" w:color="D5D5D5"/>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Borders>
              <w:top w:val="single" w:sz="8" w:color="D5D5D5"/>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80" w:type="dxa"/>
            <w:vAlign w:val="bottom"/>
            <w:tcBorders>
              <w:top w:val="single" w:sz="8" w:color="D5D5D5"/>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20" w:type="dxa"/>
            <w:vAlign w:val="bottom"/>
            <w:tcBorders>
              <w:top w:val="single" w:sz="8" w:color="D5D5D5"/>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940" w:type="dxa"/>
            <w:vAlign w:val="bottom"/>
            <w:tcBorders>
              <w:bottom w:val="single" w:sz="8" w:color="D5D5D5"/>
            </w:tcBorders>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Weighted-average number of common shares (denominator)</w:t>
            </w:r>
          </w:p>
        </w:tc>
        <w:tc>
          <w:tcPr>
            <w:tcW w:w="240" w:type="dxa"/>
            <w:vAlign w:val="bottom"/>
            <w:tcBorders>
              <w:bottom w:val="single" w:sz="8" w:color="auto"/>
            </w:tcBorders>
            <w:shd w:val="clear" w:color="auto" w:fill="D5D5D5"/>
          </w:tcPr>
          <w:p>
            <w:pPr>
              <w:spacing w:after="0"/>
              <w:rPr>
                <w:sz w:val="24"/>
                <w:szCs w:val="24"/>
                <w:color w:val="auto"/>
              </w:rPr>
            </w:pPr>
          </w:p>
        </w:tc>
        <w:tc>
          <w:tcPr>
            <w:tcW w:w="94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29,112,573</w:t>
            </w:r>
          </w:p>
        </w:tc>
        <w:tc>
          <w:tcPr>
            <w:tcW w:w="80" w:type="dxa"/>
            <w:vAlign w:val="bottom"/>
            <w:tcBorders>
              <w:bottom w:val="single" w:sz="8" w:color="auto"/>
            </w:tcBorders>
            <w:shd w:val="clear" w:color="auto" w:fill="D5D5D5"/>
          </w:tcPr>
          <w:p>
            <w:pPr>
              <w:spacing w:after="0"/>
              <w:rPr>
                <w:sz w:val="24"/>
                <w:szCs w:val="24"/>
                <w:color w:val="auto"/>
              </w:rPr>
            </w:pPr>
          </w:p>
        </w:tc>
        <w:tc>
          <w:tcPr>
            <w:tcW w:w="60" w:type="dxa"/>
            <w:vAlign w:val="bottom"/>
            <w:tcBorders>
              <w:bottom w:val="single" w:sz="8" w:color="D5D5D5"/>
            </w:tcBorders>
            <w:shd w:val="clear" w:color="auto" w:fill="D5D5D5"/>
          </w:tcPr>
          <w:p>
            <w:pPr>
              <w:spacing w:after="0"/>
              <w:rPr>
                <w:sz w:val="24"/>
                <w:szCs w:val="24"/>
                <w:color w:val="auto"/>
              </w:rPr>
            </w:pPr>
          </w:p>
        </w:tc>
        <w:tc>
          <w:tcPr>
            <w:tcW w:w="240" w:type="dxa"/>
            <w:vAlign w:val="bottom"/>
            <w:tcBorders>
              <w:bottom w:val="single" w:sz="8" w:color="auto"/>
            </w:tcBorders>
            <w:shd w:val="clear" w:color="auto" w:fill="D5D5D5"/>
          </w:tcPr>
          <w:p>
            <w:pPr>
              <w:spacing w:after="0"/>
              <w:rPr>
                <w:sz w:val="24"/>
                <w:szCs w:val="24"/>
                <w:color w:val="auto"/>
              </w:rPr>
            </w:pPr>
          </w:p>
        </w:tc>
        <w:tc>
          <w:tcPr>
            <w:tcW w:w="10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29,333,054</w:t>
            </w:r>
          </w:p>
        </w:tc>
        <w:tc>
          <w:tcPr>
            <w:tcW w:w="80" w:type="dxa"/>
            <w:vAlign w:val="bottom"/>
            <w:tcBorders>
              <w:bottom w:val="single" w:sz="8" w:color="D5D5D5"/>
            </w:tcBorders>
            <w:shd w:val="clear" w:color="auto" w:fill="D5D5D5"/>
          </w:tcPr>
          <w:p>
            <w:pPr>
              <w:spacing w:after="0"/>
              <w:rPr>
                <w:sz w:val="24"/>
                <w:szCs w:val="24"/>
                <w:color w:val="auto"/>
              </w:rPr>
            </w:pPr>
          </w:p>
        </w:tc>
        <w:tc>
          <w:tcPr>
            <w:tcW w:w="220" w:type="dxa"/>
            <w:vAlign w:val="bottom"/>
            <w:tcBorders>
              <w:bottom w:val="single" w:sz="8" w:color="auto"/>
            </w:tcBorders>
            <w:shd w:val="clear" w:color="auto" w:fill="D5D5D5"/>
          </w:tcPr>
          <w:p>
            <w:pPr>
              <w:spacing w:after="0"/>
              <w:rPr>
                <w:sz w:val="24"/>
                <w:szCs w:val="24"/>
                <w:color w:val="auto"/>
              </w:rPr>
            </w:pPr>
          </w:p>
        </w:tc>
        <w:tc>
          <w:tcPr>
            <w:tcW w:w="10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29,549,990</w:t>
            </w:r>
          </w:p>
        </w:tc>
        <w:tc>
          <w:tcPr>
            <w:tcW w:w="20" w:type="dxa"/>
            <w:vAlign w:val="bottom"/>
            <w:tcBorders>
              <w:bottom w:val="single" w:sz="8" w:color="D5D5D5"/>
            </w:tcBorders>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94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Basic earnings per common share</w:t>
            </w:r>
          </w:p>
        </w:tc>
        <w:tc>
          <w:tcPr>
            <w:tcW w:w="240" w:type="dxa"/>
            <w:vAlign w:val="bottom"/>
            <w:shd w:val="clear" w:color="auto" w:fill="D5D5D5"/>
          </w:tcPr>
          <w:p>
            <w:pPr>
              <w:jc w:val="right"/>
              <w:ind w:right="4"/>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8.02</w:t>
            </w:r>
          </w:p>
        </w:tc>
        <w:tc>
          <w:tcPr>
            <w:tcW w:w="380" w:type="dxa"/>
            <w:vAlign w:val="bottom"/>
            <w:gridSpan w:val="3"/>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7.46</w:t>
            </w:r>
          </w:p>
        </w:tc>
        <w:tc>
          <w:tcPr>
            <w:tcW w:w="30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4.81</w:t>
            </w:r>
          </w:p>
        </w:tc>
        <w:tc>
          <w:tcPr>
            <w:tcW w:w="2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940" w:type="dxa"/>
            <w:vAlign w:val="bottom"/>
            <w:tcBorders>
              <w:top w:val="single" w:sz="8" w:color="D5D5D5"/>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Borders>
              <w:top w:val="single" w:sz="8" w:color="D5D5D5"/>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80" w:type="dxa"/>
            <w:vAlign w:val="bottom"/>
            <w:tcBorders>
              <w:top w:val="single" w:sz="8" w:color="D5D5D5"/>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20" w:type="dxa"/>
            <w:vAlign w:val="bottom"/>
            <w:tcBorders>
              <w:top w:val="single" w:sz="8" w:color="D5D5D5"/>
            </w:tcBorders>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594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Weighted-average number of common shares</w:t>
            </w:r>
          </w:p>
        </w:tc>
        <w:tc>
          <w:tcPr>
            <w:tcW w:w="240" w:type="dxa"/>
            <w:vAlign w:val="bottom"/>
            <w:shd w:val="clear" w:color="auto" w:fill="D5D5D5"/>
          </w:tcPr>
          <w:p>
            <w:pPr>
              <w:spacing w:after="0"/>
              <w:rPr>
                <w:sz w:val="24"/>
                <w:szCs w:val="24"/>
                <w:color w:val="auto"/>
              </w:rPr>
            </w:pPr>
          </w:p>
        </w:tc>
        <w:tc>
          <w:tcPr>
            <w:tcW w:w="9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29,112,573</w:t>
            </w:r>
          </w:p>
        </w:tc>
        <w:tc>
          <w:tcPr>
            <w:tcW w:w="80" w:type="dxa"/>
            <w:vAlign w:val="bottom"/>
            <w:shd w:val="clear" w:color="auto" w:fill="D5D5D5"/>
          </w:tcPr>
          <w:p>
            <w:pPr>
              <w:spacing w:after="0"/>
              <w:rPr>
                <w:sz w:val="24"/>
                <w:szCs w:val="24"/>
                <w:color w:val="auto"/>
              </w:rPr>
            </w:pPr>
          </w:p>
        </w:tc>
        <w:tc>
          <w:tcPr>
            <w:tcW w:w="60" w:type="dxa"/>
            <w:vAlign w:val="bottom"/>
            <w:shd w:val="clear" w:color="auto" w:fill="D5D5D5"/>
          </w:tcPr>
          <w:p>
            <w:pPr>
              <w:spacing w:after="0"/>
              <w:rPr>
                <w:sz w:val="24"/>
                <w:szCs w:val="24"/>
                <w:color w:val="auto"/>
              </w:rPr>
            </w:pPr>
          </w:p>
        </w:tc>
        <w:tc>
          <w:tcPr>
            <w:tcW w:w="240" w:type="dxa"/>
            <w:vAlign w:val="bottom"/>
            <w:shd w:val="clear" w:color="auto" w:fill="D5D5D5"/>
          </w:tcPr>
          <w:p>
            <w:pPr>
              <w:spacing w:after="0"/>
              <w:rPr>
                <w:sz w:val="24"/>
                <w:szCs w:val="24"/>
                <w:color w:val="auto"/>
              </w:rPr>
            </w:pPr>
          </w:p>
        </w:tc>
        <w:tc>
          <w:tcPr>
            <w:tcW w:w="10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29,333,054</w:t>
            </w:r>
          </w:p>
        </w:tc>
        <w:tc>
          <w:tcPr>
            <w:tcW w:w="80" w:type="dxa"/>
            <w:vAlign w:val="bottom"/>
            <w:shd w:val="clear" w:color="auto" w:fill="D5D5D5"/>
          </w:tcPr>
          <w:p>
            <w:pPr>
              <w:spacing w:after="0"/>
              <w:rPr>
                <w:sz w:val="24"/>
                <w:szCs w:val="24"/>
                <w:color w:val="auto"/>
              </w:rPr>
            </w:pPr>
          </w:p>
        </w:tc>
        <w:tc>
          <w:tcPr>
            <w:tcW w:w="220" w:type="dxa"/>
            <w:vAlign w:val="bottom"/>
            <w:shd w:val="clear" w:color="auto" w:fill="D5D5D5"/>
          </w:tcPr>
          <w:p>
            <w:pPr>
              <w:spacing w:after="0"/>
              <w:rPr>
                <w:sz w:val="24"/>
                <w:szCs w:val="24"/>
                <w:color w:val="auto"/>
              </w:rPr>
            </w:pPr>
          </w:p>
        </w:tc>
        <w:tc>
          <w:tcPr>
            <w:tcW w:w="10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29,549,990</w:t>
            </w:r>
          </w:p>
        </w:tc>
        <w:tc>
          <w:tcPr>
            <w:tcW w:w="2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40"/>
              <w:spacing w:after="0" w:line="214" w:lineRule="exact"/>
              <w:rPr>
                <w:sz w:val="20"/>
                <w:szCs w:val="20"/>
                <w:color w:val="auto"/>
              </w:rPr>
            </w:pPr>
            <w:r>
              <w:rPr>
                <w:rFonts w:ascii="Times New Roman" w:cs="Times New Roman" w:eastAsia="Times New Roman" w:hAnsi="Times New Roman"/>
                <w:sz w:val="19"/>
                <w:szCs w:val="19"/>
                <w:color w:val="auto"/>
              </w:rPr>
              <w:t>Potential shares of common stock arising from stock options and unvested</w:t>
            </w:r>
          </w:p>
        </w:tc>
        <w:tc>
          <w:tcPr>
            <w:tcW w:w="24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369,218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365,872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446,601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940" w:type="dxa"/>
            <w:vAlign w:val="bottom"/>
            <w:tcBorders>
              <w:bottom w:val="single" w:sz="8" w:color="D5D5D5"/>
            </w:tcBorders>
          </w:tcPr>
          <w:p>
            <w:pPr>
              <w:ind w:left="40"/>
              <w:spacing w:after="0"/>
              <w:rPr>
                <w:sz w:val="20"/>
                <w:szCs w:val="20"/>
                <w:color w:val="auto"/>
              </w:rPr>
            </w:pPr>
            <w:r>
              <w:rPr>
                <w:rFonts w:ascii="Times New Roman" w:cs="Times New Roman" w:eastAsia="Times New Roman" w:hAnsi="Times New Roman"/>
                <w:sz w:val="19"/>
                <w:szCs w:val="19"/>
                <w:color w:val="auto"/>
              </w:rPr>
              <w:t>restricted share units</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D5D5D5"/>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D5D5D5"/>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D5D5D5"/>
            </w:tcBorders>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5940" w:type="dxa"/>
            <w:vAlign w:val="bottom"/>
            <w:tcBorders>
              <w:bottom w:val="single" w:sz="8" w:color="D5D5D5"/>
            </w:tcBorders>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Total shares-diluted (denominator)</w:t>
            </w:r>
          </w:p>
        </w:tc>
        <w:tc>
          <w:tcPr>
            <w:tcW w:w="240" w:type="dxa"/>
            <w:vAlign w:val="bottom"/>
            <w:tcBorders>
              <w:bottom w:val="single" w:sz="8" w:color="auto"/>
            </w:tcBorders>
            <w:shd w:val="clear" w:color="auto" w:fill="D5D5D5"/>
          </w:tcPr>
          <w:p>
            <w:pPr>
              <w:spacing w:after="0"/>
              <w:rPr>
                <w:sz w:val="24"/>
                <w:szCs w:val="24"/>
                <w:color w:val="auto"/>
              </w:rPr>
            </w:pPr>
          </w:p>
        </w:tc>
        <w:tc>
          <w:tcPr>
            <w:tcW w:w="94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29,481,791</w:t>
            </w:r>
          </w:p>
        </w:tc>
        <w:tc>
          <w:tcPr>
            <w:tcW w:w="80" w:type="dxa"/>
            <w:vAlign w:val="bottom"/>
            <w:tcBorders>
              <w:bottom w:val="single" w:sz="8" w:color="auto"/>
            </w:tcBorders>
            <w:shd w:val="clear" w:color="auto" w:fill="D5D5D5"/>
          </w:tcPr>
          <w:p>
            <w:pPr>
              <w:spacing w:after="0"/>
              <w:rPr>
                <w:sz w:val="24"/>
                <w:szCs w:val="24"/>
                <w:color w:val="auto"/>
              </w:rPr>
            </w:pPr>
          </w:p>
        </w:tc>
        <w:tc>
          <w:tcPr>
            <w:tcW w:w="60" w:type="dxa"/>
            <w:vAlign w:val="bottom"/>
            <w:tcBorders>
              <w:bottom w:val="single" w:sz="8" w:color="D5D5D5"/>
            </w:tcBorders>
            <w:shd w:val="clear" w:color="auto" w:fill="D5D5D5"/>
          </w:tcPr>
          <w:p>
            <w:pPr>
              <w:spacing w:after="0"/>
              <w:rPr>
                <w:sz w:val="24"/>
                <w:szCs w:val="24"/>
                <w:color w:val="auto"/>
              </w:rPr>
            </w:pPr>
          </w:p>
        </w:tc>
        <w:tc>
          <w:tcPr>
            <w:tcW w:w="240" w:type="dxa"/>
            <w:vAlign w:val="bottom"/>
            <w:tcBorders>
              <w:bottom w:val="single" w:sz="8" w:color="auto"/>
            </w:tcBorders>
            <w:shd w:val="clear" w:color="auto" w:fill="D5D5D5"/>
          </w:tcPr>
          <w:p>
            <w:pPr>
              <w:spacing w:after="0"/>
              <w:rPr>
                <w:sz w:val="24"/>
                <w:szCs w:val="24"/>
                <w:color w:val="auto"/>
              </w:rPr>
            </w:pPr>
          </w:p>
        </w:tc>
        <w:tc>
          <w:tcPr>
            <w:tcW w:w="10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29,698,926</w:t>
            </w:r>
          </w:p>
        </w:tc>
        <w:tc>
          <w:tcPr>
            <w:tcW w:w="80" w:type="dxa"/>
            <w:vAlign w:val="bottom"/>
            <w:tcBorders>
              <w:bottom w:val="single" w:sz="8" w:color="D5D5D5"/>
            </w:tcBorders>
            <w:shd w:val="clear" w:color="auto" w:fill="D5D5D5"/>
          </w:tcPr>
          <w:p>
            <w:pPr>
              <w:spacing w:after="0"/>
              <w:rPr>
                <w:sz w:val="24"/>
                <w:szCs w:val="24"/>
                <w:color w:val="auto"/>
              </w:rPr>
            </w:pPr>
          </w:p>
        </w:tc>
        <w:tc>
          <w:tcPr>
            <w:tcW w:w="220" w:type="dxa"/>
            <w:vAlign w:val="bottom"/>
            <w:tcBorders>
              <w:bottom w:val="single" w:sz="8" w:color="auto"/>
            </w:tcBorders>
            <w:shd w:val="clear" w:color="auto" w:fill="D5D5D5"/>
          </w:tcPr>
          <w:p>
            <w:pPr>
              <w:spacing w:after="0"/>
              <w:rPr>
                <w:sz w:val="24"/>
                <w:szCs w:val="24"/>
                <w:color w:val="auto"/>
              </w:rPr>
            </w:pPr>
          </w:p>
        </w:tc>
        <w:tc>
          <w:tcPr>
            <w:tcW w:w="10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29,996,591</w:t>
            </w:r>
          </w:p>
        </w:tc>
        <w:tc>
          <w:tcPr>
            <w:tcW w:w="20" w:type="dxa"/>
            <w:vAlign w:val="bottom"/>
            <w:tcBorders>
              <w:bottom w:val="single" w:sz="8" w:color="D5D5D5"/>
            </w:tcBorders>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94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Diluted earnings per common share</w:t>
            </w:r>
          </w:p>
        </w:tc>
        <w:tc>
          <w:tcPr>
            <w:tcW w:w="240" w:type="dxa"/>
            <w:vAlign w:val="bottom"/>
            <w:shd w:val="clear" w:color="auto" w:fill="D5D5D5"/>
          </w:tcPr>
          <w:p>
            <w:pPr>
              <w:jc w:val="right"/>
              <w:ind w:right="4"/>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7.92</w:t>
            </w:r>
          </w:p>
        </w:tc>
        <w:tc>
          <w:tcPr>
            <w:tcW w:w="380" w:type="dxa"/>
            <w:vAlign w:val="bottom"/>
            <w:gridSpan w:val="3"/>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7.37</w:t>
            </w:r>
          </w:p>
        </w:tc>
        <w:tc>
          <w:tcPr>
            <w:tcW w:w="30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4.74</w:t>
            </w:r>
          </w:p>
        </w:tc>
        <w:tc>
          <w:tcPr>
            <w:tcW w:w="2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940" w:type="dxa"/>
            <w:vAlign w:val="bottom"/>
            <w:tcBorders>
              <w:top w:val="single" w:sz="8" w:color="D5D5D5"/>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Borders>
              <w:top w:val="single" w:sz="8" w:color="D5D5D5"/>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80" w:type="dxa"/>
            <w:vAlign w:val="bottom"/>
            <w:tcBorders>
              <w:top w:val="single" w:sz="8" w:color="D5D5D5"/>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20" w:type="dxa"/>
            <w:vAlign w:val="bottom"/>
            <w:tcBorders>
              <w:top w:val="single" w:sz="8" w:color="D5D5D5"/>
            </w:tcBorders>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940" w:type="dxa"/>
            <w:vAlign w:val="bottom"/>
            <w:shd w:val="clear" w:color="auto" w:fill="D5D5D5"/>
          </w:tcPr>
          <w:p>
            <w:pPr>
              <w:ind w:left="40"/>
              <w:spacing w:after="0" w:line="214" w:lineRule="exact"/>
              <w:rPr>
                <w:sz w:val="20"/>
                <w:szCs w:val="20"/>
                <w:color w:val="auto"/>
              </w:rPr>
            </w:pPr>
            <w:r>
              <w:rPr>
                <w:rFonts w:ascii="Times New Roman" w:cs="Times New Roman" w:eastAsia="Times New Roman" w:hAnsi="Times New Roman"/>
                <w:sz w:val="19"/>
                <w:szCs w:val="19"/>
                <w:color w:val="auto"/>
              </w:rPr>
              <w:t>Anti-dilutive weighted shares excluded from the calculation of earnings per</w:t>
            </w:r>
          </w:p>
        </w:tc>
        <w:tc>
          <w:tcPr>
            <w:tcW w:w="240" w:type="dxa"/>
            <w:vAlign w:val="bottom"/>
            <w:shd w:val="clear" w:color="auto" w:fill="D5D5D5"/>
          </w:tcPr>
          <w:p>
            <w:pPr>
              <w:spacing w:after="0"/>
              <w:rPr>
                <w:sz w:val="18"/>
                <w:szCs w:val="18"/>
                <w:color w:val="auto"/>
              </w:rPr>
            </w:pPr>
          </w:p>
        </w:tc>
        <w:tc>
          <w:tcPr>
            <w:tcW w:w="940" w:type="dxa"/>
            <w:vAlign w:val="bottom"/>
            <w:vMerge w:val="restart"/>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168,099</w:t>
            </w:r>
          </w:p>
        </w:tc>
        <w:tc>
          <w:tcPr>
            <w:tcW w:w="80" w:type="dxa"/>
            <w:vAlign w:val="bottom"/>
            <w:shd w:val="clear" w:color="auto" w:fill="D5D5D5"/>
          </w:tcPr>
          <w:p>
            <w:pPr>
              <w:spacing w:after="0"/>
              <w:rPr>
                <w:sz w:val="18"/>
                <w:szCs w:val="18"/>
                <w:color w:val="auto"/>
              </w:rPr>
            </w:pPr>
          </w:p>
        </w:tc>
        <w:tc>
          <w:tcPr>
            <w:tcW w:w="60" w:type="dxa"/>
            <w:vAlign w:val="bottom"/>
            <w:shd w:val="clear" w:color="auto" w:fill="D5D5D5"/>
          </w:tcPr>
          <w:p>
            <w:pPr>
              <w:spacing w:after="0"/>
              <w:rPr>
                <w:sz w:val="18"/>
                <w:szCs w:val="18"/>
                <w:color w:val="auto"/>
              </w:rPr>
            </w:pPr>
          </w:p>
        </w:tc>
        <w:tc>
          <w:tcPr>
            <w:tcW w:w="240" w:type="dxa"/>
            <w:vAlign w:val="bottom"/>
            <w:shd w:val="clear" w:color="auto" w:fill="D5D5D5"/>
          </w:tcPr>
          <w:p>
            <w:pPr>
              <w:spacing w:after="0"/>
              <w:rPr>
                <w:sz w:val="18"/>
                <w:szCs w:val="18"/>
                <w:color w:val="auto"/>
              </w:rPr>
            </w:pPr>
          </w:p>
        </w:tc>
        <w:tc>
          <w:tcPr>
            <w:tcW w:w="1020" w:type="dxa"/>
            <w:vAlign w:val="bottom"/>
            <w:vMerge w:val="restart"/>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167,914</w:t>
            </w:r>
          </w:p>
        </w:tc>
        <w:tc>
          <w:tcPr>
            <w:tcW w:w="80" w:type="dxa"/>
            <w:vAlign w:val="bottom"/>
            <w:shd w:val="clear" w:color="auto" w:fill="D5D5D5"/>
          </w:tcPr>
          <w:p>
            <w:pPr>
              <w:spacing w:after="0"/>
              <w:rPr>
                <w:sz w:val="18"/>
                <w:szCs w:val="18"/>
                <w:color w:val="auto"/>
              </w:rPr>
            </w:pPr>
          </w:p>
        </w:tc>
        <w:tc>
          <w:tcPr>
            <w:tcW w:w="220" w:type="dxa"/>
            <w:vAlign w:val="bottom"/>
            <w:shd w:val="clear" w:color="auto" w:fill="D5D5D5"/>
          </w:tcPr>
          <w:p>
            <w:pPr>
              <w:spacing w:after="0"/>
              <w:rPr>
                <w:sz w:val="18"/>
                <w:szCs w:val="18"/>
                <w:color w:val="auto"/>
              </w:rPr>
            </w:pPr>
          </w:p>
        </w:tc>
        <w:tc>
          <w:tcPr>
            <w:tcW w:w="1020" w:type="dxa"/>
            <w:vAlign w:val="bottom"/>
            <w:vMerge w:val="restart"/>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98,530</w:t>
            </w:r>
          </w:p>
        </w:tc>
        <w:tc>
          <w:tcPr>
            <w:tcW w:w="20" w:type="dxa"/>
            <w:vAlign w:val="bottom"/>
            <w:shd w:val="clear" w:color="auto" w:fill="D5D5D5"/>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594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common share</w:t>
            </w:r>
          </w:p>
        </w:tc>
        <w:tc>
          <w:tcPr>
            <w:tcW w:w="240" w:type="dxa"/>
            <w:vAlign w:val="bottom"/>
            <w:shd w:val="clear" w:color="auto" w:fill="D5D5D5"/>
          </w:tcPr>
          <w:p>
            <w:pPr>
              <w:spacing w:after="0"/>
              <w:rPr>
                <w:sz w:val="22"/>
                <w:szCs w:val="22"/>
                <w:color w:val="auto"/>
              </w:rPr>
            </w:pPr>
          </w:p>
        </w:tc>
        <w:tc>
          <w:tcPr>
            <w:tcW w:w="940" w:type="dxa"/>
            <w:vAlign w:val="bottom"/>
            <w:vMerge w:val="continue"/>
            <w:shd w:val="clear" w:color="auto" w:fill="D5D5D5"/>
          </w:tcPr>
          <w:p>
            <w:pPr>
              <w:spacing w:after="0"/>
              <w:rPr>
                <w:sz w:val="22"/>
                <w:szCs w:val="22"/>
                <w:color w:val="auto"/>
              </w:rPr>
            </w:pPr>
          </w:p>
        </w:tc>
        <w:tc>
          <w:tcPr>
            <w:tcW w:w="80" w:type="dxa"/>
            <w:vAlign w:val="bottom"/>
            <w:shd w:val="clear" w:color="auto" w:fill="D5D5D5"/>
          </w:tcPr>
          <w:p>
            <w:pPr>
              <w:spacing w:after="0"/>
              <w:rPr>
                <w:sz w:val="22"/>
                <w:szCs w:val="22"/>
                <w:color w:val="auto"/>
              </w:rPr>
            </w:pPr>
          </w:p>
        </w:tc>
        <w:tc>
          <w:tcPr>
            <w:tcW w:w="60" w:type="dxa"/>
            <w:vAlign w:val="bottom"/>
            <w:shd w:val="clear" w:color="auto" w:fill="D5D5D5"/>
          </w:tcPr>
          <w:p>
            <w:pPr>
              <w:spacing w:after="0"/>
              <w:rPr>
                <w:sz w:val="22"/>
                <w:szCs w:val="22"/>
                <w:color w:val="auto"/>
              </w:rPr>
            </w:pPr>
          </w:p>
        </w:tc>
        <w:tc>
          <w:tcPr>
            <w:tcW w:w="240" w:type="dxa"/>
            <w:vAlign w:val="bottom"/>
            <w:shd w:val="clear" w:color="auto" w:fill="D5D5D5"/>
          </w:tcPr>
          <w:p>
            <w:pPr>
              <w:spacing w:after="0"/>
              <w:rPr>
                <w:sz w:val="22"/>
                <w:szCs w:val="22"/>
                <w:color w:val="auto"/>
              </w:rPr>
            </w:pPr>
          </w:p>
        </w:tc>
        <w:tc>
          <w:tcPr>
            <w:tcW w:w="1020" w:type="dxa"/>
            <w:vAlign w:val="bottom"/>
            <w:vMerge w:val="continue"/>
            <w:shd w:val="clear" w:color="auto" w:fill="D5D5D5"/>
          </w:tcPr>
          <w:p>
            <w:pPr>
              <w:spacing w:after="0"/>
              <w:rPr>
                <w:sz w:val="22"/>
                <w:szCs w:val="22"/>
                <w:color w:val="auto"/>
              </w:rPr>
            </w:pPr>
          </w:p>
        </w:tc>
        <w:tc>
          <w:tcPr>
            <w:tcW w:w="80" w:type="dxa"/>
            <w:vAlign w:val="bottom"/>
            <w:shd w:val="clear" w:color="auto" w:fill="D5D5D5"/>
          </w:tcPr>
          <w:p>
            <w:pPr>
              <w:spacing w:after="0"/>
              <w:rPr>
                <w:sz w:val="22"/>
                <w:szCs w:val="22"/>
                <w:color w:val="auto"/>
              </w:rPr>
            </w:pPr>
          </w:p>
        </w:tc>
        <w:tc>
          <w:tcPr>
            <w:tcW w:w="220" w:type="dxa"/>
            <w:vAlign w:val="bottom"/>
            <w:shd w:val="clear" w:color="auto" w:fill="D5D5D5"/>
          </w:tcPr>
          <w:p>
            <w:pPr>
              <w:spacing w:after="0"/>
              <w:rPr>
                <w:sz w:val="22"/>
                <w:szCs w:val="22"/>
                <w:color w:val="auto"/>
              </w:rPr>
            </w:pPr>
          </w:p>
        </w:tc>
        <w:tc>
          <w:tcPr>
            <w:tcW w:w="1020" w:type="dxa"/>
            <w:vAlign w:val="bottom"/>
            <w:vMerge w:val="continue"/>
            <w:shd w:val="clear" w:color="auto" w:fill="D5D5D5"/>
          </w:tcPr>
          <w:p>
            <w:pPr>
              <w:spacing w:after="0"/>
              <w:rPr>
                <w:sz w:val="22"/>
                <w:szCs w:val="22"/>
                <w:color w:val="auto"/>
              </w:rPr>
            </w:pPr>
          </w:p>
        </w:tc>
        <w:tc>
          <w:tcPr>
            <w:tcW w:w="20" w:type="dxa"/>
            <w:vAlign w:val="bottom"/>
            <w:shd w:val="clear" w:color="auto" w:fill="D5D5D5"/>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5. Acquisitions</w:t>
      </w:r>
    </w:p>
    <w:p>
      <w:pPr>
        <w:spacing w:after="0" w:line="247" w:lineRule="exact"/>
        <w:rPr>
          <w:sz w:val="20"/>
          <w:szCs w:val="20"/>
          <w:color w:val="auto"/>
        </w:rPr>
      </w:pPr>
    </w:p>
    <w:p>
      <w:pPr>
        <w:ind w:right="420" w:firstLine="345"/>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 xml:space="preserve">Fiscal 2025. </w:t>
      </w:r>
      <w:r>
        <w:rPr>
          <w:rFonts w:ascii="Times New Roman" w:cs="Times New Roman" w:eastAsia="Times New Roman" w:hAnsi="Times New Roman"/>
          <w:sz w:val="19"/>
          <w:szCs w:val="19"/>
          <w:color w:val="auto"/>
        </w:rPr>
        <w:t>During the third quarter of fiscal 2025, we acquired certain assets and assumed certain liabilities of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telecommunications construction contractor for a cash purchase price of $150.7 million. The acquired business provides wireless construction services for telecommunications providers in various states. This acquisition expands our geographic presence within our existing customer base.</w:t>
      </w:r>
    </w:p>
    <w:p>
      <w:pPr>
        <w:spacing w:after="0" w:line="186" w:lineRule="exact"/>
        <w:rPr>
          <w:sz w:val="20"/>
          <w:szCs w:val="20"/>
          <w:color w:val="auto"/>
        </w:rPr>
      </w:pPr>
    </w:p>
    <w:p>
      <w:pPr>
        <w:ind w:right="40" w:firstLine="345"/>
        <w:spacing w:after="0" w:line="265" w:lineRule="auto"/>
        <w:rPr>
          <w:sz w:val="20"/>
          <w:szCs w:val="20"/>
          <w:color w:val="auto"/>
        </w:rPr>
      </w:pPr>
      <w:r>
        <w:rPr>
          <w:rFonts w:ascii="Times New Roman" w:cs="Times New Roman" w:eastAsia="Times New Roman" w:hAnsi="Times New Roman"/>
          <w:sz w:val="19"/>
          <w:szCs w:val="19"/>
          <w:color w:val="auto"/>
        </w:rPr>
        <w:t>During the second quarter of fiscal 2025, we acquired a telecommunications construction contractor for a total purchase price of $24.5 million ($20.4 million purchase price plus cash acquired of $4.1 million). The acquired company is located in the northwestern United States and provides construction and maintenance services to telecommunications providers, with the majority of its revenues generated in Alaska. This acquisition expands our geographic presence and our customer base.</w:t>
      </w:r>
    </w:p>
    <w:p>
      <w:pPr>
        <w:spacing w:after="0" w:line="187" w:lineRule="exact"/>
        <w:rPr>
          <w:sz w:val="20"/>
          <w:szCs w:val="20"/>
          <w:color w:val="auto"/>
        </w:rPr>
      </w:pPr>
    </w:p>
    <w:p>
      <w:pPr>
        <w:ind w:right="700" w:firstLine="345"/>
        <w:spacing w:after="0" w:line="265" w:lineRule="auto"/>
        <w:rPr>
          <w:sz w:val="20"/>
          <w:szCs w:val="20"/>
          <w:color w:val="auto"/>
        </w:rPr>
      </w:pPr>
      <w:r>
        <w:rPr>
          <w:rFonts w:ascii="Times New Roman" w:cs="Times New Roman" w:eastAsia="Times New Roman" w:hAnsi="Times New Roman"/>
          <w:sz w:val="19"/>
          <w:szCs w:val="19"/>
          <w:color w:val="auto"/>
        </w:rPr>
        <w:t>During the first quarter of fiscal 2025, we acquired a telecommunications construction contractor for $16.0 million ($12.8 million purchase price, plus cash acquired of $3.2 million). The acquired company provides construction and maintenance services for telecommunications providers in the midwestern United States. This acquisition expands our geographic presence within our existing customer base.</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Fiscal 2024. </w:t>
      </w:r>
      <w:r>
        <w:rPr>
          <w:rFonts w:ascii="Times New Roman" w:cs="Times New Roman" w:eastAsia="Times New Roman" w:hAnsi="Times New Roman"/>
          <w:sz w:val="19"/>
          <w:szCs w:val="19"/>
          <w:color w:val="auto"/>
        </w:rPr>
        <w:t>During August 2023, we acquired Bigham Cable Construction, Inc. (“Bigham”), for $131.2 million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($127.0 million fixed purchase price, plus cash acquired of $8.3 million, less indebtedness of $4.1 million). Bigham provides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construction and maintenance services for telecommunications providers in the southeastern United States. This acquisition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expands our geographic presence within our existing customer base.</w:t>
      </w:r>
    </w:p>
    <w:p>
      <w:pPr>
        <w:spacing w:after="0" w:line="239" w:lineRule="exact"/>
        <w:rPr>
          <w:sz w:val="20"/>
          <w:szCs w:val="20"/>
          <w:color w:val="auto"/>
        </w:rPr>
      </w:pPr>
    </w:p>
    <w:p>
      <w:pPr>
        <w:ind w:right="720" w:firstLine="345"/>
        <w:spacing w:after="0" w:line="292" w:lineRule="auto"/>
        <w:rPr>
          <w:sz w:val="20"/>
          <w:szCs w:val="20"/>
          <w:color w:val="auto"/>
        </w:rPr>
      </w:pPr>
      <w:r>
        <w:rPr>
          <w:rFonts w:ascii="Times New Roman" w:cs="Times New Roman" w:eastAsia="Times New Roman" w:hAnsi="Times New Roman"/>
          <w:sz w:val="19"/>
          <w:szCs w:val="19"/>
          <w:b w:val="1"/>
          <w:bCs w:val="1"/>
          <w:i w:val="1"/>
          <w:iCs w:val="1"/>
          <w:color w:val="auto"/>
        </w:rPr>
        <w:t xml:space="preserve">Fiscal 2023. </w:t>
      </w:r>
      <w:r>
        <w:rPr>
          <w:rFonts w:ascii="Times New Roman" w:cs="Times New Roman" w:eastAsia="Times New Roman" w:hAnsi="Times New Roman"/>
          <w:sz w:val="19"/>
          <w:szCs w:val="19"/>
          <w:color w:val="auto"/>
        </w:rPr>
        <w:t>During the fourth quarter of fiscal 2023, we acquired the assets of a telecommunications construction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company for $0.4 million.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Purchase Price Allocations</w:t>
      </w:r>
    </w:p>
    <w:p>
      <w:pPr>
        <w:spacing w:after="0" w:line="245" w:lineRule="exact"/>
        <w:rPr>
          <w:sz w:val="20"/>
          <w:szCs w:val="20"/>
          <w:color w:val="auto"/>
        </w:rPr>
      </w:pPr>
    </w:p>
    <w:p>
      <w:pPr>
        <w:ind w:right="140" w:firstLine="345"/>
        <w:spacing w:after="0" w:line="271" w:lineRule="auto"/>
        <w:rPr>
          <w:sz w:val="20"/>
          <w:szCs w:val="20"/>
          <w:color w:val="auto"/>
        </w:rPr>
      </w:pPr>
      <w:r>
        <w:rPr>
          <w:rFonts w:ascii="Times New Roman" w:cs="Times New Roman" w:eastAsia="Times New Roman" w:hAnsi="Times New Roman"/>
          <w:sz w:val="19"/>
          <w:szCs w:val="19"/>
          <w:color w:val="auto"/>
        </w:rPr>
        <w:t>The purchase price allocations of the three companies acquired in fiscal 2025 are preliminary and will be completed when valuations for intangible assets and other amounts are finalized within the 12-month measurement period from the respective dates of acquisition.</w:t>
      </w:r>
    </w:p>
    <w:p>
      <w:pPr>
        <w:sectPr>
          <w:pgSz w:w="11880" w:h="15480" w:orient="portrait"/>
          <w:cols w:equalWidth="0" w:num="1">
            <w:col w:w="9840"/>
          </w:cols>
          <w:pgMar w:left="1000" w:top="889" w:right="1040" w:bottom="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254000</wp:posOffset>
            </wp:positionV>
            <wp:extent cx="76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9">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254000</wp:posOffset>
            </wp:positionV>
            <wp:extent cx="76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0">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40"/>
          </w:cols>
          <w:pgMar w:left="1000" w:top="889" w:right="1040" w:bottom="0" w:gutter="0" w:footer="0" w:header="0"/>
          <w:type w:val="continuous"/>
        </w:sectPr>
      </w:pPr>
    </w:p>
    <w:bookmarkStart w:id="61" w:name="page62"/>
    <w:bookmarkEnd w:id="61"/>
    <w:p>
      <w:pPr>
        <w:jc w:val="both"/>
        <w:ind w:right="520" w:firstLine="345"/>
        <w:spacing w:after="0" w:line="289"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t>The following table summarizes the aggregate consideration paid and the estimated fair value of assets acquired and liabilities assumed for each of the acquisitions described above as of the respective acquisition dates (dollars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60" w:type="dxa"/>
            <w:vAlign w:val="bottom"/>
          </w:tcPr>
          <w:p>
            <w:pPr>
              <w:spacing w:after="0"/>
              <w:rPr>
                <w:sz w:val="18"/>
                <w:szCs w:val="18"/>
                <w:color w:val="auto"/>
              </w:rPr>
            </w:pPr>
          </w:p>
        </w:tc>
        <w:tc>
          <w:tcPr>
            <w:tcW w:w="162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Third quarter of</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84"/>
              <w:spacing w:after="0"/>
              <w:rPr>
                <w:sz w:val="20"/>
                <w:szCs w:val="20"/>
                <w:color w:val="auto"/>
              </w:rPr>
            </w:pPr>
            <w:r>
              <w:rPr>
                <w:rFonts w:ascii="Times New Roman" w:cs="Times New Roman" w:eastAsia="Times New Roman" w:hAnsi="Times New Roman"/>
                <w:sz w:val="19"/>
                <w:szCs w:val="19"/>
                <w:b w:val="1"/>
                <w:bCs w:val="1"/>
                <w:color w:val="auto"/>
              </w:rPr>
              <w:t>First quarter of</w:t>
            </w:r>
          </w:p>
        </w:tc>
        <w:tc>
          <w:tcPr>
            <w:tcW w:w="6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Second quarter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Third quarter of</w:t>
            </w:r>
          </w:p>
        </w:tc>
      </w:tr>
      <w:tr>
        <w:trPr>
          <w:trHeight w:val="252"/>
        </w:trPr>
        <w:tc>
          <w:tcPr>
            <w:tcW w:w="3160" w:type="dxa"/>
            <w:vAlign w:val="bottom"/>
            <w:tcBorders>
              <w:bottom w:val="single" w:sz="8" w:color="D5D5D5"/>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9"/>
                <w:szCs w:val="19"/>
                <w:b w:val="1"/>
                <w:bCs w:val="1"/>
                <w:color w:val="auto"/>
              </w:rPr>
              <w:t>fiscal 2024</w:t>
            </w:r>
          </w:p>
        </w:tc>
        <w:tc>
          <w:tcPr>
            <w:tcW w:w="60" w:type="dxa"/>
            <w:vAlign w:val="bottom"/>
            <w:tcBorders>
              <w:bottom w:val="single" w:sz="8" w:color="D5D5D5"/>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9"/>
                <w:szCs w:val="19"/>
                <w:b w:val="1"/>
                <w:bCs w:val="1"/>
                <w:color w:val="auto"/>
              </w:rPr>
              <w:t>fiscal 2025</w:t>
            </w:r>
          </w:p>
        </w:tc>
        <w:tc>
          <w:tcPr>
            <w:tcW w:w="60" w:type="dxa"/>
            <w:vAlign w:val="bottom"/>
            <w:tcBorders>
              <w:bottom w:val="single" w:sz="8" w:color="D5D5D5"/>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9"/>
                <w:szCs w:val="19"/>
                <w:b w:val="1"/>
                <w:bCs w:val="1"/>
                <w:color w:val="auto"/>
              </w:rPr>
              <w:t>fiscal 2025</w:t>
            </w:r>
          </w:p>
        </w:tc>
        <w:tc>
          <w:tcPr>
            <w:tcW w:w="60" w:type="dxa"/>
            <w:vAlign w:val="bottom"/>
            <w:tcBorders>
              <w:bottom w:val="single" w:sz="8" w:color="D5D5D5"/>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9"/>
                <w:szCs w:val="19"/>
                <w:b w:val="1"/>
                <w:bCs w:val="1"/>
                <w:color w:val="auto"/>
              </w:rPr>
              <w:t>fiscal 2025</w:t>
            </w:r>
          </w:p>
        </w:tc>
      </w:tr>
      <w:tr>
        <w:trPr>
          <w:trHeight w:val="263"/>
        </w:trPr>
        <w:tc>
          <w:tcPr>
            <w:tcW w:w="316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260" w:type="dxa"/>
            <w:vAlign w:val="bottom"/>
            <w:shd w:val="clear" w:color="auto" w:fill="D5D5D5"/>
          </w:tcPr>
          <w:p>
            <w:pPr>
              <w:spacing w:after="0"/>
              <w:rPr>
                <w:sz w:val="22"/>
                <w:szCs w:val="22"/>
                <w:color w:val="auto"/>
              </w:rPr>
            </w:pPr>
          </w:p>
        </w:tc>
        <w:tc>
          <w:tcPr>
            <w:tcW w:w="1360" w:type="dxa"/>
            <w:vAlign w:val="bottom"/>
            <w:shd w:val="clear" w:color="auto" w:fill="D5D5D5"/>
          </w:tcPr>
          <w:p>
            <w:pPr>
              <w:spacing w:after="0"/>
              <w:rPr>
                <w:sz w:val="22"/>
                <w:szCs w:val="22"/>
                <w:color w:val="auto"/>
              </w:rPr>
            </w:pPr>
          </w:p>
        </w:tc>
        <w:tc>
          <w:tcPr>
            <w:tcW w:w="60" w:type="dxa"/>
            <w:vAlign w:val="bottom"/>
            <w:shd w:val="clear" w:color="auto" w:fill="D5D5D5"/>
          </w:tcPr>
          <w:p>
            <w:pPr>
              <w:spacing w:after="0"/>
              <w:rPr>
                <w:sz w:val="22"/>
                <w:szCs w:val="22"/>
                <w:color w:val="auto"/>
              </w:rPr>
            </w:pPr>
          </w:p>
        </w:tc>
        <w:tc>
          <w:tcPr>
            <w:tcW w:w="160" w:type="dxa"/>
            <w:vAlign w:val="bottom"/>
            <w:shd w:val="clear" w:color="auto" w:fill="D5D5D5"/>
          </w:tcPr>
          <w:p>
            <w:pPr>
              <w:spacing w:after="0"/>
              <w:rPr>
                <w:sz w:val="22"/>
                <w:szCs w:val="22"/>
                <w:color w:val="auto"/>
              </w:rPr>
            </w:pPr>
          </w:p>
        </w:tc>
        <w:tc>
          <w:tcPr>
            <w:tcW w:w="1480" w:type="dxa"/>
            <w:vAlign w:val="bottom"/>
            <w:shd w:val="clear" w:color="auto" w:fill="D5D5D5"/>
          </w:tcPr>
          <w:p>
            <w:pPr>
              <w:spacing w:after="0"/>
              <w:rPr>
                <w:sz w:val="22"/>
                <w:szCs w:val="22"/>
                <w:color w:val="auto"/>
              </w:rPr>
            </w:pPr>
          </w:p>
        </w:tc>
        <w:tc>
          <w:tcPr>
            <w:tcW w:w="60" w:type="dxa"/>
            <w:vAlign w:val="bottom"/>
            <w:shd w:val="clear" w:color="auto" w:fill="D5D5D5"/>
          </w:tcPr>
          <w:p>
            <w:pPr>
              <w:spacing w:after="0"/>
              <w:rPr>
                <w:sz w:val="22"/>
                <w:szCs w:val="22"/>
                <w:color w:val="auto"/>
              </w:rPr>
            </w:pPr>
          </w:p>
        </w:tc>
        <w:tc>
          <w:tcPr>
            <w:tcW w:w="260" w:type="dxa"/>
            <w:vAlign w:val="bottom"/>
            <w:shd w:val="clear" w:color="auto" w:fill="D5D5D5"/>
          </w:tcPr>
          <w:p>
            <w:pPr>
              <w:spacing w:after="0"/>
              <w:rPr>
                <w:sz w:val="22"/>
                <w:szCs w:val="22"/>
                <w:color w:val="auto"/>
              </w:rPr>
            </w:pPr>
          </w:p>
        </w:tc>
        <w:tc>
          <w:tcPr>
            <w:tcW w:w="1360" w:type="dxa"/>
            <w:vAlign w:val="bottom"/>
            <w:shd w:val="clear" w:color="auto" w:fill="D5D5D5"/>
          </w:tcPr>
          <w:p>
            <w:pPr>
              <w:spacing w:after="0"/>
              <w:rPr>
                <w:sz w:val="22"/>
                <w:szCs w:val="22"/>
                <w:color w:val="auto"/>
              </w:rPr>
            </w:pPr>
          </w:p>
        </w:tc>
        <w:tc>
          <w:tcPr>
            <w:tcW w:w="60" w:type="dxa"/>
            <w:vAlign w:val="bottom"/>
            <w:shd w:val="clear" w:color="auto" w:fill="D5D5D5"/>
          </w:tcPr>
          <w:p>
            <w:pPr>
              <w:spacing w:after="0"/>
              <w:rPr>
                <w:sz w:val="22"/>
                <w:szCs w:val="22"/>
                <w:color w:val="auto"/>
              </w:rPr>
            </w:pPr>
          </w:p>
        </w:tc>
        <w:tc>
          <w:tcPr>
            <w:tcW w:w="140" w:type="dxa"/>
            <w:vAlign w:val="bottom"/>
            <w:shd w:val="clear" w:color="auto" w:fill="D5D5D5"/>
          </w:tcPr>
          <w:p>
            <w:pPr>
              <w:spacing w:after="0"/>
              <w:rPr>
                <w:sz w:val="22"/>
                <w:szCs w:val="22"/>
                <w:color w:val="auto"/>
              </w:rPr>
            </w:pPr>
          </w:p>
        </w:tc>
        <w:tc>
          <w:tcPr>
            <w:tcW w:w="1480" w:type="dxa"/>
            <w:vAlign w:val="bottom"/>
            <w:shd w:val="clear" w:color="auto" w:fill="D5D5D5"/>
          </w:tcPr>
          <w:p>
            <w:pPr>
              <w:spacing w:after="0"/>
              <w:rPr>
                <w:sz w:val="22"/>
                <w:szCs w:val="22"/>
                <w:color w:val="auto"/>
              </w:rPr>
            </w:pPr>
          </w:p>
        </w:tc>
      </w:tr>
      <w:tr>
        <w:trPr>
          <w:trHeight w:val="282"/>
        </w:trPr>
        <w:tc>
          <w:tcPr>
            <w:tcW w:w="316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Cash and equivalents</w:t>
            </w:r>
          </w:p>
        </w:tc>
        <w:tc>
          <w:tcPr>
            <w:tcW w:w="2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w:t>
            </w:r>
          </w:p>
        </w:tc>
        <w:tc>
          <w:tcPr>
            <w:tcW w:w="32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4"/>
        </w:trPr>
        <w:tc>
          <w:tcPr>
            <w:tcW w:w="3160" w:type="dxa"/>
            <w:vAlign w:val="bottom"/>
            <w:shd w:val="clear" w:color="auto" w:fill="D5D5D5"/>
          </w:tcPr>
          <w:p>
            <w:pPr>
              <w:ind w:left="160"/>
              <w:spacing w:after="0"/>
              <w:rPr>
                <w:sz w:val="20"/>
                <w:szCs w:val="20"/>
                <w:color w:val="auto"/>
              </w:rPr>
            </w:pPr>
            <w:r>
              <w:rPr>
                <w:rFonts w:ascii="Times New Roman" w:cs="Times New Roman" w:eastAsia="Times New Roman" w:hAnsi="Times New Roman"/>
                <w:sz w:val="19"/>
                <w:szCs w:val="19"/>
                <w:color w:val="auto"/>
              </w:rPr>
              <w:t>Accounts receivable</w:t>
            </w:r>
          </w:p>
        </w:tc>
        <w:tc>
          <w:tcPr>
            <w:tcW w:w="260" w:type="dxa"/>
            <w:vAlign w:val="bottom"/>
            <w:shd w:val="clear" w:color="auto" w:fill="D5D5D5"/>
          </w:tcPr>
          <w:p>
            <w:pPr>
              <w:spacing w:after="0"/>
              <w:rPr>
                <w:sz w:val="24"/>
                <w:szCs w:val="24"/>
                <w:color w:val="auto"/>
              </w:rPr>
            </w:pPr>
          </w:p>
        </w:tc>
        <w:tc>
          <w:tcPr>
            <w:tcW w:w="13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45.8</w:t>
            </w:r>
          </w:p>
        </w:tc>
        <w:tc>
          <w:tcPr>
            <w:tcW w:w="60" w:type="dxa"/>
            <w:vAlign w:val="bottom"/>
            <w:shd w:val="clear" w:color="auto" w:fill="D5D5D5"/>
          </w:tcPr>
          <w:p>
            <w:pPr>
              <w:spacing w:after="0"/>
              <w:rPr>
                <w:sz w:val="24"/>
                <w:szCs w:val="24"/>
                <w:color w:val="auto"/>
              </w:rPr>
            </w:pPr>
          </w:p>
        </w:tc>
        <w:tc>
          <w:tcPr>
            <w:tcW w:w="160" w:type="dxa"/>
            <w:vAlign w:val="bottom"/>
            <w:shd w:val="clear" w:color="auto" w:fill="D5D5D5"/>
          </w:tcPr>
          <w:p>
            <w:pPr>
              <w:spacing w:after="0"/>
              <w:rPr>
                <w:sz w:val="24"/>
                <w:szCs w:val="24"/>
                <w:color w:val="auto"/>
              </w:rPr>
            </w:pPr>
          </w:p>
        </w:tc>
        <w:tc>
          <w:tcPr>
            <w:tcW w:w="14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2.2</w:t>
            </w:r>
          </w:p>
        </w:tc>
        <w:tc>
          <w:tcPr>
            <w:tcW w:w="60" w:type="dxa"/>
            <w:vAlign w:val="bottom"/>
            <w:shd w:val="clear" w:color="auto" w:fill="D5D5D5"/>
          </w:tcPr>
          <w:p>
            <w:pPr>
              <w:spacing w:after="0"/>
              <w:rPr>
                <w:sz w:val="24"/>
                <w:szCs w:val="24"/>
                <w:color w:val="auto"/>
              </w:rPr>
            </w:pPr>
          </w:p>
        </w:tc>
        <w:tc>
          <w:tcPr>
            <w:tcW w:w="260" w:type="dxa"/>
            <w:vAlign w:val="bottom"/>
            <w:shd w:val="clear" w:color="auto" w:fill="D5D5D5"/>
          </w:tcPr>
          <w:p>
            <w:pPr>
              <w:spacing w:after="0"/>
              <w:rPr>
                <w:sz w:val="24"/>
                <w:szCs w:val="24"/>
                <w:color w:val="auto"/>
              </w:rPr>
            </w:pPr>
          </w:p>
        </w:tc>
        <w:tc>
          <w:tcPr>
            <w:tcW w:w="13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3.6</w:t>
            </w:r>
          </w:p>
        </w:tc>
        <w:tc>
          <w:tcPr>
            <w:tcW w:w="60" w:type="dxa"/>
            <w:vAlign w:val="bottom"/>
            <w:shd w:val="clear" w:color="auto" w:fill="D5D5D5"/>
          </w:tcPr>
          <w:p>
            <w:pPr>
              <w:spacing w:after="0"/>
              <w:rPr>
                <w:sz w:val="24"/>
                <w:szCs w:val="24"/>
                <w:color w:val="auto"/>
              </w:rPr>
            </w:pPr>
          </w:p>
        </w:tc>
        <w:tc>
          <w:tcPr>
            <w:tcW w:w="140" w:type="dxa"/>
            <w:vAlign w:val="bottom"/>
            <w:shd w:val="clear" w:color="auto" w:fill="D5D5D5"/>
          </w:tcPr>
          <w:p>
            <w:pPr>
              <w:spacing w:after="0"/>
              <w:rPr>
                <w:sz w:val="24"/>
                <w:szCs w:val="24"/>
                <w:color w:val="auto"/>
              </w:rPr>
            </w:pPr>
          </w:p>
        </w:tc>
        <w:tc>
          <w:tcPr>
            <w:tcW w:w="14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13.5</w:t>
            </w:r>
          </w:p>
        </w:tc>
      </w:tr>
      <w:tr>
        <w:trPr>
          <w:trHeight w:val="282"/>
        </w:trPr>
        <w:tc>
          <w:tcPr>
            <w:tcW w:w="31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Inventories</w:t>
            </w: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14.8</w:t>
            </w:r>
          </w:p>
        </w:tc>
      </w:tr>
      <w:tr>
        <w:trPr>
          <w:trHeight w:val="294"/>
        </w:trPr>
        <w:tc>
          <w:tcPr>
            <w:tcW w:w="316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Other current assets</w:t>
            </w:r>
          </w:p>
        </w:tc>
        <w:tc>
          <w:tcPr>
            <w:tcW w:w="260" w:type="dxa"/>
            <w:vAlign w:val="bottom"/>
            <w:shd w:val="clear" w:color="auto" w:fill="D5D5D5"/>
          </w:tcPr>
          <w:p>
            <w:pPr>
              <w:spacing w:after="0"/>
              <w:rPr>
                <w:sz w:val="24"/>
                <w:szCs w:val="24"/>
                <w:color w:val="auto"/>
              </w:rPr>
            </w:pPr>
          </w:p>
        </w:tc>
        <w:tc>
          <w:tcPr>
            <w:tcW w:w="13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0.3</w:t>
            </w:r>
          </w:p>
        </w:tc>
        <w:tc>
          <w:tcPr>
            <w:tcW w:w="60" w:type="dxa"/>
            <w:vAlign w:val="bottom"/>
            <w:shd w:val="clear" w:color="auto" w:fill="D5D5D5"/>
          </w:tcPr>
          <w:p>
            <w:pPr>
              <w:spacing w:after="0"/>
              <w:rPr>
                <w:sz w:val="24"/>
                <w:szCs w:val="24"/>
                <w:color w:val="auto"/>
              </w:rPr>
            </w:pPr>
          </w:p>
        </w:tc>
        <w:tc>
          <w:tcPr>
            <w:tcW w:w="160" w:type="dxa"/>
            <w:vAlign w:val="bottom"/>
            <w:shd w:val="clear" w:color="auto" w:fill="D5D5D5"/>
          </w:tcPr>
          <w:p>
            <w:pPr>
              <w:spacing w:after="0"/>
              <w:rPr>
                <w:sz w:val="24"/>
                <w:szCs w:val="24"/>
                <w:color w:val="auto"/>
              </w:rPr>
            </w:pPr>
          </w:p>
        </w:tc>
        <w:tc>
          <w:tcPr>
            <w:tcW w:w="14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D5D5D5"/>
          </w:tcPr>
          <w:p>
            <w:pPr>
              <w:spacing w:after="0"/>
              <w:rPr>
                <w:sz w:val="24"/>
                <w:szCs w:val="24"/>
                <w:color w:val="auto"/>
              </w:rPr>
            </w:pPr>
          </w:p>
        </w:tc>
        <w:tc>
          <w:tcPr>
            <w:tcW w:w="260" w:type="dxa"/>
            <w:vAlign w:val="bottom"/>
            <w:shd w:val="clear" w:color="auto" w:fill="D5D5D5"/>
          </w:tcPr>
          <w:p>
            <w:pPr>
              <w:spacing w:after="0"/>
              <w:rPr>
                <w:sz w:val="24"/>
                <w:szCs w:val="24"/>
                <w:color w:val="auto"/>
              </w:rPr>
            </w:pPr>
          </w:p>
        </w:tc>
        <w:tc>
          <w:tcPr>
            <w:tcW w:w="13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0.2</w:t>
            </w:r>
          </w:p>
        </w:tc>
        <w:tc>
          <w:tcPr>
            <w:tcW w:w="60" w:type="dxa"/>
            <w:vAlign w:val="bottom"/>
            <w:shd w:val="clear" w:color="auto" w:fill="D5D5D5"/>
          </w:tcPr>
          <w:p>
            <w:pPr>
              <w:spacing w:after="0"/>
              <w:rPr>
                <w:sz w:val="24"/>
                <w:szCs w:val="24"/>
                <w:color w:val="auto"/>
              </w:rPr>
            </w:pPr>
          </w:p>
        </w:tc>
        <w:tc>
          <w:tcPr>
            <w:tcW w:w="140" w:type="dxa"/>
            <w:vAlign w:val="bottom"/>
            <w:shd w:val="clear" w:color="auto" w:fill="D5D5D5"/>
          </w:tcPr>
          <w:p>
            <w:pPr>
              <w:spacing w:after="0"/>
              <w:rPr>
                <w:sz w:val="24"/>
                <w:szCs w:val="24"/>
                <w:color w:val="auto"/>
              </w:rPr>
            </w:pPr>
          </w:p>
        </w:tc>
        <w:tc>
          <w:tcPr>
            <w:tcW w:w="14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82"/>
        </w:trPr>
        <w:tc>
          <w:tcPr>
            <w:tcW w:w="31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Property and equipment</w:t>
            </w: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4"/>
        </w:trPr>
        <w:tc>
          <w:tcPr>
            <w:tcW w:w="316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Goodwill</w:t>
            </w:r>
          </w:p>
        </w:tc>
        <w:tc>
          <w:tcPr>
            <w:tcW w:w="260" w:type="dxa"/>
            <w:vAlign w:val="bottom"/>
            <w:shd w:val="clear" w:color="auto" w:fill="D5D5D5"/>
          </w:tcPr>
          <w:p>
            <w:pPr>
              <w:spacing w:after="0"/>
              <w:rPr>
                <w:sz w:val="24"/>
                <w:szCs w:val="24"/>
                <w:color w:val="auto"/>
              </w:rPr>
            </w:pPr>
          </w:p>
        </w:tc>
        <w:tc>
          <w:tcPr>
            <w:tcW w:w="13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39.2</w:t>
            </w:r>
          </w:p>
        </w:tc>
        <w:tc>
          <w:tcPr>
            <w:tcW w:w="60" w:type="dxa"/>
            <w:vAlign w:val="bottom"/>
            <w:shd w:val="clear" w:color="auto" w:fill="D5D5D5"/>
          </w:tcPr>
          <w:p>
            <w:pPr>
              <w:spacing w:after="0"/>
              <w:rPr>
                <w:sz w:val="24"/>
                <w:szCs w:val="24"/>
                <w:color w:val="auto"/>
              </w:rPr>
            </w:pPr>
          </w:p>
        </w:tc>
        <w:tc>
          <w:tcPr>
            <w:tcW w:w="160" w:type="dxa"/>
            <w:vAlign w:val="bottom"/>
            <w:shd w:val="clear" w:color="auto" w:fill="D5D5D5"/>
          </w:tcPr>
          <w:p>
            <w:pPr>
              <w:spacing w:after="0"/>
              <w:rPr>
                <w:sz w:val="24"/>
                <w:szCs w:val="24"/>
                <w:color w:val="auto"/>
              </w:rPr>
            </w:pPr>
          </w:p>
        </w:tc>
        <w:tc>
          <w:tcPr>
            <w:tcW w:w="14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3.2</w:t>
            </w:r>
          </w:p>
        </w:tc>
        <w:tc>
          <w:tcPr>
            <w:tcW w:w="60" w:type="dxa"/>
            <w:vAlign w:val="bottom"/>
            <w:shd w:val="clear" w:color="auto" w:fill="D5D5D5"/>
          </w:tcPr>
          <w:p>
            <w:pPr>
              <w:spacing w:after="0"/>
              <w:rPr>
                <w:sz w:val="24"/>
                <w:szCs w:val="24"/>
                <w:color w:val="auto"/>
              </w:rPr>
            </w:pPr>
          </w:p>
        </w:tc>
        <w:tc>
          <w:tcPr>
            <w:tcW w:w="260" w:type="dxa"/>
            <w:vAlign w:val="bottom"/>
            <w:shd w:val="clear" w:color="auto" w:fill="D5D5D5"/>
          </w:tcPr>
          <w:p>
            <w:pPr>
              <w:spacing w:after="0"/>
              <w:rPr>
                <w:sz w:val="24"/>
                <w:szCs w:val="24"/>
                <w:color w:val="auto"/>
              </w:rPr>
            </w:pPr>
          </w:p>
        </w:tc>
        <w:tc>
          <w:tcPr>
            <w:tcW w:w="13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5.4</w:t>
            </w:r>
          </w:p>
        </w:tc>
        <w:tc>
          <w:tcPr>
            <w:tcW w:w="60" w:type="dxa"/>
            <w:vAlign w:val="bottom"/>
            <w:shd w:val="clear" w:color="auto" w:fill="D5D5D5"/>
          </w:tcPr>
          <w:p>
            <w:pPr>
              <w:spacing w:after="0"/>
              <w:rPr>
                <w:sz w:val="24"/>
                <w:szCs w:val="24"/>
                <w:color w:val="auto"/>
              </w:rPr>
            </w:pPr>
          </w:p>
        </w:tc>
        <w:tc>
          <w:tcPr>
            <w:tcW w:w="140" w:type="dxa"/>
            <w:vAlign w:val="bottom"/>
            <w:shd w:val="clear" w:color="auto" w:fill="D5D5D5"/>
          </w:tcPr>
          <w:p>
            <w:pPr>
              <w:spacing w:after="0"/>
              <w:rPr>
                <w:sz w:val="24"/>
                <w:szCs w:val="24"/>
                <w:color w:val="auto"/>
              </w:rPr>
            </w:pPr>
          </w:p>
        </w:tc>
        <w:tc>
          <w:tcPr>
            <w:tcW w:w="14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10.0</w:t>
            </w:r>
          </w:p>
        </w:tc>
      </w:tr>
      <w:tr>
        <w:trPr>
          <w:trHeight w:val="282"/>
        </w:trPr>
        <w:tc>
          <w:tcPr>
            <w:tcW w:w="31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Intangible assets</w:t>
            </w: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130.2</w:t>
            </w:r>
          </w:p>
        </w:tc>
      </w:tr>
      <w:tr>
        <w:trPr>
          <w:trHeight w:val="284"/>
        </w:trPr>
        <w:tc>
          <w:tcPr>
            <w:tcW w:w="3160" w:type="dxa"/>
            <w:vAlign w:val="bottom"/>
            <w:tcBorders>
              <w:bottom w:val="single" w:sz="8" w:color="D5D5D5"/>
            </w:tcBorders>
            <w:shd w:val="clear" w:color="auto" w:fill="D5D5D5"/>
          </w:tcPr>
          <w:p>
            <w:pPr>
              <w:ind w:left="140"/>
              <w:spacing w:after="0"/>
              <w:rPr>
                <w:sz w:val="20"/>
                <w:szCs w:val="20"/>
                <w:color w:val="auto"/>
              </w:rPr>
            </w:pPr>
            <w:r>
              <w:rPr>
                <w:rFonts w:ascii="Times New Roman" w:cs="Times New Roman" w:eastAsia="Times New Roman" w:hAnsi="Times New Roman"/>
                <w:sz w:val="19"/>
                <w:szCs w:val="19"/>
                <w:color w:val="auto"/>
              </w:rPr>
              <w:t>Other assets</w:t>
            </w:r>
          </w:p>
        </w:tc>
        <w:tc>
          <w:tcPr>
            <w:tcW w:w="260" w:type="dxa"/>
            <w:vAlign w:val="bottom"/>
            <w:tcBorders>
              <w:bottom w:val="single" w:sz="8" w:color="auto"/>
            </w:tcBorders>
            <w:shd w:val="clear" w:color="auto" w:fill="D5D5D5"/>
          </w:tcPr>
          <w:p>
            <w:pPr>
              <w:spacing w:after="0"/>
              <w:rPr>
                <w:sz w:val="24"/>
                <w:szCs w:val="24"/>
                <w:color w:val="auto"/>
              </w:rPr>
            </w:pPr>
          </w:p>
        </w:tc>
        <w:tc>
          <w:tcPr>
            <w:tcW w:w="13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0.8</w:t>
            </w:r>
          </w:p>
        </w:tc>
        <w:tc>
          <w:tcPr>
            <w:tcW w:w="60" w:type="dxa"/>
            <w:vAlign w:val="bottom"/>
            <w:tcBorders>
              <w:bottom w:val="single" w:sz="8" w:color="D5D5D5"/>
            </w:tcBorders>
            <w:shd w:val="clear" w:color="auto" w:fill="D5D5D5"/>
          </w:tcPr>
          <w:p>
            <w:pPr>
              <w:spacing w:after="0"/>
              <w:rPr>
                <w:sz w:val="24"/>
                <w:szCs w:val="24"/>
                <w:color w:val="auto"/>
              </w:rPr>
            </w:pPr>
          </w:p>
        </w:tc>
        <w:tc>
          <w:tcPr>
            <w:tcW w:w="160" w:type="dxa"/>
            <w:vAlign w:val="bottom"/>
            <w:tcBorders>
              <w:bottom w:val="single" w:sz="8" w:color="auto"/>
            </w:tcBorders>
            <w:shd w:val="clear" w:color="auto" w:fill="D5D5D5"/>
          </w:tcPr>
          <w:p>
            <w:pPr>
              <w:spacing w:after="0"/>
              <w:rPr>
                <w:sz w:val="24"/>
                <w:szCs w:val="24"/>
                <w:color w:val="auto"/>
              </w:rPr>
            </w:pPr>
          </w:p>
        </w:tc>
        <w:tc>
          <w:tcPr>
            <w:tcW w:w="14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D5D5D5"/>
            </w:tcBorders>
            <w:shd w:val="clear" w:color="auto" w:fill="D5D5D5"/>
          </w:tcPr>
          <w:p>
            <w:pPr>
              <w:spacing w:after="0"/>
              <w:rPr>
                <w:sz w:val="24"/>
                <w:szCs w:val="24"/>
                <w:color w:val="auto"/>
              </w:rPr>
            </w:pPr>
          </w:p>
        </w:tc>
        <w:tc>
          <w:tcPr>
            <w:tcW w:w="260" w:type="dxa"/>
            <w:vAlign w:val="bottom"/>
            <w:tcBorders>
              <w:bottom w:val="single" w:sz="8" w:color="auto"/>
            </w:tcBorders>
            <w:shd w:val="clear" w:color="auto" w:fill="D5D5D5"/>
          </w:tcPr>
          <w:p>
            <w:pPr>
              <w:spacing w:after="0"/>
              <w:rPr>
                <w:sz w:val="24"/>
                <w:szCs w:val="24"/>
                <w:color w:val="auto"/>
              </w:rPr>
            </w:pPr>
          </w:p>
        </w:tc>
        <w:tc>
          <w:tcPr>
            <w:tcW w:w="13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0.7</w:t>
            </w:r>
          </w:p>
        </w:tc>
        <w:tc>
          <w:tcPr>
            <w:tcW w:w="60" w:type="dxa"/>
            <w:vAlign w:val="bottom"/>
            <w:tcBorders>
              <w:bottom w:val="single" w:sz="8" w:color="D5D5D5"/>
            </w:tcBorders>
            <w:shd w:val="clear" w:color="auto" w:fill="D5D5D5"/>
          </w:tcPr>
          <w:p>
            <w:pPr>
              <w:spacing w:after="0"/>
              <w:rPr>
                <w:sz w:val="24"/>
                <w:szCs w:val="24"/>
                <w:color w:val="auto"/>
              </w:rPr>
            </w:pPr>
          </w:p>
        </w:tc>
        <w:tc>
          <w:tcPr>
            <w:tcW w:w="140" w:type="dxa"/>
            <w:vAlign w:val="bottom"/>
            <w:tcBorders>
              <w:bottom w:val="single" w:sz="8" w:color="auto"/>
            </w:tcBorders>
            <w:shd w:val="clear" w:color="auto" w:fill="D5D5D5"/>
          </w:tcPr>
          <w:p>
            <w:pPr>
              <w:spacing w:after="0"/>
              <w:rPr>
                <w:sz w:val="24"/>
                <w:szCs w:val="24"/>
                <w:color w:val="auto"/>
              </w:rPr>
            </w:pPr>
          </w:p>
        </w:tc>
        <w:tc>
          <w:tcPr>
            <w:tcW w:w="14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3.3</w:t>
            </w:r>
          </w:p>
        </w:tc>
      </w:tr>
      <w:tr>
        <w:trPr>
          <w:trHeight w:val="272"/>
        </w:trPr>
        <w:tc>
          <w:tcPr>
            <w:tcW w:w="316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Total assets</w:t>
            </w:r>
          </w:p>
        </w:tc>
        <w:tc>
          <w:tcPr>
            <w:tcW w:w="2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16.4</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26.5</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171.8</w:t>
            </w:r>
          </w:p>
        </w:tc>
      </w:tr>
      <w:tr>
        <w:trPr>
          <w:trHeight w:val="308"/>
        </w:trPr>
        <w:tc>
          <w:tcPr>
            <w:tcW w:w="3160" w:type="dxa"/>
            <w:vAlign w:val="bottom"/>
            <w:shd w:val="clear" w:color="auto" w:fill="D5D5D5"/>
          </w:tcPr>
          <w:p>
            <w:pPr>
              <w:spacing w:after="0"/>
              <w:rPr>
                <w:sz w:val="24"/>
                <w:szCs w:val="24"/>
                <w:color w:val="auto"/>
              </w:rPr>
            </w:pPr>
          </w:p>
        </w:tc>
        <w:tc>
          <w:tcPr>
            <w:tcW w:w="260" w:type="dxa"/>
            <w:vAlign w:val="bottom"/>
            <w:shd w:val="clear" w:color="auto" w:fill="D5D5D5"/>
          </w:tcPr>
          <w:p>
            <w:pPr>
              <w:spacing w:after="0"/>
              <w:rPr>
                <w:sz w:val="24"/>
                <w:szCs w:val="24"/>
                <w:color w:val="auto"/>
              </w:rPr>
            </w:pPr>
          </w:p>
        </w:tc>
        <w:tc>
          <w:tcPr>
            <w:tcW w:w="1360" w:type="dxa"/>
            <w:vAlign w:val="bottom"/>
            <w:shd w:val="clear" w:color="auto" w:fill="D5D5D5"/>
          </w:tcPr>
          <w:p>
            <w:pPr>
              <w:spacing w:after="0"/>
              <w:rPr>
                <w:sz w:val="24"/>
                <w:szCs w:val="24"/>
                <w:color w:val="auto"/>
              </w:rPr>
            </w:pPr>
          </w:p>
        </w:tc>
        <w:tc>
          <w:tcPr>
            <w:tcW w:w="60" w:type="dxa"/>
            <w:vAlign w:val="bottom"/>
            <w:shd w:val="clear" w:color="auto" w:fill="D5D5D5"/>
          </w:tcPr>
          <w:p>
            <w:pPr>
              <w:spacing w:after="0"/>
              <w:rPr>
                <w:sz w:val="24"/>
                <w:szCs w:val="24"/>
                <w:color w:val="auto"/>
              </w:rPr>
            </w:pPr>
          </w:p>
        </w:tc>
        <w:tc>
          <w:tcPr>
            <w:tcW w:w="160" w:type="dxa"/>
            <w:vAlign w:val="bottom"/>
            <w:shd w:val="clear" w:color="auto" w:fill="D5D5D5"/>
          </w:tcPr>
          <w:p>
            <w:pPr>
              <w:spacing w:after="0"/>
              <w:rPr>
                <w:sz w:val="24"/>
                <w:szCs w:val="24"/>
                <w:color w:val="auto"/>
              </w:rPr>
            </w:pPr>
          </w:p>
        </w:tc>
        <w:tc>
          <w:tcPr>
            <w:tcW w:w="1480" w:type="dxa"/>
            <w:vAlign w:val="bottom"/>
            <w:shd w:val="clear" w:color="auto" w:fill="D5D5D5"/>
          </w:tcPr>
          <w:p>
            <w:pPr>
              <w:spacing w:after="0"/>
              <w:rPr>
                <w:sz w:val="24"/>
                <w:szCs w:val="24"/>
                <w:color w:val="auto"/>
              </w:rPr>
            </w:pPr>
          </w:p>
        </w:tc>
        <w:tc>
          <w:tcPr>
            <w:tcW w:w="60" w:type="dxa"/>
            <w:vAlign w:val="bottom"/>
            <w:shd w:val="clear" w:color="auto" w:fill="D5D5D5"/>
          </w:tcPr>
          <w:p>
            <w:pPr>
              <w:spacing w:after="0"/>
              <w:rPr>
                <w:sz w:val="24"/>
                <w:szCs w:val="24"/>
                <w:color w:val="auto"/>
              </w:rPr>
            </w:pPr>
          </w:p>
        </w:tc>
        <w:tc>
          <w:tcPr>
            <w:tcW w:w="260" w:type="dxa"/>
            <w:vAlign w:val="bottom"/>
            <w:shd w:val="clear" w:color="auto" w:fill="D5D5D5"/>
          </w:tcPr>
          <w:p>
            <w:pPr>
              <w:spacing w:after="0"/>
              <w:rPr>
                <w:sz w:val="24"/>
                <w:szCs w:val="24"/>
                <w:color w:val="auto"/>
              </w:rPr>
            </w:pPr>
          </w:p>
        </w:tc>
        <w:tc>
          <w:tcPr>
            <w:tcW w:w="1360" w:type="dxa"/>
            <w:vAlign w:val="bottom"/>
            <w:shd w:val="clear" w:color="auto" w:fill="D5D5D5"/>
          </w:tcPr>
          <w:p>
            <w:pPr>
              <w:spacing w:after="0"/>
              <w:rPr>
                <w:sz w:val="24"/>
                <w:szCs w:val="24"/>
                <w:color w:val="auto"/>
              </w:rPr>
            </w:pPr>
          </w:p>
        </w:tc>
        <w:tc>
          <w:tcPr>
            <w:tcW w:w="60" w:type="dxa"/>
            <w:vAlign w:val="bottom"/>
            <w:shd w:val="clear" w:color="auto" w:fill="D5D5D5"/>
          </w:tcPr>
          <w:p>
            <w:pPr>
              <w:spacing w:after="0"/>
              <w:rPr>
                <w:sz w:val="24"/>
                <w:szCs w:val="24"/>
                <w:color w:val="auto"/>
              </w:rPr>
            </w:pPr>
          </w:p>
        </w:tc>
        <w:tc>
          <w:tcPr>
            <w:tcW w:w="140" w:type="dxa"/>
            <w:vAlign w:val="bottom"/>
            <w:shd w:val="clear" w:color="auto" w:fill="D5D5D5"/>
          </w:tcPr>
          <w:p>
            <w:pPr>
              <w:spacing w:after="0"/>
              <w:rPr>
                <w:sz w:val="24"/>
                <w:szCs w:val="24"/>
                <w:color w:val="auto"/>
              </w:rPr>
            </w:pPr>
          </w:p>
        </w:tc>
        <w:tc>
          <w:tcPr>
            <w:tcW w:w="1480" w:type="dxa"/>
            <w:vAlign w:val="bottom"/>
            <w:shd w:val="clear" w:color="auto" w:fill="D5D5D5"/>
          </w:tcPr>
          <w:p>
            <w:pPr>
              <w:spacing w:after="0"/>
              <w:rPr>
                <w:sz w:val="24"/>
                <w:szCs w:val="24"/>
                <w:color w:val="auto"/>
              </w:rPr>
            </w:pPr>
          </w:p>
        </w:tc>
      </w:tr>
      <w:tr>
        <w:trPr>
          <w:trHeight w:val="268"/>
        </w:trPr>
        <w:tc>
          <w:tcPr>
            <w:tcW w:w="316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auto"/>
              </w:rPr>
              <w:t>Liabilities</w:t>
            </w: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94"/>
        </w:trPr>
        <w:tc>
          <w:tcPr>
            <w:tcW w:w="3160" w:type="dxa"/>
            <w:vAlign w:val="bottom"/>
            <w:shd w:val="clear" w:color="auto" w:fill="D5D5D5"/>
          </w:tcPr>
          <w:p>
            <w:pPr>
              <w:ind w:left="160"/>
              <w:spacing w:after="0"/>
              <w:rPr>
                <w:sz w:val="20"/>
                <w:szCs w:val="20"/>
                <w:color w:val="auto"/>
              </w:rPr>
            </w:pPr>
            <w:r>
              <w:rPr>
                <w:rFonts w:ascii="Times New Roman" w:cs="Times New Roman" w:eastAsia="Times New Roman" w:hAnsi="Times New Roman"/>
                <w:sz w:val="19"/>
                <w:szCs w:val="19"/>
                <w:color w:val="auto"/>
              </w:rPr>
              <w:t>Accounts payable</w:t>
            </w:r>
          </w:p>
        </w:tc>
        <w:tc>
          <w:tcPr>
            <w:tcW w:w="260" w:type="dxa"/>
            <w:vAlign w:val="bottom"/>
            <w:shd w:val="clear" w:color="auto" w:fill="D5D5D5"/>
          </w:tcPr>
          <w:p>
            <w:pPr>
              <w:spacing w:after="0"/>
              <w:rPr>
                <w:sz w:val="24"/>
                <w:szCs w:val="24"/>
                <w:color w:val="auto"/>
              </w:rPr>
            </w:pPr>
          </w:p>
        </w:tc>
        <w:tc>
          <w:tcPr>
            <w:tcW w:w="13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8.3</w:t>
            </w:r>
          </w:p>
        </w:tc>
        <w:tc>
          <w:tcPr>
            <w:tcW w:w="60" w:type="dxa"/>
            <w:vAlign w:val="bottom"/>
            <w:shd w:val="clear" w:color="auto" w:fill="D5D5D5"/>
          </w:tcPr>
          <w:p>
            <w:pPr>
              <w:spacing w:after="0"/>
              <w:rPr>
                <w:sz w:val="24"/>
                <w:szCs w:val="24"/>
                <w:color w:val="auto"/>
              </w:rPr>
            </w:pPr>
          </w:p>
        </w:tc>
        <w:tc>
          <w:tcPr>
            <w:tcW w:w="160" w:type="dxa"/>
            <w:vAlign w:val="bottom"/>
            <w:shd w:val="clear" w:color="auto" w:fill="D5D5D5"/>
          </w:tcPr>
          <w:p>
            <w:pPr>
              <w:spacing w:after="0"/>
              <w:rPr>
                <w:sz w:val="24"/>
                <w:szCs w:val="24"/>
                <w:color w:val="auto"/>
              </w:rPr>
            </w:pPr>
          </w:p>
        </w:tc>
        <w:tc>
          <w:tcPr>
            <w:tcW w:w="14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0.1</w:t>
            </w:r>
          </w:p>
        </w:tc>
        <w:tc>
          <w:tcPr>
            <w:tcW w:w="60" w:type="dxa"/>
            <w:vAlign w:val="bottom"/>
            <w:shd w:val="clear" w:color="auto" w:fill="D5D5D5"/>
          </w:tcPr>
          <w:p>
            <w:pPr>
              <w:spacing w:after="0"/>
              <w:rPr>
                <w:sz w:val="24"/>
                <w:szCs w:val="24"/>
                <w:color w:val="auto"/>
              </w:rPr>
            </w:pPr>
          </w:p>
        </w:tc>
        <w:tc>
          <w:tcPr>
            <w:tcW w:w="260" w:type="dxa"/>
            <w:vAlign w:val="bottom"/>
            <w:shd w:val="clear" w:color="auto" w:fill="D5D5D5"/>
          </w:tcPr>
          <w:p>
            <w:pPr>
              <w:spacing w:after="0"/>
              <w:rPr>
                <w:sz w:val="24"/>
                <w:szCs w:val="24"/>
                <w:color w:val="auto"/>
              </w:rPr>
            </w:pPr>
          </w:p>
        </w:tc>
        <w:tc>
          <w:tcPr>
            <w:tcW w:w="13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0.9</w:t>
            </w:r>
          </w:p>
        </w:tc>
        <w:tc>
          <w:tcPr>
            <w:tcW w:w="60" w:type="dxa"/>
            <w:vAlign w:val="bottom"/>
            <w:shd w:val="clear" w:color="auto" w:fill="D5D5D5"/>
          </w:tcPr>
          <w:p>
            <w:pPr>
              <w:spacing w:after="0"/>
              <w:rPr>
                <w:sz w:val="24"/>
                <w:szCs w:val="24"/>
                <w:color w:val="auto"/>
              </w:rPr>
            </w:pPr>
          </w:p>
        </w:tc>
        <w:tc>
          <w:tcPr>
            <w:tcW w:w="140" w:type="dxa"/>
            <w:vAlign w:val="bottom"/>
            <w:shd w:val="clear" w:color="auto" w:fill="D5D5D5"/>
          </w:tcPr>
          <w:p>
            <w:pPr>
              <w:spacing w:after="0"/>
              <w:rPr>
                <w:sz w:val="24"/>
                <w:szCs w:val="24"/>
                <w:color w:val="auto"/>
              </w:rPr>
            </w:pPr>
          </w:p>
        </w:tc>
        <w:tc>
          <w:tcPr>
            <w:tcW w:w="14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11.6</w:t>
            </w:r>
          </w:p>
        </w:tc>
      </w:tr>
      <w:tr>
        <w:trPr>
          <w:trHeight w:val="282"/>
        </w:trPr>
        <w:tc>
          <w:tcPr>
            <w:tcW w:w="316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Other accrued liabilities</w:t>
            </w: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w:t>
            </w:r>
          </w:p>
        </w:tc>
      </w:tr>
      <w:tr>
        <w:trPr>
          <w:trHeight w:val="294"/>
        </w:trPr>
        <w:tc>
          <w:tcPr>
            <w:tcW w:w="3160" w:type="dxa"/>
            <w:vAlign w:val="bottom"/>
            <w:shd w:val="clear" w:color="auto" w:fill="D5D5D5"/>
          </w:tcPr>
          <w:p>
            <w:pPr>
              <w:ind w:left="160"/>
              <w:spacing w:after="0"/>
              <w:rPr>
                <w:sz w:val="20"/>
                <w:szCs w:val="20"/>
                <w:color w:val="auto"/>
              </w:rPr>
            </w:pPr>
            <w:r>
              <w:rPr>
                <w:rFonts w:ascii="Times New Roman" w:cs="Times New Roman" w:eastAsia="Times New Roman" w:hAnsi="Times New Roman"/>
                <w:sz w:val="19"/>
                <w:szCs w:val="19"/>
                <w:color w:val="auto"/>
              </w:rPr>
              <w:t>Income taxes payable</w:t>
            </w:r>
          </w:p>
        </w:tc>
        <w:tc>
          <w:tcPr>
            <w:tcW w:w="260" w:type="dxa"/>
            <w:vAlign w:val="bottom"/>
            <w:shd w:val="clear" w:color="auto" w:fill="D5D5D5"/>
          </w:tcPr>
          <w:p>
            <w:pPr>
              <w:spacing w:after="0"/>
              <w:rPr>
                <w:sz w:val="24"/>
                <w:szCs w:val="24"/>
                <w:color w:val="auto"/>
              </w:rPr>
            </w:pPr>
          </w:p>
        </w:tc>
        <w:tc>
          <w:tcPr>
            <w:tcW w:w="13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4.4</w:t>
            </w:r>
          </w:p>
        </w:tc>
        <w:tc>
          <w:tcPr>
            <w:tcW w:w="60" w:type="dxa"/>
            <w:vAlign w:val="bottom"/>
            <w:shd w:val="clear" w:color="auto" w:fill="D5D5D5"/>
          </w:tcPr>
          <w:p>
            <w:pPr>
              <w:spacing w:after="0"/>
              <w:rPr>
                <w:sz w:val="24"/>
                <w:szCs w:val="24"/>
                <w:color w:val="auto"/>
              </w:rPr>
            </w:pPr>
          </w:p>
        </w:tc>
        <w:tc>
          <w:tcPr>
            <w:tcW w:w="160" w:type="dxa"/>
            <w:vAlign w:val="bottom"/>
            <w:shd w:val="clear" w:color="auto" w:fill="D5D5D5"/>
          </w:tcPr>
          <w:p>
            <w:pPr>
              <w:spacing w:after="0"/>
              <w:rPr>
                <w:sz w:val="24"/>
                <w:szCs w:val="24"/>
                <w:color w:val="auto"/>
              </w:rPr>
            </w:pPr>
          </w:p>
        </w:tc>
        <w:tc>
          <w:tcPr>
            <w:tcW w:w="14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D5D5D5"/>
          </w:tcPr>
          <w:p>
            <w:pPr>
              <w:spacing w:after="0"/>
              <w:rPr>
                <w:sz w:val="24"/>
                <w:szCs w:val="24"/>
                <w:color w:val="auto"/>
              </w:rPr>
            </w:pPr>
          </w:p>
        </w:tc>
        <w:tc>
          <w:tcPr>
            <w:tcW w:w="260" w:type="dxa"/>
            <w:vAlign w:val="bottom"/>
            <w:shd w:val="clear" w:color="auto" w:fill="D5D5D5"/>
          </w:tcPr>
          <w:p>
            <w:pPr>
              <w:spacing w:after="0"/>
              <w:rPr>
                <w:sz w:val="24"/>
                <w:szCs w:val="24"/>
                <w:color w:val="auto"/>
              </w:rPr>
            </w:pPr>
          </w:p>
        </w:tc>
        <w:tc>
          <w:tcPr>
            <w:tcW w:w="13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D5D5D5"/>
          </w:tcPr>
          <w:p>
            <w:pPr>
              <w:spacing w:after="0"/>
              <w:rPr>
                <w:sz w:val="24"/>
                <w:szCs w:val="24"/>
                <w:color w:val="auto"/>
              </w:rPr>
            </w:pPr>
          </w:p>
        </w:tc>
        <w:tc>
          <w:tcPr>
            <w:tcW w:w="140" w:type="dxa"/>
            <w:vAlign w:val="bottom"/>
            <w:shd w:val="clear" w:color="auto" w:fill="D5D5D5"/>
          </w:tcPr>
          <w:p>
            <w:pPr>
              <w:spacing w:after="0"/>
              <w:rPr>
                <w:sz w:val="24"/>
                <w:szCs w:val="24"/>
                <w:color w:val="auto"/>
              </w:rPr>
            </w:pPr>
          </w:p>
        </w:tc>
        <w:tc>
          <w:tcPr>
            <w:tcW w:w="14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78"/>
        </w:trPr>
        <w:tc>
          <w:tcPr>
            <w:tcW w:w="3160" w:type="dxa"/>
            <w:vAlign w:val="bottom"/>
            <w:tcBorders>
              <w:bottom w:val="single" w:sz="8" w:color="D5D5D5"/>
            </w:tcBorders>
          </w:tcPr>
          <w:p>
            <w:pPr>
              <w:ind w:left="160"/>
              <w:spacing w:after="0"/>
              <w:rPr>
                <w:sz w:val="20"/>
                <w:szCs w:val="20"/>
                <w:color w:val="auto"/>
              </w:rPr>
            </w:pPr>
            <w:r>
              <w:rPr>
                <w:rFonts w:ascii="Times New Roman" w:cs="Times New Roman" w:eastAsia="Times New Roman" w:hAnsi="Times New Roman"/>
                <w:sz w:val="19"/>
                <w:szCs w:val="19"/>
                <w:color w:val="auto"/>
              </w:rPr>
              <w:t>Other liabilities</w:t>
            </w: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D5D5D5"/>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D5D5D5"/>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0.5</w:t>
            </w:r>
          </w:p>
        </w:tc>
        <w:tc>
          <w:tcPr>
            <w:tcW w:w="60" w:type="dxa"/>
            <w:vAlign w:val="bottom"/>
            <w:tcBorders>
              <w:bottom w:val="single" w:sz="8" w:color="D5D5D5"/>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w:t>
            </w:r>
          </w:p>
        </w:tc>
      </w:tr>
      <w:tr>
        <w:trPr>
          <w:trHeight w:val="278"/>
        </w:trPr>
        <w:tc>
          <w:tcPr>
            <w:tcW w:w="3160" w:type="dxa"/>
            <w:vAlign w:val="bottom"/>
            <w:shd w:val="clear" w:color="auto" w:fill="D5D5D5"/>
          </w:tcPr>
          <w:p>
            <w:pPr>
              <w:ind w:left="260"/>
              <w:spacing w:after="0"/>
              <w:rPr>
                <w:sz w:val="20"/>
                <w:szCs w:val="20"/>
                <w:color w:val="auto"/>
              </w:rPr>
            </w:pPr>
            <w:r>
              <w:rPr>
                <w:rFonts w:ascii="Times New Roman" w:cs="Times New Roman" w:eastAsia="Times New Roman" w:hAnsi="Times New Roman"/>
                <w:sz w:val="19"/>
                <w:szCs w:val="19"/>
                <w:color w:val="auto"/>
              </w:rPr>
              <w:t>Total liabilities</w:t>
            </w:r>
          </w:p>
        </w:tc>
        <w:tc>
          <w:tcPr>
            <w:tcW w:w="260" w:type="dxa"/>
            <w:vAlign w:val="bottom"/>
            <w:shd w:val="clear" w:color="auto" w:fill="D5D5D5"/>
          </w:tcPr>
          <w:p>
            <w:pPr>
              <w:spacing w:after="0"/>
              <w:rPr>
                <w:sz w:val="24"/>
                <w:szCs w:val="24"/>
                <w:color w:val="auto"/>
              </w:rPr>
            </w:pPr>
          </w:p>
        </w:tc>
        <w:tc>
          <w:tcPr>
            <w:tcW w:w="13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15.3</w:t>
            </w:r>
          </w:p>
        </w:tc>
        <w:tc>
          <w:tcPr>
            <w:tcW w:w="60" w:type="dxa"/>
            <w:vAlign w:val="bottom"/>
            <w:shd w:val="clear" w:color="auto" w:fill="D5D5D5"/>
          </w:tcPr>
          <w:p>
            <w:pPr>
              <w:spacing w:after="0"/>
              <w:rPr>
                <w:sz w:val="24"/>
                <w:szCs w:val="24"/>
                <w:color w:val="auto"/>
              </w:rPr>
            </w:pPr>
          </w:p>
        </w:tc>
        <w:tc>
          <w:tcPr>
            <w:tcW w:w="160" w:type="dxa"/>
            <w:vAlign w:val="bottom"/>
            <w:shd w:val="clear" w:color="auto" w:fill="D5D5D5"/>
          </w:tcPr>
          <w:p>
            <w:pPr>
              <w:spacing w:after="0"/>
              <w:rPr>
                <w:sz w:val="24"/>
                <w:szCs w:val="24"/>
                <w:color w:val="auto"/>
              </w:rPr>
            </w:pPr>
          </w:p>
        </w:tc>
        <w:tc>
          <w:tcPr>
            <w:tcW w:w="14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0.4</w:t>
            </w:r>
          </w:p>
        </w:tc>
        <w:tc>
          <w:tcPr>
            <w:tcW w:w="60" w:type="dxa"/>
            <w:vAlign w:val="bottom"/>
            <w:shd w:val="clear" w:color="auto" w:fill="D5D5D5"/>
          </w:tcPr>
          <w:p>
            <w:pPr>
              <w:spacing w:after="0"/>
              <w:rPr>
                <w:sz w:val="24"/>
                <w:szCs w:val="24"/>
                <w:color w:val="auto"/>
              </w:rPr>
            </w:pPr>
          </w:p>
        </w:tc>
        <w:tc>
          <w:tcPr>
            <w:tcW w:w="260" w:type="dxa"/>
            <w:vAlign w:val="bottom"/>
            <w:shd w:val="clear" w:color="auto" w:fill="D5D5D5"/>
          </w:tcPr>
          <w:p>
            <w:pPr>
              <w:spacing w:after="0"/>
              <w:rPr>
                <w:sz w:val="24"/>
                <w:szCs w:val="24"/>
                <w:color w:val="auto"/>
              </w:rPr>
            </w:pPr>
          </w:p>
        </w:tc>
        <w:tc>
          <w:tcPr>
            <w:tcW w:w="13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2.0</w:t>
            </w:r>
          </w:p>
        </w:tc>
        <w:tc>
          <w:tcPr>
            <w:tcW w:w="60" w:type="dxa"/>
            <w:vAlign w:val="bottom"/>
            <w:shd w:val="clear" w:color="auto" w:fill="D5D5D5"/>
          </w:tcPr>
          <w:p>
            <w:pPr>
              <w:spacing w:after="0"/>
              <w:rPr>
                <w:sz w:val="24"/>
                <w:szCs w:val="24"/>
                <w:color w:val="auto"/>
              </w:rPr>
            </w:pPr>
          </w:p>
        </w:tc>
        <w:tc>
          <w:tcPr>
            <w:tcW w:w="140" w:type="dxa"/>
            <w:vAlign w:val="bottom"/>
            <w:shd w:val="clear" w:color="auto" w:fill="D5D5D5"/>
          </w:tcPr>
          <w:p>
            <w:pPr>
              <w:spacing w:after="0"/>
              <w:rPr>
                <w:sz w:val="24"/>
                <w:szCs w:val="24"/>
                <w:color w:val="auto"/>
              </w:rPr>
            </w:pPr>
          </w:p>
        </w:tc>
        <w:tc>
          <w:tcPr>
            <w:tcW w:w="14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21.1</w:t>
            </w:r>
          </w:p>
        </w:tc>
      </w:tr>
      <w:tr>
        <w:trPr>
          <w:trHeight w:val="293"/>
        </w:trPr>
        <w:tc>
          <w:tcPr>
            <w:tcW w:w="3160" w:type="dxa"/>
            <w:vAlign w:val="bottom"/>
            <w:tcBorders>
              <w:bottom w:val="single" w:sz="8" w:color="D5D5D5"/>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0" w:type="dxa"/>
            <w:vAlign w:val="bottom"/>
            <w:tcBorders>
              <w:bottom w:val="single" w:sz="8" w:color="D5D5D5"/>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0" w:type="dxa"/>
            <w:vAlign w:val="bottom"/>
            <w:tcBorders>
              <w:bottom w:val="single" w:sz="8" w:color="D5D5D5"/>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0" w:type="dxa"/>
            <w:vAlign w:val="bottom"/>
            <w:tcBorders>
              <w:bottom w:val="single" w:sz="8" w:color="D5D5D5"/>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86"/>
        </w:trPr>
        <w:tc>
          <w:tcPr>
            <w:tcW w:w="3160" w:type="dxa"/>
            <w:vAlign w:val="bottom"/>
            <w:tcBorders>
              <w:bottom w:val="single" w:sz="8" w:color="D5D5D5"/>
            </w:tcBorders>
            <w:shd w:val="clear" w:color="auto" w:fill="D5D5D5"/>
          </w:tcPr>
          <w:p>
            <w:pPr>
              <w:ind w:left="380"/>
              <w:spacing w:after="0"/>
              <w:rPr>
                <w:sz w:val="20"/>
                <w:szCs w:val="20"/>
                <w:color w:val="auto"/>
              </w:rPr>
            </w:pPr>
            <w:r>
              <w:rPr>
                <w:rFonts w:ascii="Times New Roman" w:cs="Times New Roman" w:eastAsia="Times New Roman" w:hAnsi="Times New Roman"/>
                <w:sz w:val="19"/>
                <w:szCs w:val="19"/>
                <w:b w:val="1"/>
                <w:bCs w:val="1"/>
                <w:color w:val="auto"/>
              </w:rPr>
              <w:t>Net Assets Acquired</w:t>
            </w:r>
          </w:p>
        </w:tc>
        <w:tc>
          <w:tcPr>
            <w:tcW w:w="260" w:type="dxa"/>
            <w:vAlign w:val="bottom"/>
            <w:tcBorders>
              <w:bottom w:val="single" w:sz="8" w:color="auto"/>
            </w:tcBorders>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13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131.2</w:t>
            </w:r>
          </w:p>
        </w:tc>
        <w:tc>
          <w:tcPr>
            <w:tcW w:w="60" w:type="dxa"/>
            <w:vAlign w:val="bottom"/>
            <w:tcBorders>
              <w:bottom w:val="single" w:sz="8" w:color="D5D5D5"/>
            </w:tcBorders>
            <w:shd w:val="clear" w:color="auto" w:fill="D5D5D5"/>
          </w:tcPr>
          <w:p>
            <w:pPr>
              <w:spacing w:after="0"/>
              <w:rPr>
                <w:sz w:val="24"/>
                <w:szCs w:val="24"/>
                <w:color w:val="auto"/>
              </w:rPr>
            </w:pPr>
          </w:p>
        </w:tc>
        <w:tc>
          <w:tcPr>
            <w:tcW w:w="1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16.0</w:t>
            </w:r>
          </w:p>
        </w:tc>
        <w:tc>
          <w:tcPr>
            <w:tcW w:w="60" w:type="dxa"/>
            <w:vAlign w:val="bottom"/>
            <w:tcBorders>
              <w:bottom w:val="single" w:sz="8" w:color="D5D5D5"/>
            </w:tcBorders>
            <w:shd w:val="clear" w:color="auto" w:fill="D5D5D5"/>
          </w:tcPr>
          <w:p>
            <w:pPr>
              <w:spacing w:after="0"/>
              <w:rPr>
                <w:sz w:val="24"/>
                <w:szCs w:val="24"/>
                <w:color w:val="auto"/>
              </w:rPr>
            </w:pPr>
          </w:p>
        </w:tc>
        <w:tc>
          <w:tcPr>
            <w:tcW w:w="260" w:type="dxa"/>
            <w:vAlign w:val="bottom"/>
            <w:tcBorders>
              <w:bottom w:val="single" w:sz="8" w:color="auto"/>
            </w:tcBorders>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13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24.5</w:t>
            </w:r>
          </w:p>
        </w:tc>
        <w:tc>
          <w:tcPr>
            <w:tcW w:w="60" w:type="dxa"/>
            <w:vAlign w:val="bottom"/>
            <w:tcBorders>
              <w:bottom w:val="single" w:sz="8" w:color="D5D5D5"/>
            </w:tcBorders>
            <w:shd w:val="clear" w:color="auto" w:fill="D5D5D5"/>
          </w:tcPr>
          <w:p>
            <w:pPr>
              <w:spacing w:after="0"/>
              <w:rPr>
                <w:sz w:val="24"/>
                <w:szCs w:val="24"/>
                <w:color w:val="auto"/>
              </w:rPr>
            </w:pPr>
          </w:p>
        </w:tc>
        <w:tc>
          <w:tcPr>
            <w:tcW w:w="14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150.7</w:t>
            </w:r>
          </w:p>
        </w:tc>
      </w:tr>
    </w:tbl>
    <w:p>
      <w:pPr>
        <w:spacing w:after="0" w:line="237" w:lineRule="exact"/>
        <w:rPr>
          <w:sz w:val="20"/>
          <w:szCs w:val="20"/>
          <w:color w:val="auto"/>
        </w:rPr>
      </w:pPr>
    </w:p>
    <w:p>
      <w:pPr>
        <w:ind w:right="180" w:firstLine="345"/>
        <w:spacing w:after="0" w:line="259" w:lineRule="auto"/>
        <w:rPr>
          <w:sz w:val="20"/>
          <w:szCs w:val="20"/>
          <w:color w:val="auto"/>
        </w:rPr>
      </w:pPr>
      <w:r>
        <w:rPr>
          <w:rFonts w:ascii="Times New Roman" w:cs="Times New Roman" w:eastAsia="Times New Roman" w:hAnsi="Times New Roman"/>
          <w:sz w:val="19"/>
          <w:szCs w:val="19"/>
          <w:color w:val="auto"/>
        </w:rPr>
        <w:t>The excess purchase price over the estimated fair value of the net assets acquired was recognized as goodwill and totaled $18.6 million and $39.2 million for the 2025 acquisitions and 2024 acquisition, respectively. Goodwill and intangible assets total $160.8 million and $81.4 million for the 2025 acquisitions and 2024 acquisition, respectively, and are deductible for tax purposes. Accounts receivable and current liabilities were either stated at their historical carrying values, which approximate fair value given the short-term nature of these assets and liabilities or were stated at their fair values based on an evaluation of the current market value of such assets and liabilities. The estimate of fair value for inventories and fixed assets was based on an assessment of acquired assets’ condition as well as an evaluation of the current market value of such assets.</w:t>
      </w:r>
    </w:p>
    <w:p>
      <w:pPr>
        <w:spacing w:after="0" w:line="193" w:lineRule="exact"/>
        <w:rPr>
          <w:sz w:val="20"/>
          <w:szCs w:val="20"/>
          <w:color w:val="auto"/>
        </w:rPr>
      </w:pPr>
    </w:p>
    <w:p>
      <w:pPr>
        <w:ind w:right="360" w:firstLine="345"/>
        <w:spacing w:after="0" w:line="289" w:lineRule="auto"/>
        <w:rPr>
          <w:sz w:val="20"/>
          <w:szCs w:val="20"/>
          <w:color w:val="auto"/>
        </w:rPr>
      </w:pPr>
      <w:r>
        <w:rPr>
          <w:rFonts w:ascii="Times New Roman" w:cs="Times New Roman" w:eastAsia="Times New Roman" w:hAnsi="Times New Roman"/>
          <w:sz w:val="19"/>
          <w:szCs w:val="19"/>
          <w:color w:val="auto"/>
        </w:rPr>
        <w:t>The Company recorded intangible assets based on its estimate of fair value which consisted of the following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40" w:type="dxa"/>
            <w:vAlign w:val="bottom"/>
          </w:tcPr>
          <w:p>
            <w:pPr>
              <w:spacing w:after="0"/>
              <w:rPr>
                <w:sz w:val="18"/>
                <w:szCs w:val="18"/>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Estimated Useful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ind w:right="44"/>
              <w:spacing w:after="0"/>
              <w:rPr>
                <w:sz w:val="20"/>
                <w:szCs w:val="20"/>
                <w:color w:val="auto"/>
              </w:rPr>
            </w:pPr>
            <w:r>
              <w:rPr>
                <w:rFonts w:ascii="Times New Roman" w:cs="Times New Roman" w:eastAsia="Times New Roman" w:hAnsi="Times New Roman"/>
                <w:sz w:val="19"/>
                <w:szCs w:val="19"/>
                <w:b w:val="1"/>
                <w:bCs w:val="1"/>
                <w:color w:val="auto"/>
              </w:rPr>
              <w:t>Intangible Assets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64"/>
              <w:spacing w:after="0"/>
              <w:rPr>
                <w:sz w:val="20"/>
                <w:szCs w:val="20"/>
                <w:color w:val="auto"/>
              </w:rPr>
            </w:pPr>
            <w:r>
              <w:rPr>
                <w:rFonts w:ascii="Times New Roman" w:cs="Times New Roman" w:eastAsia="Times New Roman" w:hAnsi="Times New Roman"/>
                <w:sz w:val="19"/>
                <w:szCs w:val="19"/>
                <w:b w:val="1"/>
                <w:bCs w:val="1"/>
                <w:color w:val="auto"/>
              </w:rPr>
              <w:t>Intangible Assets</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720" w:type="dxa"/>
            <w:vAlign w:val="bottom"/>
            <w:gridSpan w:val="2"/>
          </w:tcPr>
          <w:p>
            <w:pPr>
              <w:jc w:val="center"/>
              <w:spacing w:after="0" w:line="192" w:lineRule="exact"/>
              <w:rPr>
                <w:sz w:val="20"/>
                <w:szCs w:val="20"/>
                <w:color w:val="auto"/>
              </w:rPr>
            </w:pPr>
            <w:r>
              <w:rPr>
                <w:rFonts w:ascii="Times New Roman" w:cs="Times New Roman" w:eastAsia="Times New Roman" w:hAnsi="Times New Roman"/>
                <w:sz w:val="19"/>
                <w:szCs w:val="19"/>
                <w:b w:val="1"/>
                <w:bCs w:val="1"/>
                <w:color w:val="auto"/>
              </w:rPr>
              <w:t>Acquired in fiscal</w:t>
            </w:r>
          </w:p>
        </w:tc>
        <w:tc>
          <w:tcPr>
            <w:tcW w:w="60" w:type="dxa"/>
            <w:vAlign w:val="bottom"/>
          </w:tcPr>
          <w:p>
            <w:pPr>
              <w:spacing w:after="0"/>
              <w:rPr>
                <w:sz w:val="16"/>
                <w:szCs w:val="16"/>
                <w:color w:val="auto"/>
              </w:rPr>
            </w:pPr>
          </w:p>
        </w:tc>
        <w:tc>
          <w:tcPr>
            <w:tcW w:w="1720" w:type="dxa"/>
            <w:vAlign w:val="bottom"/>
            <w:gridSpan w:val="2"/>
          </w:tcPr>
          <w:p>
            <w:pPr>
              <w:jc w:val="center"/>
              <w:spacing w:after="0" w:line="192" w:lineRule="exact"/>
              <w:rPr>
                <w:sz w:val="20"/>
                <w:szCs w:val="20"/>
                <w:color w:val="auto"/>
              </w:rPr>
            </w:pPr>
            <w:r>
              <w:rPr>
                <w:rFonts w:ascii="Times New Roman" w:cs="Times New Roman" w:eastAsia="Times New Roman" w:hAnsi="Times New Roman"/>
                <w:sz w:val="19"/>
                <w:szCs w:val="19"/>
                <w:b w:val="1"/>
                <w:bCs w:val="1"/>
                <w:color w:val="auto"/>
              </w:rPr>
              <w:t>Acquired in fiscal</w:t>
            </w:r>
          </w:p>
        </w:tc>
        <w:tc>
          <w:tcPr>
            <w:tcW w:w="0" w:type="dxa"/>
            <w:vAlign w:val="bottom"/>
          </w:tcPr>
          <w:p>
            <w:pPr>
              <w:spacing w:after="0"/>
              <w:rPr>
                <w:sz w:val="1"/>
                <w:szCs w:val="1"/>
                <w:color w:val="auto"/>
              </w:rPr>
            </w:pPr>
          </w:p>
        </w:tc>
      </w:tr>
      <w:tr>
        <w:trPr>
          <w:trHeight w:val="256"/>
        </w:trPr>
        <w:tc>
          <w:tcPr>
            <w:tcW w:w="4540" w:type="dxa"/>
            <w:vAlign w:val="bottom"/>
            <w:tcBorders>
              <w:bottom w:val="single" w:sz="8" w:color="D5D5D5"/>
            </w:tcBorders>
          </w:tcPr>
          <w:p>
            <w:pPr>
              <w:spacing w:after="0"/>
              <w:rPr>
                <w:sz w:val="22"/>
                <w:szCs w:val="22"/>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Life (in years)</w:t>
            </w:r>
          </w:p>
        </w:tc>
        <w:tc>
          <w:tcPr>
            <w:tcW w:w="60" w:type="dxa"/>
            <w:vAlign w:val="bottom"/>
            <w:tcBorders>
              <w:bottom w:val="single" w:sz="8" w:color="D5D5D5"/>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9"/>
                <w:szCs w:val="19"/>
                <w:b w:val="1"/>
                <w:bCs w:val="1"/>
                <w:color w:val="auto"/>
                <w:w w:val="99"/>
              </w:rPr>
              <w:t>2024</w:t>
            </w:r>
          </w:p>
        </w:tc>
        <w:tc>
          <w:tcPr>
            <w:tcW w:w="60" w:type="dxa"/>
            <w:vAlign w:val="bottom"/>
            <w:tcBorders>
              <w:bottom w:val="single" w:sz="8" w:color="D5D5D5"/>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9"/>
                <w:szCs w:val="19"/>
                <w:b w:val="1"/>
                <w:bCs w:val="1"/>
                <w:color w:val="auto"/>
              </w:rPr>
              <w:t>2025</w:t>
            </w:r>
          </w:p>
        </w:tc>
        <w:tc>
          <w:tcPr>
            <w:tcW w:w="0" w:type="dxa"/>
            <w:vAlign w:val="bottom"/>
          </w:tcPr>
          <w:p>
            <w:pPr>
              <w:spacing w:after="0"/>
              <w:rPr>
                <w:sz w:val="1"/>
                <w:szCs w:val="1"/>
                <w:color w:val="auto"/>
              </w:rPr>
            </w:pPr>
          </w:p>
        </w:tc>
      </w:tr>
      <w:tr>
        <w:trPr>
          <w:trHeight w:val="274"/>
        </w:trPr>
        <w:tc>
          <w:tcPr>
            <w:tcW w:w="4540" w:type="dxa"/>
            <w:vAlign w:val="bottom"/>
            <w:shd w:val="clear" w:color="auto" w:fill="D5D5D5"/>
          </w:tcPr>
          <w:p>
            <w:pPr>
              <w:ind w:left="160"/>
              <w:spacing w:after="0"/>
              <w:rPr>
                <w:sz w:val="20"/>
                <w:szCs w:val="20"/>
                <w:color w:val="auto"/>
              </w:rPr>
            </w:pPr>
            <w:r>
              <w:rPr>
                <w:rFonts w:ascii="Times New Roman" w:cs="Times New Roman" w:eastAsia="Times New Roman" w:hAnsi="Times New Roman"/>
                <w:sz w:val="19"/>
                <w:szCs w:val="19"/>
                <w:color w:val="auto"/>
              </w:rPr>
              <w:t>Customer relationships</w:t>
            </w:r>
          </w:p>
        </w:tc>
        <w:tc>
          <w:tcPr>
            <w:tcW w:w="1740" w:type="dxa"/>
            <w:vAlign w:val="bottom"/>
            <w:shd w:val="clear" w:color="auto" w:fill="D5D5D5"/>
          </w:tcPr>
          <w:p>
            <w:pPr>
              <w:jc w:val="center"/>
              <w:spacing w:after="0"/>
              <w:rPr>
                <w:sz w:val="20"/>
                <w:szCs w:val="20"/>
                <w:color w:val="auto"/>
              </w:rPr>
            </w:pPr>
            <w:r>
              <w:rPr>
                <w:rFonts w:ascii="Times New Roman" w:cs="Times New Roman" w:eastAsia="Times New Roman" w:hAnsi="Times New Roman"/>
                <w:sz w:val="19"/>
                <w:szCs w:val="19"/>
                <w:color w:val="auto"/>
              </w:rPr>
              <w:t>12.0</w:t>
            </w:r>
          </w:p>
        </w:tc>
        <w:tc>
          <w:tcPr>
            <w:tcW w:w="20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26.8</w:t>
            </w:r>
          </w:p>
        </w:tc>
        <w:tc>
          <w:tcPr>
            <w:tcW w:w="22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114.3</w:t>
            </w:r>
          </w:p>
        </w:tc>
        <w:tc>
          <w:tcPr>
            <w:tcW w:w="0" w:type="dxa"/>
            <w:vAlign w:val="bottom"/>
          </w:tcPr>
          <w:p>
            <w:pPr>
              <w:spacing w:after="0"/>
              <w:rPr>
                <w:sz w:val="1"/>
                <w:szCs w:val="1"/>
                <w:color w:val="auto"/>
              </w:rPr>
            </w:pPr>
          </w:p>
        </w:tc>
      </w:tr>
      <w:tr>
        <w:trPr>
          <w:trHeight w:val="213"/>
        </w:trPr>
        <w:tc>
          <w:tcPr>
            <w:tcW w:w="4540" w:type="dxa"/>
            <w:vAlign w:val="bottom"/>
          </w:tcPr>
          <w:p>
            <w:pPr>
              <w:ind w:left="160"/>
              <w:spacing w:after="0" w:line="214" w:lineRule="exact"/>
              <w:rPr>
                <w:sz w:val="20"/>
                <w:szCs w:val="20"/>
                <w:color w:val="auto"/>
              </w:rPr>
            </w:pPr>
            <w:r>
              <w:rPr>
                <w:rFonts w:ascii="Times New Roman" w:cs="Times New Roman" w:eastAsia="Times New Roman" w:hAnsi="Times New Roman"/>
                <w:sz w:val="19"/>
                <w:szCs w:val="19"/>
                <w:color w:val="auto"/>
              </w:rPr>
              <w:t>Backlog intangibles (third quarter fiscal 2024</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rPr>
              <w:t>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7"/>
        </w:trPr>
        <w:tc>
          <w:tcPr>
            <w:tcW w:w="45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acquisition)</w:t>
            </w:r>
          </w:p>
        </w:tc>
        <w:tc>
          <w:tcPr>
            <w:tcW w:w="17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4540" w:type="dxa"/>
            <w:vAlign w:val="bottom"/>
            <w:shd w:val="clear" w:color="auto" w:fill="D5D5D5"/>
          </w:tcPr>
          <w:p>
            <w:pPr>
              <w:ind w:left="160"/>
              <w:spacing w:after="0"/>
              <w:rPr>
                <w:sz w:val="20"/>
                <w:szCs w:val="20"/>
                <w:color w:val="auto"/>
              </w:rPr>
            </w:pPr>
            <w:r>
              <w:rPr>
                <w:rFonts w:ascii="Times New Roman" w:cs="Times New Roman" w:eastAsia="Times New Roman" w:hAnsi="Times New Roman"/>
                <w:sz w:val="19"/>
                <w:szCs w:val="19"/>
                <w:color w:val="auto"/>
              </w:rPr>
              <w:t>Backlog intangibles (first and second quarter fiscal</w:t>
            </w:r>
          </w:p>
        </w:tc>
        <w:tc>
          <w:tcPr>
            <w:tcW w:w="1740" w:type="dxa"/>
            <w:vAlign w:val="bottom"/>
            <w:vMerge w:val="restart"/>
            <w:shd w:val="clear" w:color="auto" w:fill="D5D5D5"/>
          </w:tcPr>
          <w:p>
            <w:pPr>
              <w:jc w:val="center"/>
              <w:spacing w:after="0"/>
              <w:rPr>
                <w:sz w:val="20"/>
                <w:szCs w:val="20"/>
                <w:color w:val="auto"/>
              </w:rPr>
            </w:pPr>
            <w:r>
              <w:rPr>
                <w:rFonts w:ascii="Times New Roman" w:cs="Times New Roman" w:eastAsia="Times New Roman" w:hAnsi="Times New Roman"/>
                <w:sz w:val="19"/>
                <w:szCs w:val="19"/>
                <w:color w:val="auto"/>
              </w:rPr>
              <w:t>0.8</w:t>
            </w:r>
          </w:p>
        </w:tc>
        <w:tc>
          <w:tcPr>
            <w:tcW w:w="60" w:type="dxa"/>
            <w:vAlign w:val="bottom"/>
            <w:shd w:val="clear" w:color="auto" w:fill="D5D5D5"/>
          </w:tcPr>
          <w:p>
            <w:pPr>
              <w:spacing w:after="0"/>
              <w:rPr>
                <w:sz w:val="18"/>
                <w:szCs w:val="18"/>
                <w:color w:val="auto"/>
              </w:rPr>
            </w:pPr>
          </w:p>
        </w:tc>
        <w:tc>
          <w:tcPr>
            <w:tcW w:w="140" w:type="dxa"/>
            <w:vAlign w:val="bottom"/>
            <w:shd w:val="clear" w:color="auto" w:fill="D5D5D5"/>
          </w:tcPr>
          <w:p>
            <w:pPr>
              <w:spacing w:after="0"/>
              <w:rPr>
                <w:sz w:val="18"/>
                <w:szCs w:val="18"/>
                <w:color w:val="auto"/>
              </w:rPr>
            </w:pPr>
          </w:p>
        </w:tc>
        <w:tc>
          <w:tcPr>
            <w:tcW w:w="1580" w:type="dxa"/>
            <w:vAlign w:val="bottom"/>
            <w:vMerge w:val="restart"/>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D5D5D5"/>
          </w:tcPr>
          <w:p>
            <w:pPr>
              <w:spacing w:after="0"/>
              <w:rPr>
                <w:sz w:val="18"/>
                <w:szCs w:val="18"/>
                <w:color w:val="auto"/>
              </w:rPr>
            </w:pPr>
          </w:p>
        </w:tc>
        <w:tc>
          <w:tcPr>
            <w:tcW w:w="160" w:type="dxa"/>
            <w:vAlign w:val="bottom"/>
            <w:shd w:val="clear" w:color="auto" w:fill="D5D5D5"/>
          </w:tcPr>
          <w:p>
            <w:pPr>
              <w:spacing w:after="0"/>
              <w:rPr>
                <w:sz w:val="18"/>
                <w:szCs w:val="18"/>
                <w:color w:val="auto"/>
              </w:rPr>
            </w:pPr>
          </w:p>
        </w:tc>
        <w:tc>
          <w:tcPr>
            <w:tcW w:w="1560" w:type="dxa"/>
            <w:vAlign w:val="bottom"/>
            <w:vMerge w:val="restart"/>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0.5</w:t>
            </w:r>
          </w:p>
        </w:tc>
        <w:tc>
          <w:tcPr>
            <w:tcW w:w="0" w:type="dxa"/>
            <w:vAlign w:val="bottom"/>
          </w:tcPr>
          <w:p>
            <w:pPr>
              <w:spacing w:after="0"/>
              <w:rPr>
                <w:sz w:val="1"/>
                <w:szCs w:val="1"/>
                <w:color w:val="auto"/>
              </w:rPr>
            </w:pPr>
          </w:p>
        </w:tc>
      </w:tr>
      <w:tr>
        <w:trPr>
          <w:trHeight w:val="262"/>
        </w:trPr>
        <w:tc>
          <w:tcPr>
            <w:tcW w:w="4540" w:type="dxa"/>
            <w:vAlign w:val="bottom"/>
            <w:shd w:val="clear" w:color="auto" w:fill="D5D5D5"/>
          </w:tcPr>
          <w:p>
            <w:pPr>
              <w:ind w:left="160"/>
              <w:spacing w:after="0"/>
              <w:rPr>
                <w:sz w:val="20"/>
                <w:szCs w:val="20"/>
                <w:color w:val="auto"/>
              </w:rPr>
            </w:pPr>
            <w:r>
              <w:rPr>
                <w:rFonts w:ascii="Times New Roman" w:cs="Times New Roman" w:eastAsia="Times New Roman" w:hAnsi="Times New Roman"/>
                <w:sz w:val="19"/>
                <w:szCs w:val="19"/>
                <w:color w:val="auto"/>
              </w:rPr>
              <w:t>2025 acquisitions)</w:t>
            </w:r>
          </w:p>
        </w:tc>
        <w:tc>
          <w:tcPr>
            <w:tcW w:w="1740" w:type="dxa"/>
            <w:vAlign w:val="bottom"/>
            <w:vMerge w:val="continue"/>
            <w:shd w:val="clear" w:color="auto" w:fill="D5D5D5"/>
          </w:tcPr>
          <w:p>
            <w:pPr>
              <w:spacing w:after="0"/>
              <w:rPr>
                <w:sz w:val="22"/>
                <w:szCs w:val="22"/>
                <w:color w:val="auto"/>
              </w:rPr>
            </w:pPr>
          </w:p>
        </w:tc>
        <w:tc>
          <w:tcPr>
            <w:tcW w:w="60" w:type="dxa"/>
            <w:vAlign w:val="bottom"/>
            <w:shd w:val="clear" w:color="auto" w:fill="D5D5D5"/>
          </w:tcPr>
          <w:p>
            <w:pPr>
              <w:spacing w:after="0"/>
              <w:rPr>
                <w:sz w:val="22"/>
                <w:szCs w:val="22"/>
                <w:color w:val="auto"/>
              </w:rPr>
            </w:pPr>
          </w:p>
        </w:tc>
        <w:tc>
          <w:tcPr>
            <w:tcW w:w="140" w:type="dxa"/>
            <w:vAlign w:val="bottom"/>
            <w:shd w:val="clear" w:color="auto" w:fill="D5D5D5"/>
          </w:tcPr>
          <w:p>
            <w:pPr>
              <w:spacing w:after="0"/>
              <w:rPr>
                <w:sz w:val="22"/>
                <w:szCs w:val="22"/>
                <w:color w:val="auto"/>
              </w:rPr>
            </w:pPr>
          </w:p>
        </w:tc>
        <w:tc>
          <w:tcPr>
            <w:tcW w:w="1580" w:type="dxa"/>
            <w:vAlign w:val="bottom"/>
            <w:vMerge w:val="continue"/>
            <w:shd w:val="clear" w:color="auto" w:fill="D5D5D5"/>
          </w:tcPr>
          <w:p>
            <w:pPr>
              <w:spacing w:after="0"/>
              <w:rPr>
                <w:sz w:val="22"/>
                <w:szCs w:val="22"/>
                <w:color w:val="auto"/>
              </w:rPr>
            </w:pPr>
          </w:p>
        </w:tc>
        <w:tc>
          <w:tcPr>
            <w:tcW w:w="60" w:type="dxa"/>
            <w:vAlign w:val="bottom"/>
            <w:shd w:val="clear" w:color="auto" w:fill="D5D5D5"/>
          </w:tcPr>
          <w:p>
            <w:pPr>
              <w:spacing w:after="0"/>
              <w:rPr>
                <w:sz w:val="22"/>
                <w:szCs w:val="22"/>
                <w:color w:val="auto"/>
              </w:rPr>
            </w:pPr>
          </w:p>
        </w:tc>
        <w:tc>
          <w:tcPr>
            <w:tcW w:w="160" w:type="dxa"/>
            <w:vAlign w:val="bottom"/>
            <w:shd w:val="clear" w:color="auto" w:fill="D5D5D5"/>
          </w:tcPr>
          <w:p>
            <w:pPr>
              <w:spacing w:after="0"/>
              <w:rPr>
                <w:sz w:val="22"/>
                <w:szCs w:val="22"/>
                <w:color w:val="auto"/>
              </w:rPr>
            </w:pPr>
          </w:p>
        </w:tc>
        <w:tc>
          <w:tcPr>
            <w:tcW w:w="1560" w:type="dxa"/>
            <w:vAlign w:val="bottom"/>
            <w:vMerge w:val="continue"/>
            <w:shd w:val="clear" w:color="auto" w:fill="D5D5D5"/>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160"/>
              <w:spacing w:after="0" w:line="214" w:lineRule="exact"/>
              <w:rPr>
                <w:sz w:val="20"/>
                <w:szCs w:val="20"/>
                <w:color w:val="auto"/>
              </w:rPr>
            </w:pPr>
            <w:r>
              <w:rPr>
                <w:rFonts w:ascii="Times New Roman" w:cs="Times New Roman" w:eastAsia="Times New Roman" w:hAnsi="Times New Roman"/>
                <w:sz w:val="19"/>
                <w:szCs w:val="19"/>
                <w:color w:val="auto"/>
              </w:rPr>
              <w:t>Backlog intangibles (third quarter fiscal 2025</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rPr>
              <w:t>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26.3</w:t>
            </w:r>
          </w:p>
        </w:tc>
        <w:tc>
          <w:tcPr>
            <w:tcW w:w="0" w:type="dxa"/>
            <w:vAlign w:val="bottom"/>
          </w:tcPr>
          <w:p>
            <w:pPr>
              <w:spacing w:after="0"/>
              <w:rPr>
                <w:sz w:val="1"/>
                <w:szCs w:val="1"/>
                <w:color w:val="auto"/>
              </w:rPr>
            </w:pPr>
          </w:p>
        </w:tc>
      </w:tr>
      <w:tr>
        <w:trPr>
          <w:trHeight w:val="257"/>
        </w:trPr>
        <w:tc>
          <w:tcPr>
            <w:tcW w:w="45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acquisition)</w:t>
            </w:r>
          </w:p>
        </w:tc>
        <w:tc>
          <w:tcPr>
            <w:tcW w:w="17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4540" w:type="dxa"/>
            <w:vAlign w:val="bottom"/>
            <w:tcBorders>
              <w:bottom w:val="single" w:sz="8" w:color="D5D5D5"/>
            </w:tcBorders>
            <w:shd w:val="clear" w:color="auto" w:fill="D5D5D5"/>
          </w:tcPr>
          <w:p>
            <w:pPr>
              <w:ind w:left="160"/>
              <w:spacing w:after="0"/>
              <w:rPr>
                <w:sz w:val="20"/>
                <w:szCs w:val="20"/>
                <w:color w:val="auto"/>
              </w:rPr>
            </w:pPr>
            <w:r>
              <w:rPr>
                <w:rFonts w:ascii="Times New Roman" w:cs="Times New Roman" w:eastAsia="Times New Roman" w:hAnsi="Times New Roman"/>
                <w:sz w:val="19"/>
                <w:szCs w:val="19"/>
                <w:color w:val="auto"/>
              </w:rPr>
              <w:t>Trade names</w:t>
            </w:r>
          </w:p>
        </w:tc>
        <w:tc>
          <w:tcPr>
            <w:tcW w:w="1740" w:type="dxa"/>
            <w:vAlign w:val="bottom"/>
            <w:tcBorders>
              <w:bottom w:val="single" w:sz="8" w:color="D5D5D5"/>
            </w:tcBorders>
            <w:shd w:val="clear" w:color="auto" w:fill="D5D5D5"/>
          </w:tcPr>
          <w:p>
            <w:pPr>
              <w:jc w:val="center"/>
              <w:spacing w:after="0"/>
              <w:rPr>
                <w:sz w:val="20"/>
                <w:szCs w:val="20"/>
                <w:color w:val="auto"/>
              </w:rPr>
            </w:pPr>
            <w:r>
              <w:rPr>
                <w:rFonts w:ascii="Times New Roman" w:cs="Times New Roman" w:eastAsia="Times New Roman" w:hAnsi="Times New Roman"/>
                <w:sz w:val="19"/>
                <w:szCs w:val="19"/>
                <w:color w:val="auto"/>
              </w:rPr>
              <w:t>10.0</w:t>
            </w:r>
          </w:p>
        </w:tc>
        <w:tc>
          <w:tcPr>
            <w:tcW w:w="60" w:type="dxa"/>
            <w:vAlign w:val="bottom"/>
            <w:tcBorders>
              <w:bottom w:val="single" w:sz="8" w:color="D5D5D5"/>
            </w:tcBorders>
            <w:shd w:val="clear" w:color="auto" w:fill="D5D5D5"/>
          </w:tcPr>
          <w:p>
            <w:pPr>
              <w:spacing w:after="0"/>
              <w:rPr>
                <w:sz w:val="24"/>
                <w:szCs w:val="24"/>
                <w:color w:val="auto"/>
              </w:rPr>
            </w:pPr>
          </w:p>
        </w:tc>
        <w:tc>
          <w:tcPr>
            <w:tcW w:w="140" w:type="dxa"/>
            <w:vAlign w:val="bottom"/>
            <w:tcBorders>
              <w:bottom w:val="single" w:sz="8" w:color="auto"/>
            </w:tcBorders>
            <w:shd w:val="clear" w:color="auto" w:fill="D5D5D5"/>
          </w:tcPr>
          <w:p>
            <w:pPr>
              <w:spacing w:after="0"/>
              <w:rPr>
                <w:sz w:val="24"/>
                <w:szCs w:val="24"/>
                <w:color w:val="auto"/>
              </w:rPr>
            </w:pPr>
          </w:p>
        </w:tc>
        <w:tc>
          <w:tcPr>
            <w:tcW w:w="15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3.8</w:t>
            </w:r>
          </w:p>
        </w:tc>
        <w:tc>
          <w:tcPr>
            <w:tcW w:w="60" w:type="dxa"/>
            <w:vAlign w:val="bottom"/>
            <w:tcBorders>
              <w:bottom w:val="single" w:sz="8" w:color="D5D5D5"/>
            </w:tcBorders>
            <w:shd w:val="clear" w:color="auto" w:fill="D5D5D5"/>
          </w:tcPr>
          <w:p>
            <w:pPr>
              <w:spacing w:after="0"/>
              <w:rPr>
                <w:sz w:val="24"/>
                <w:szCs w:val="24"/>
                <w:color w:val="auto"/>
              </w:rPr>
            </w:pPr>
          </w:p>
        </w:tc>
        <w:tc>
          <w:tcPr>
            <w:tcW w:w="160" w:type="dxa"/>
            <w:vAlign w:val="bottom"/>
            <w:tcBorders>
              <w:bottom w:val="single" w:sz="8" w:color="auto"/>
            </w:tcBorders>
            <w:shd w:val="clear" w:color="auto" w:fill="D5D5D5"/>
          </w:tcPr>
          <w:p>
            <w:pPr>
              <w:spacing w:after="0"/>
              <w:rPr>
                <w:sz w:val="24"/>
                <w:szCs w:val="24"/>
                <w:color w:val="auto"/>
              </w:rPr>
            </w:pPr>
          </w:p>
        </w:tc>
        <w:tc>
          <w:tcPr>
            <w:tcW w:w="15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1.1</w:t>
            </w: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Times New Roman" w:cs="Times New Roman" w:eastAsia="Times New Roman" w:hAnsi="Times New Roman"/>
                <w:sz w:val="19"/>
                <w:szCs w:val="19"/>
                <w:b w:val="1"/>
                <w:bCs w:val="1"/>
                <w:color w:val="auto"/>
              </w:rPr>
              <w:t>Total intangible assets acquired</w:t>
            </w:r>
          </w:p>
        </w:tc>
        <w:tc>
          <w:tcPr>
            <w:tcW w:w="17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840"/>
          </w:cols>
          <w:pgMar w:left="1000" w:top="89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254000</wp:posOffset>
            </wp:positionV>
            <wp:extent cx="76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3">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254000</wp:posOffset>
            </wp:positionV>
            <wp:extent cx="76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4">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40"/>
          </w:cols>
          <w:pgMar w:left="1000" w:top="897" w:right="1040" w:bottom="0" w:gutter="0" w:footer="0" w:header="0"/>
          <w:type w:val="continuous"/>
        </w:sectPr>
      </w:pPr>
    </w:p>
    <w:bookmarkStart w:id="62" w:name="page63"/>
    <w:bookmarkEnd w:id="62"/>
    <w:p>
      <w:pPr>
        <w:ind w:right="20" w:firstLine="346"/>
        <w:spacing w:after="0" w:line="260"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t>The valuation of intangible assets was determined using the income approach methodology. More specifically, the fair values of the customer relationships and the backlog intangibles were estimated using the multi-period excess earnings method, while the trade name was estimated using the relief-from-royalty method. Significant judgments and assumptions used in estimating management’s cash flow projections included projected revenue growth rates, profit margins, discount rates, customer attrition rates and royalty rates among others. The projected future cash flows are discounted to present value using an appropriate discount rate.</w:t>
      </w:r>
    </w:p>
    <w:p>
      <w:pPr>
        <w:spacing w:after="0" w:line="193" w:lineRule="exact"/>
        <w:rPr>
          <w:sz w:val="20"/>
          <w:szCs w:val="20"/>
          <w:color w:val="auto"/>
        </w:rPr>
      </w:pPr>
    </w:p>
    <w:p>
      <w:pPr>
        <w:ind w:right="240" w:firstLine="346"/>
        <w:spacing w:after="0" w:line="271" w:lineRule="auto"/>
        <w:rPr>
          <w:sz w:val="20"/>
          <w:szCs w:val="20"/>
          <w:color w:val="auto"/>
        </w:rPr>
      </w:pPr>
      <w:r>
        <w:rPr>
          <w:rFonts w:ascii="Times New Roman" w:cs="Times New Roman" w:eastAsia="Times New Roman" w:hAnsi="Times New Roman"/>
          <w:sz w:val="19"/>
          <w:szCs w:val="19"/>
          <w:color w:val="auto"/>
        </w:rPr>
        <w:t>Results of the business acquired are included in the condensed consolidated financial statements from the date of acquisition. The results from the businesses acquired were not considered material to the Company’s condensed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6. Accounts Receivable, Contract Assets, and Contract Liabilities</w:t>
      </w:r>
    </w:p>
    <w:p>
      <w:pPr>
        <w:spacing w:after="0" w:line="250" w:lineRule="exact"/>
        <w:rPr>
          <w:sz w:val="20"/>
          <w:szCs w:val="20"/>
          <w:color w:val="auto"/>
        </w:rPr>
      </w:pPr>
    </w:p>
    <w:p>
      <w:pPr>
        <w:ind w:right="80" w:firstLine="346"/>
        <w:spacing w:after="0" w:line="271" w:lineRule="auto"/>
        <w:rPr>
          <w:sz w:val="20"/>
          <w:szCs w:val="20"/>
          <w:color w:val="auto"/>
        </w:rPr>
      </w:pPr>
      <w:r>
        <w:rPr>
          <w:rFonts w:ascii="Times New Roman" w:cs="Times New Roman" w:eastAsia="Times New Roman" w:hAnsi="Times New Roman"/>
          <w:sz w:val="19"/>
          <w:szCs w:val="19"/>
          <w:color w:val="auto"/>
        </w:rPr>
        <w:t xml:space="preserve">The following provides further details on the balance sheet accounts of accounts receivable, net; contract assets; and contract liabilities. See Note 2, </w:t>
      </w:r>
      <w:r>
        <w:rPr>
          <w:rFonts w:ascii="Times New Roman" w:cs="Times New Roman" w:eastAsia="Times New Roman" w:hAnsi="Times New Roman"/>
          <w:sz w:val="19"/>
          <w:szCs w:val="19"/>
          <w:b w:val="1"/>
          <w:bCs w:val="1"/>
          <w:i w:val="1"/>
          <w:iCs w:val="1"/>
          <w:color w:val="auto"/>
        </w:rPr>
        <w:t>Significant Accounting Policies and Estimates</w:t>
      </w:r>
      <w:r>
        <w:rPr>
          <w:rFonts w:ascii="Times New Roman" w:cs="Times New Roman" w:eastAsia="Times New Roman" w:hAnsi="Times New Roman"/>
          <w:sz w:val="19"/>
          <w:szCs w:val="19"/>
          <w:color w:val="auto"/>
        </w:rPr>
        <w:t>, for further information on our policies related to these balance sheet accounts, as well as our revenue recognition policies.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Accounts Receivable</w:t>
      </w: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Accounts receivable, net, classified as current, consisted of the following (dollars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Borders>
              <w:bottom w:val="single" w:sz="8" w:color="D5D5D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9"/>
                <w:szCs w:val="19"/>
                <w:b w:val="1"/>
                <w:bCs w:val="1"/>
                <w:color w:val="auto"/>
                <w:w w:val="99"/>
              </w:rPr>
              <w:t>January 25, 2025</w:t>
            </w:r>
          </w:p>
        </w:tc>
        <w:tc>
          <w:tcPr>
            <w:tcW w:w="80" w:type="dxa"/>
            <w:vAlign w:val="bottom"/>
            <w:tcBorders>
              <w:bottom w:val="single" w:sz="8" w:color="D5D5D5"/>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9"/>
                <w:szCs w:val="19"/>
                <w:b w:val="1"/>
                <w:bCs w:val="1"/>
                <w:color w:val="auto"/>
              </w:rPr>
              <w:t>January 27, 2024</w:t>
            </w:r>
          </w:p>
        </w:tc>
      </w:tr>
      <w:tr>
        <w:trPr>
          <w:trHeight w:val="269"/>
        </w:trPr>
        <w:tc>
          <w:tcPr>
            <w:tcW w:w="632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Trade accounts receivable</w:t>
            </w:r>
          </w:p>
        </w:tc>
        <w:tc>
          <w:tcPr>
            <w:tcW w:w="1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538,475</w:t>
            </w:r>
          </w:p>
        </w:tc>
        <w:tc>
          <w:tcPr>
            <w:tcW w:w="22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462,034</w:t>
            </w:r>
          </w:p>
        </w:tc>
      </w:tr>
      <w:tr>
        <w:trPr>
          <w:trHeight w:val="282"/>
        </w:trPr>
        <w:tc>
          <w:tcPr>
            <w:tcW w:w="6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Unbilled accounts receivable</w:t>
            </w:r>
          </w:p>
        </w:tc>
        <w:tc>
          <w:tcPr>
            <w:tcW w:w="1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801,423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734,442</w:t>
            </w:r>
          </w:p>
        </w:tc>
      </w:tr>
      <w:tr>
        <w:trPr>
          <w:trHeight w:val="284"/>
        </w:trPr>
        <w:tc>
          <w:tcPr>
            <w:tcW w:w="6320" w:type="dxa"/>
            <w:vAlign w:val="bottom"/>
            <w:tcBorders>
              <w:bottom w:val="single" w:sz="8" w:color="D5D5D5"/>
            </w:tcBorders>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Retainage</w:t>
            </w:r>
          </w:p>
        </w:tc>
        <w:tc>
          <w:tcPr>
            <w:tcW w:w="160" w:type="dxa"/>
            <w:vAlign w:val="bottom"/>
            <w:tcBorders>
              <w:bottom w:val="single" w:sz="8" w:color="auto"/>
            </w:tcBorders>
            <w:shd w:val="clear" w:color="auto" w:fill="D5D5D5"/>
          </w:tcPr>
          <w:p>
            <w:pPr>
              <w:spacing w:after="0"/>
              <w:rPr>
                <w:sz w:val="24"/>
                <w:szCs w:val="24"/>
                <w:color w:val="auto"/>
              </w:rPr>
            </w:pPr>
          </w:p>
        </w:tc>
        <w:tc>
          <w:tcPr>
            <w:tcW w:w="15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34,934</w:t>
            </w:r>
          </w:p>
        </w:tc>
        <w:tc>
          <w:tcPr>
            <w:tcW w:w="80" w:type="dxa"/>
            <w:vAlign w:val="bottom"/>
            <w:tcBorders>
              <w:bottom w:val="single" w:sz="8" w:color="D5D5D5"/>
            </w:tcBorders>
            <w:shd w:val="clear" w:color="auto" w:fill="D5D5D5"/>
          </w:tcPr>
          <w:p>
            <w:pPr>
              <w:spacing w:after="0"/>
              <w:rPr>
                <w:sz w:val="24"/>
                <w:szCs w:val="24"/>
                <w:color w:val="auto"/>
              </w:rPr>
            </w:pPr>
          </w:p>
        </w:tc>
        <w:tc>
          <w:tcPr>
            <w:tcW w:w="140" w:type="dxa"/>
            <w:vAlign w:val="bottom"/>
            <w:tcBorders>
              <w:bottom w:val="single" w:sz="8" w:color="auto"/>
            </w:tcBorders>
            <w:shd w:val="clear" w:color="auto" w:fill="D5D5D5"/>
          </w:tcPr>
          <w:p>
            <w:pPr>
              <w:spacing w:after="0"/>
              <w:rPr>
                <w:sz w:val="24"/>
                <w:szCs w:val="24"/>
                <w:color w:val="auto"/>
              </w:rPr>
            </w:pPr>
          </w:p>
        </w:tc>
        <w:tc>
          <w:tcPr>
            <w:tcW w:w="15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49,556</w:t>
            </w:r>
          </w:p>
        </w:tc>
      </w:tr>
      <w:tr>
        <w:trPr>
          <w:trHeight w:val="272"/>
        </w:trPr>
        <w:tc>
          <w:tcPr>
            <w:tcW w:w="63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Total</w:t>
            </w:r>
          </w:p>
        </w:tc>
        <w:tc>
          <w:tcPr>
            <w:tcW w:w="1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1,374,832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1,246,032</w:t>
            </w:r>
          </w:p>
        </w:tc>
      </w:tr>
      <w:tr>
        <w:trPr>
          <w:trHeight w:val="284"/>
        </w:trPr>
        <w:tc>
          <w:tcPr>
            <w:tcW w:w="6320" w:type="dxa"/>
            <w:vAlign w:val="bottom"/>
            <w:tcBorders>
              <w:bottom w:val="single" w:sz="8" w:color="D5D5D5"/>
            </w:tcBorders>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Less: allowance for credit losses</w:t>
            </w:r>
          </w:p>
        </w:tc>
        <w:tc>
          <w:tcPr>
            <w:tcW w:w="160" w:type="dxa"/>
            <w:vAlign w:val="bottom"/>
            <w:tcBorders>
              <w:bottom w:val="single" w:sz="8" w:color="auto"/>
            </w:tcBorders>
            <w:shd w:val="clear" w:color="auto" w:fill="D5D5D5"/>
          </w:tcPr>
          <w:p>
            <w:pPr>
              <w:spacing w:after="0"/>
              <w:rPr>
                <w:sz w:val="24"/>
                <w:szCs w:val="24"/>
                <w:color w:val="auto"/>
              </w:rPr>
            </w:pPr>
          </w:p>
        </w:tc>
        <w:tc>
          <w:tcPr>
            <w:tcW w:w="15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(1,094)</w:t>
            </w:r>
          </w:p>
        </w:tc>
        <w:tc>
          <w:tcPr>
            <w:tcW w:w="80" w:type="dxa"/>
            <w:vAlign w:val="bottom"/>
            <w:tcBorders>
              <w:bottom w:val="single" w:sz="8" w:color="D5D5D5"/>
            </w:tcBorders>
            <w:shd w:val="clear" w:color="auto" w:fill="D5D5D5"/>
          </w:tcPr>
          <w:p>
            <w:pPr>
              <w:spacing w:after="0"/>
              <w:rPr>
                <w:sz w:val="24"/>
                <w:szCs w:val="24"/>
                <w:color w:val="auto"/>
              </w:rPr>
            </w:pPr>
          </w:p>
        </w:tc>
        <w:tc>
          <w:tcPr>
            <w:tcW w:w="140" w:type="dxa"/>
            <w:vAlign w:val="bottom"/>
            <w:tcBorders>
              <w:bottom w:val="single" w:sz="8" w:color="auto"/>
            </w:tcBorders>
            <w:shd w:val="clear" w:color="auto" w:fill="D5D5D5"/>
          </w:tcPr>
          <w:p>
            <w:pPr>
              <w:spacing w:after="0"/>
              <w:rPr>
                <w:sz w:val="24"/>
                <w:szCs w:val="24"/>
                <w:color w:val="auto"/>
              </w:rPr>
            </w:pPr>
          </w:p>
        </w:tc>
        <w:tc>
          <w:tcPr>
            <w:tcW w:w="15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(2,776)</w:t>
            </w:r>
          </w:p>
        </w:tc>
      </w:tr>
      <w:tr>
        <w:trPr>
          <w:trHeight w:val="250"/>
        </w:trPr>
        <w:tc>
          <w:tcPr>
            <w:tcW w:w="632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Accounts receivable,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1,373,738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1,243,256</w:t>
            </w:r>
          </w:p>
        </w:tc>
      </w:tr>
      <w:tr>
        <w:trPr>
          <w:trHeight w:val="20"/>
        </w:trPr>
        <w:tc>
          <w:tcPr>
            <w:tcW w:w="6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firstLine="346"/>
        <w:spacing w:after="0" w:line="289" w:lineRule="auto"/>
        <w:rPr>
          <w:sz w:val="20"/>
          <w:szCs w:val="20"/>
          <w:color w:val="auto"/>
        </w:rPr>
      </w:pPr>
      <w:r>
        <w:rPr>
          <w:rFonts w:ascii="Times New Roman" w:cs="Times New Roman" w:eastAsia="Times New Roman" w:hAnsi="Times New Roman"/>
          <w:sz w:val="19"/>
          <w:szCs w:val="19"/>
          <w:color w:val="auto"/>
        </w:rPr>
        <w:t>We maintain an allowance for estimated losses on uncollected balances. The allowance for credit losses changed as follows (dollars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Borders>
              <w:bottom w:val="single" w:sz="8" w:color="D5D5D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9"/>
                <w:szCs w:val="19"/>
                <w:b w:val="1"/>
                <w:bCs w:val="1"/>
                <w:color w:val="auto"/>
                <w:w w:val="99"/>
              </w:rPr>
              <w:t>January 25, 2025</w:t>
            </w:r>
          </w:p>
        </w:tc>
        <w:tc>
          <w:tcPr>
            <w:tcW w:w="80" w:type="dxa"/>
            <w:vAlign w:val="bottom"/>
            <w:tcBorders>
              <w:bottom w:val="single" w:sz="8" w:color="D5D5D5"/>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9"/>
                <w:szCs w:val="19"/>
                <w:b w:val="1"/>
                <w:bCs w:val="1"/>
                <w:color w:val="auto"/>
              </w:rPr>
              <w:t>January 27, 2024</w:t>
            </w:r>
          </w:p>
        </w:tc>
      </w:tr>
      <w:tr>
        <w:trPr>
          <w:trHeight w:val="269"/>
        </w:trPr>
        <w:tc>
          <w:tcPr>
            <w:tcW w:w="632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Allowance for credit losses at beginning of period</w:t>
            </w:r>
          </w:p>
        </w:tc>
        <w:tc>
          <w:tcPr>
            <w:tcW w:w="1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2,776</w:t>
            </w:r>
          </w:p>
        </w:tc>
        <w:tc>
          <w:tcPr>
            <w:tcW w:w="22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3,246</w:t>
            </w:r>
          </w:p>
        </w:tc>
      </w:tr>
      <w:tr>
        <w:trPr>
          <w:trHeight w:val="282"/>
        </w:trPr>
        <w:tc>
          <w:tcPr>
            <w:tcW w:w="6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(Recovery of) provision for bad debt</w:t>
            </w:r>
          </w:p>
        </w:tc>
        <w:tc>
          <w:tcPr>
            <w:tcW w:w="1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(1,184)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274</w:t>
            </w:r>
          </w:p>
        </w:tc>
      </w:tr>
      <w:tr>
        <w:trPr>
          <w:trHeight w:val="284"/>
        </w:trPr>
        <w:tc>
          <w:tcPr>
            <w:tcW w:w="6320" w:type="dxa"/>
            <w:vAlign w:val="bottom"/>
            <w:tcBorders>
              <w:bottom w:val="single" w:sz="8" w:color="D5D5D5"/>
            </w:tcBorders>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Amounts charged against the allowance</w:t>
            </w:r>
          </w:p>
        </w:tc>
        <w:tc>
          <w:tcPr>
            <w:tcW w:w="160" w:type="dxa"/>
            <w:vAlign w:val="bottom"/>
            <w:tcBorders>
              <w:bottom w:val="single" w:sz="8" w:color="auto"/>
            </w:tcBorders>
            <w:shd w:val="clear" w:color="auto" w:fill="D5D5D5"/>
          </w:tcPr>
          <w:p>
            <w:pPr>
              <w:spacing w:after="0"/>
              <w:rPr>
                <w:sz w:val="24"/>
                <w:szCs w:val="24"/>
                <w:color w:val="auto"/>
              </w:rPr>
            </w:pPr>
          </w:p>
        </w:tc>
        <w:tc>
          <w:tcPr>
            <w:tcW w:w="15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(498)</w:t>
            </w:r>
          </w:p>
        </w:tc>
        <w:tc>
          <w:tcPr>
            <w:tcW w:w="80" w:type="dxa"/>
            <w:vAlign w:val="bottom"/>
            <w:tcBorders>
              <w:bottom w:val="single" w:sz="8" w:color="D5D5D5"/>
            </w:tcBorders>
            <w:shd w:val="clear" w:color="auto" w:fill="D5D5D5"/>
          </w:tcPr>
          <w:p>
            <w:pPr>
              <w:spacing w:after="0"/>
              <w:rPr>
                <w:sz w:val="24"/>
                <w:szCs w:val="24"/>
                <w:color w:val="auto"/>
              </w:rPr>
            </w:pPr>
          </w:p>
        </w:tc>
        <w:tc>
          <w:tcPr>
            <w:tcW w:w="140" w:type="dxa"/>
            <w:vAlign w:val="bottom"/>
            <w:tcBorders>
              <w:bottom w:val="single" w:sz="8" w:color="auto"/>
            </w:tcBorders>
            <w:shd w:val="clear" w:color="auto" w:fill="D5D5D5"/>
          </w:tcPr>
          <w:p>
            <w:pPr>
              <w:spacing w:after="0"/>
              <w:rPr>
                <w:sz w:val="24"/>
                <w:szCs w:val="24"/>
                <w:color w:val="auto"/>
              </w:rPr>
            </w:pPr>
          </w:p>
        </w:tc>
        <w:tc>
          <w:tcPr>
            <w:tcW w:w="15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(744)</w:t>
            </w:r>
          </w:p>
        </w:tc>
      </w:tr>
      <w:tr>
        <w:trPr>
          <w:trHeight w:val="250"/>
        </w:trPr>
        <w:tc>
          <w:tcPr>
            <w:tcW w:w="6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Allowance for credit losses at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2,776</w:t>
            </w:r>
          </w:p>
        </w:tc>
      </w:tr>
      <w:tr>
        <w:trPr>
          <w:trHeight w:val="20"/>
        </w:trPr>
        <w:tc>
          <w:tcPr>
            <w:tcW w:w="6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Contract Assets and Contract Liabilities</w:t>
      </w: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Net contract (liabilities) assets consisted of the following (dollars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Borders>
              <w:bottom w:val="single" w:sz="8" w:color="D5D5D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9"/>
                <w:szCs w:val="19"/>
                <w:b w:val="1"/>
                <w:bCs w:val="1"/>
                <w:color w:val="auto"/>
                <w:w w:val="99"/>
              </w:rPr>
              <w:t>January 25, 2025</w:t>
            </w:r>
          </w:p>
        </w:tc>
        <w:tc>
          <w:tcPr>
            <w:tcW w:w="80" w:type="dxa"/>
            <w:vAlign w:val="bottom"/>
            <w:tcBorders>
              <w:bottom w:val="single" w:sz="8" w:color="D5D5D5"/>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9"/>
                <w:szCs w:val="19"/>
                <w:b w:val="1"/>
                <w:bCs w:val="1"/>
                <w:color w:val="auto"/>
              </w:rPr>
              <w:t>January 27, 2024</w:t>
            </w:r>
          </w:p>
        </w:tc>
      </w:tr>
      <w:tr>
        <w:trPr>
          <w:trHeight w:val="269"/>
        </w:trPr>
        <w:tc>
          <w:tcPr>
            <w:tcW w:w="632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Contract assets</w:t>
            </w:r>
          </w:p>
        </w:tc>
        <w:tc>
          <w:tcPr>
            <w:tcW w:w="1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63,375</w:t>
            </w:r>
          </w:p>
        </w:tc>
        <w:tc>
          <w:tcPr>
            <w:tcW w:w="22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52,211</w:t>
            </w:r>
          </w:p>
        </w:tc>
      </w:tr>
      <w:tr>
        <w:trPr>
          <w:trHeight w:val="278"/>
        </w:trPr>
        <w:tc>
          <w:tcPr>
            <w:tcW w:w="6320" w:type="dxa"/>
            <w:vAlign w:val="bottom"/>
            <w:tcBorders>
              <w:bottom w:val="single" w:sz="8" w:color="D5D5D5"/>
            </w:tcBorders>
          </w:tcPr>
          <w:p>
            <w:pPr>
              <w:ind w:left="40"/>
              <w:spacing w:after="0"/>
              <w:rPr>
                <w:sz w:val="20"/>
                <w:szCs w:val="20"/>
                <w:color w:val="auto"/>
              </w:rPr>
            </w:pPr>
            <w:r>
              <w:rPr>
                <w:rFonts w:ascii="Times New Roman" w:cs="Times New Roman" w:eastAsia="Times New Roman" w:hAnsi="Times New Roman"/>
                <w:sz w:val="19"/>
                <w:szCs w:val="19"/>
                <w:color w:val="auto"/>
              </w:rPr>
              <w:t>Contract liabilities</w:t>
            </w: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73,548</w:t>
            </w:r>
          </w:p>
        </w:tc>
        <w:tc>
          <w:tcPr>
            <w:tcW w:w="80" w:type="dxa"/>
            <w:vAlign w:val="bottom"/>
            <w:tcBorders>
              <w:bottom w:val="single" w:sz="8" w:color="D5D5D5"/>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39,122</w:t>
            </w:r>
          </w:p>
        </w:tc>
      </w:tr>
      <w:tr>
        <w:trPr>
          <w:trHeight w:val="287"/>
        </w:trPr>
        <w:tc>
          <w:tcPr>
            <w:tcW w:w="6320" w:type="dxa"/>
            <w:vAlign w:val="bottom"/>
            <w:tcBorders>
              <w:bottom w:val="single" w:sz="8" w:color="D5D5D5"/>
            </w:tcBorders>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Contract (liabilities) assets, net</w:t>
            </w:r>
          </w:p>
        </w:tc>
        <w:tc>
          <w:tcPr>
            <w:tcW w:w="1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(10,173)</w:t>
            </w:r>
          </w:p>
        </w:tc>
        <w:tc>
          <w:tcPr>
            <w:tcW w:w="80" w:type="dxa"/>
            <w:vAlign w:val="bottom"/>
            <w:tcBorders>
              <w:bottom w:val="single" w:sz="8" w:color="D5D5D5"/>
            </w:tcBorders>
            <w:shd w:val="clear" w:color="auto" w:fill="D5D5D5"/>
          </w:tcPr>
          <w:p>
            <w:pPr>
              <w:spacing w:after="0"/>
              <w:rPr>
                <w:sz w:val="24"/>
                <w:szCs w:val="24"/>
                <w:color w:val="auto"/>
              </w:rPr>
            </w:pPr>
          </w:p>
        </w:tc>
        <w:tc>
          <w:tcPr>
            <w:tcW w:w="14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13,089</w:t>
            </w:r>
          </w:p>
        </w:tc>
      </w:tr>
    </w:tbl>
    <w:p>
      <w:pPr>
        <w:spacing w:after="0" w:line="276" w:lineRule="exact"/>
        <w:rPr>
          <w:sz w:val="20"/>
          <w:szCs w:val="20"/>
          <w:color w:val="auto"/>
        </w:rPr>
      </w:pPr>
    </w:p>
    <w:p>
      <w:pPr>
        <w:ind w:right="20" w:firstLine="346"/>
        <w:spacing w:after="0" w:line="265" w:lineRule="auto"/>
        <w:rPr>
          <w:sz w:val="20"/>
          <w:szCs w:val="20"/>
          <w:color w:val="auto"/>
        </w:rPr>
      </w:pPr>
      <w:r>
        <w:rPr>
          <w:rFonts w:ascii="Times New Roman" w:cs="Times New Roman" w:eastAsia="Times New Roman" w:hAnsi="Times New Roman"/>
          <w:sz w:val="19"/>
          <w:szCs w:val="19"/>
          <w:color w:val="auto"/>
        </w:rPr>
        <w:t xml:space="preserve">The change in contract assets (liabilities), net, in fiscal 2025 from fiscal 2024 primarily resulted from increased billings, net of payments made, under contracts consisting of multiple tasks and the addition of balances from acquired companies. During fiscal 2025, we performed services and recognized $18.5 million of contract revenues related to contract liabilities that existed at January 27, 2024. See Note 7, </w:t>
      </w:r>
      <w:r>
        <w:rPr>
          <w:rFonts w:ascii="Times New Roman" w:cs="Times New Roman" w:eastAsia="Times New Roman" w:hAnsi="Times New Roman"/>
          <w:sz w:val="19"/>
          <w:szCs w:val="19"/>
          <w:b w:val="1"/>
          <w:bCs w:val="1"/>
          <w:i w:val="1"/>
          <w:iCs w:val="1"/>
          <w:color w:val="auto"/>
        </w:rPr>
        <w:t>Other Current Assets and Other Assets</w:t>
      </w:r>
      <w:r>
        <w:rPr>
          <w:rFonts w:ascii="Times New Roman" w:cs="Times New Roman" w:eastAsia="Times New Roman" w:hAnsi="Times New Roman"/>
          <w:sz w:val="19"/>
          <w:szCs w:val="19"/>
          <w:color w:val="auto"/>
        </w:rPr>
        <w:t>, for information on our long-term contract assets.</w:t>
      </w:r>
    </w:p>
    <w:p>
      <w:pPr>
        <w:sectPr>
          <w:pgSz w:w="11880" w:h="15480" w:orient="portrait"/>
          <w:cols w:equalWidth="0" w:num="1">
            <w:col w:w="9840"/>
          </w:cols>
          <w:pgMar w:left="1000" w:top="89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254000</wp:posOffset>
            </wp:positionV>
            <wp:extent cx="76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7">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254000</wp:posOffset>
            </wp:positionV>
            <wp:extent cx="76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8">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40"/>
          </w:cols>
          <w:pgMar w:left="1000" w:top="897" w:right="1040" w:bottom="0" w:gutter="0" w:footer="0" w:header="0"/>
          <w:type w:val="continuous"/>
        </w:sectPr>
      </w:pPr>
    </w:p>
    <w:bookmarkStart w:id="63" w:name="page64"/>
    <w:bookmarkEnd w:id="63"/>
    <w:p>
      <w:pPr>
        <w:ind w:left="34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t>Customer Credit Concentration</w:t>
      </w: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We have two customers whose combined amounts of accounts receivable and contract assets (liabilities), net exceeded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 of total combined accounts receivable and contract assets (liabilities), net. The combined amounts of accounts receivable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contract assets (liabilities), net, for Lumen Technologies were $287.1 million, or 21.1%, and $345.0 million, or 27.4%, as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January 25, 2025 and January 27, 2024, respectively, and Charter Communications were $158.9 million or 11.7%, and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$108.2 million, or 8.6%, as of January 25, 2025 and January 27, 2024, respectively, of the total combined accounts receivable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contract assets (liabilities), net. No other customer had combined amounts of accounts receivable and contract assets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(liabilities), net, which exceeded 10% of total combined accounts receivable and contract assets (liabilities), net as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January 25, 2025 or January 27, 2024. We believe that none of the customers above were experiencing financial difficulties that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would materially impact the collectability of our total accounts receivable and contract assets (liabilities), net, as of January 25,</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2025 or January 27, 2024.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680" w:type="dxa"/>
            <w:vAlign w:val="bottom"/>
          </w:tcPr>
          <w:p>
            <w:pPr>
              <w:spacing w:after="0"/>
              <w:rPr>
                <w:sz w:val="20"/>
                <w:szCs w:val="20"/>
                <w:color w:val="auto"/>
              </w:rPr>
            </w:pPr>
            <w:r>
              <w:rPr>
                <w:rFonts w:ascii="Times New Roman" w:cs="Times New Roman" w:eastAsia="Times New Roman" w:hAnsi="Times New Roman"/>
                <w:sz w:val="19"/>
                <w:szCs w:val="19"/>
                <w:b w:val="1"/>
                <w:bCs w:val="1"/>
                <w:i w:val="1"/>
                <w:iCs w:val="1"/>
                <w:color w:val="auto"/>
              </w:rPr>
              <w:t>7. Other Current Assets and Other Assets</w:t>
            </w: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64"/>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Other current assets consisted of the following (dollars in thousands):</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2"/>
        </w:trPr>
        <w:tc>
          <w:tcPr>
            <w:tcW w:w="6680" w:type="dxa"/>
            <w:vAlign w:val="bottom"/>
            <w:tcBorders>
              <w:bottom w:val="single" w:sz="8" w:color="D5D5D5"/>
            </w:tcBorders>
          </w:tcPr>
          <w:p>
            <w:pPr>
              <w:spacing w:after="0"/>
              <w:rPr>
                <w:sz w:val="24"/>
                <w:szCs w:val="24"/>
                <w:color w:val="auto"/>
              </w:rPr>
            </w:pPr>
          </w:p>
        </w:tc>
        <w:tc>
          <w:tcPr>
            <w:tcW w:w="15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80" w:type="dxa"/>
            <w:vAlign w:val="bottom"/>
            <w:tcBorders>
              <w:bottom w:val="single" w:sz="8" w:color="D5D5D5"/>
            </w:tcBorders>
          </w:tcPr>
          <w:p>
            <w:pPr>
              <w:spacing w:after="0"/>
              <w:rPr>
                <w:sz w:val="24"/>
                <w:szCs w:val="24"/>
                <w:color w:val="auto"/>
              </w:rPr>
            </w:pPr>
          </w:p>
        </w:tc>
        <w:tc>
          <w:tcPr>
            <w:tcW w:w="1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January 27, 2024</w:t>
            </w:r>
          </w:p>
        </w:tc>
      </w:tr>
      <w:tr>
        <w:trPr>
          <w:trHeight w:val="269"/>
        </w:trPr>
        <w:tc>
          <w:tcPr>
            <w:tcW w:w="66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Prepaid expenses</w:t>
            </w:r>
          </w:p>
        </w:tc>
        <w:tc>
          <w:tcPr>
            <w:tcW w:w="54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20,688</w:t>
            </w:r>
          </w:p>
        </w:tc>
        <w:tc>
          <w:tcPr>
            <w:tcW w:w="62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20,095</w:t>
            </w:r>
          </w:p>
        </w:tc>
      </w:tr>
      <w:tr>
        <w:trPr>
          <w:trHeight w:val="282"/>
        </w:trPr>
        <w:tc>
          <w:tcPr>
            <w:tcW w:w="6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Deposits and other current assets</w:t>
            </w: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11,332</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20,218</w:t>
            </w:r>
          </w:p>
        </w:tc>
      </w:tr>
      <w:tr>
        <w:trPr>
          <w:trHeight w:val="294"/>
        </w:trPr>
        <w:tc>
          <w:tcPr>
            <w:tcW w:w="66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Restricted cash</w:t>
            </w:r>
          </w:p>
        </w:tc>
        <w:tc>
          <w:tcPr>
            <w:tcW w:w="540" w:type="dxa"/>
            <w:vAlign w:val="bottom"/>
            <w:shd w:val="clear" w:color="auto" w:fill="D5D5D5"/>
          </w:tcPr>
          <w:p>
            <w:pPr>
              <w:spacing w:after="0"/>
              <w:rPr>
                <w:sz w:val="24"/>
                <w:szCs w:val="24"/>
                <w:color w:val="auto"/>
              </w:rPr>
            </w:pPr>
          </w:p>
        </w:tc>
        <w:tc>
          <w:tcPr>
            <w:tcW w:w="10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1,372</w:t>
            </w:r>
          </w:p>
        </w:tc>
        <w:tc>
          <w:tcPr>
            <w:tcW w:w="80" w:type="dxa"/>
            <w:vAlign w:val="bottom"/>
            <w:shd w:val="clear" w:color="auto" w:fill="D5D5D5"/>
          </w:tcPr>
          <w:p>
            <w:pPr>
              <w:spacing w:after="0"/>
              <w:rPr>
                <w:sz w:val="24"/>
                <w:szCs w:val="24"/>
                <w:color w:val="auto"/>
              </w:rPr>
            </w:pPr>
          </w:p>
        </w:tc>
        <w:tc>
          <w:tcPr>
            <w:tcW w:w="540" w:type="dxa"/>
            <w:vAlign w:val="bottom"/>
            <w:shd w:val="clear" w:color="auto" w:fill="D5D5D5"/>
          </w:tcPr>
          <w:p>
            <w:pPr>
              <w:spacing w:after="0"/>
              <w:rPr>
                <w:sz w:val="24"/>
                <w:szCs w:val="24"/>
                <w:color w:val="auto"/>
              </w:rPr>
            </w:pPr>
          </w:p>
        </w:tc>
        <w:tc>
          <w:tcPr>
            <w:tcW w:w="10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1,372</w:t>
            </w:r>
          </w:p>
        </w:tc>
      </w:tr>
      <w:tr>
        <w:trPr>
          <w:trHeight w:val="278"/>
        </w:trPr>
        <w:tc>
          <w:tcPr>
            <w:tcW w:w="6680" w:type="dxa"/>
            <w:vAlign w:val="bottom"/>
            <w:tcBorders>
              <w:bottom w:val="single" w:sz="8" w:color="D5D5D5"/>
            </w:tcBorders>
          </w:tcPr>
          <w:p>
            <w:pPr>
              <w:ind w:left="60"/>
              <w:spacing w:after="0"/>
              <w:rPr>
                <w:sz w:val="20"/>
                <w:szCs w:val="20"/>
                <w:color w:val="auto"/>
              </w:rPr>
            </w:pPr>
            <w:r>
              <w:rPr>
                <w:rFonts w:ascii="Times New Roman" w:cs="Times New Roman" w:eastAsia="Times New Roman" w:hAnsi="Times New Roman"/>
                <w:sz w:val="19"/>
                <w:szCs w:val="19"/>
                <w:color w:val="auto"/>
              </w:rPr>
              <w:t>Receivables on equipment sales</w:t>
            </w: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1,237</w:t>
            </w:r>
          </w:p>
        </w:tc>
        <w:tc>
          <w:tcPr>
            <w:tcW w:w="80" w:type="dxa"/>
            <w:vAlign w:val="bottom"/>
            <w:tcBorders>
              <w:bottom w:val="single" w:sz="8" w:color="D5D5D5"/>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568</w:t>
            </w:r>
          </w:p>
        </w:tc>
      </w:tr>
      <w:tr>
        <w:trPr>
          <w:trHeight w:val="287"/>
        </w:trPr>
        <w:tc>
          <w:tcPr>
            <w:tcW w:w="6680" w:type="dxa"/>
            <w:vAlign w:val="bottom"/>
            <w:shd w:val="clear" w:color="auto" w:fill="D5D5D5"/>
          </w:tcPr>
          <w:p>
            <w:pPr>
              <w:ind w:left="260"/>
              <w:spacing w:after="0"/>
              <w:rPr>
                <w:sz w:val="20"/>
                <w:szCs w:val="20"/>
                <w:color w:val="auto"/>
              </w:rPr>
            </w:pPr>
            <w:r>
              <w:rPr>
                <w:rFonts w:ascii="Times New Roman" w:cs="Times New Roman" w:eastAsia="Times New Roman" w:hAnsi="Times New Roman"/>
                <w:sz w:val="19"/>
                <w:szCs w:val="19"/>
                <w:color w:val="auto"/>
              </w:rPr>
              <w:t>Other current assets</w:t>
            </w:r>
          </w:p>
        </w:tc>
        <w:tc>
          <w:tcPr>
            <w:tcW w:w="54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34,629</w:t>
            </w:r>
          </w:p>
        </w:tc>
        <w:tc>
          <w:tcPr>
            <w:tcW w:w="62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42,253</w:t>
            </w:r>
          </w:p>
        </w:tc>
      </w:tr>
      <w:tr>
        <w:trPr>
          <w:trHeight w:val="527"/>
        </w:trPr>
        <w:tc>
          <w:tcPr>
            <w:tcW w:w="6680" w:type="dxa"/>
            <w:vAlign w:val="bottom"/>
            <w:tcBorders>
              <w:top w:val="single" w:sz="8" w:color="D5D5D5"/>
            </w:tcBorders>
          </w:tcPr>
          <w:p>
            <w:pPr>
              <w:ind w:left="340"/>
              <w:spacing w:after="0"/>
              <w:rPr>
                <w:sz w:val="20"/>
                <w:szCs w:val="20"/>
                <w:color w:val="auto"/>
              </w:rPr>
            </w:pPr>
            <w:r>
              <w:rPr>
                <w:rFonts w:ascii="Times New Roman" w:cs="Times New Roman" w:eastAsia="Times New Roman" w:hAnsi="Times New Roman"/>
                <w:sz w:val="19"/>
                <w:szCs w:val="19"/>
                <w:color w:val="auto"/>
              </w:rPr>
              <w:t>Other assets consisted of the following (dollars in thousands):</w:t>
            </w:r>
          </w:p>
        </w:tc>
        <w:tc>
          <w:tcPr>
            <w:tcW w:w="5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D5D5D5"/>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312"/>
        </w:trPr>
        <w:tc>
          <w:tcPr>
            <w:tcW w:w="6680" w:type="dxa"/>
            <w:vAlign w:val="bottom"/>
            <w:tcBorders>
              <w:bottom w:val="single" w:sz="8" w:color="D5D5D5"/>
            </w:tcBorders>
          </w:tcPr>
          <w:p>
            <w:pPr>
              <w:spacing w:after="0"/>
              <w:rPr>
                <w:sz w:val="24"/>
                <w:szCs w:val="24"/>
                <w:color w:val="auto"/>
              </w:rPr>
            </w:pPr>
          </w:p>
        </w:tc>
        <w:tc>
          <w:tcPr>
            <w:tcW w:w="15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80" w:type="dxa"/>
            <w:vAlign w:val="bottom"/>
            <w:tcBorders>
              <w:bottom w:val="single" w:sz="8" w:color="D5D5D5"/>
            </w:tcBorders>
          </w:tcPr>
          <w:p>
            <w:pPr>
              <w:spacing w:after="0"/>
              <w:rPr>
                <w:sz w:val="24"/>
                <w:szCs w:val="24"/>
                <w:color w:val="auto"/>
              </w:rPr>
            </w:pPr>
          </w:p>
        </w:tc>
        <w:tc>
          <w:tcPr>
            <w:tcW w:w="1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January 27, 2024</w:t>
            </w:r>
          </w:p>
        </w:tc>
      </w:tr>
      <w:tr>
        <w:trPr>
          <w:trHeight w:val="269"/>
        </w:trPr>
        <w:tc>
          <w:tcPr>
            <w:tcW w:w="66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Deferred financing costs</w:t>
            </w:r>
          </w:p>
        </w:tc>
        <w:tc>
          <w:tcPr>
            <w:tcW w:w="54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4,945</w:t>
            </w:r>
          </w:p>
        </w:tc>
        <w:tc>
          <w:tcPr>
            <w:tcW w:w="62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2,544</w:t>
            </w:r>
          </w:p>
        </w:tc>
      </w:tr>
      <w:tr>
        <w:trPr>
          <w:trHeight w:val="282"/>
        </w:trPr>
        <w:tc>
          <w:tcPr>
            <w:tcW w:w="6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Insurance recoveries/receivables for accrued insurance claims</w:t>
            </w: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3,343</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4,760</w:t>
            </w:r>
          </w:p>
        </w:tc>
      </w:tr>
      <w:tr>
        <w:trPr>
          <w:trHeight w:val="294"/>
        </w:trPr>
        <w:tc>
          <w:tcPr>
            <w:tcW w:w="66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Restricted cash</w:t>
            </w:r>
          </w:p>
        </w:tc>
        <w:tc>
          <w:tcPr>
            <w:tcW w:w="540" w:type="dxa"/>
            <w:vAlign w:val="bottom"/>
            <w:shd w:val="clear" w:color="auto" w:fill="D5D5D5"/>
          </w:tcPr>
          <w:p>
            <w:pPr>
              <w:spacing w:after="0"/>
              <w:rPr>
                <w:sz w:val="24"/>
                <w:szCs w:val="24"/>
                <w:color w:val="auto"/>
              </w:rPr>
            </w:pPr>
          </w:p>
        </w:tc>
        <w:tc>
          <w:tcPr>
            <w:tcW w:w="10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432</w:t>
            </w:r>
          </w:p>
        </w:tc>
        <w:tc>
          <w:tcPr>
            <w:tcW w:w="80" w:type="dxa"/>
            <w:vAlign w:val="bottom"/>
            <w:shd w:val="clear" w:color="auto" w:fill="D5D5D5"/>
          </w:tcPr>
          <w:p>
            <w:pPr>
              <w:spacing w:after="0"/>
              <w:rPr>
                <w:sz w:val="24"/>
                <w:szCs w:val="24"/>
                <w:color w:val="auto"/>
              </w:rPr>
            </w:pPr>
          </w:p>
        </w:tc>
        <w:tc>
          <w:tcPr>
            <w:tcW w:w="540" w:type="dxa"/>
            <w:vAlign w:val="bottom"/>
            <w:shd w:val="clear" w:color="auto" w:fill="D5D5D5"/>
          </w:tcPr>
          <w:p>
            <w:pPr>
              <w:spacing w:after="0"/>
              <w:rPr>
                <w:sz w:val="24"/>
                <w:szCs w:val="24"/>
                <w:color w:val="auto"/>
              </w:rPr>
            </w:pPr>
          </w:p>
        </w:tc>
        <w:tc>
          <w:tcPr>
            <w:tcW w:w="10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432</w:t>
            </w:r>
          </w:p>
        </w:tc>
      </w:tr>
      <w:tr>
        <w:trPr>
          <w:trHeight w:val="282"/>
        </w:trPr>
        <w:tc>
          <w:tcPr>
            <w:tcW w:w="6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Long-term contract assets</w:t>
            </w: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2,610</w:t>
            </w:r>
          </w:p>
        </w:tc>
      </w:tr>
      <w:tr>
        <w:trPr>
          <w:trHeight w:val="284"/>
        </w:trPr>
        <w:tc>
          <w:tcPr>
            <w:tcW w:w="6680" w:type="dxa"/>
            <w:vAlign w:val="bottom"/>
            <w:tcBorders>
              <w:bottom w:val="single" w:sz="8" w:color="D5D5D5"/>
            </w:tcBorders>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Other non-current assets</w:t>
            </w:r>
          </w:p>
        </w:tc>
        <w:tc>
          <w:tcPr>
            <w:tcW w:w="540" w:type="dxa"/>
            <w:vAlign w:val="bottom"/>
            <w:tcBorders>
              <w:bottom w:val="single" w:sz="8" w:color="auto"/>
            </w:tcBorders>
            <w:shd w:val="clear" w:color="auto" w:fill="D5D5D5"/>
          </w:tcPr>
          <w:p>
            <w:pPr>
              <w:spacing w:after="0"/>
              <w:rPr>
                <w:sz w:val="24"/>
                <w:szCs w:val="24"/>
                <w:color w:val="auto"/>
              </w:rPr>
            </w:pPr>
          </w:p>
        </w:tc>
        <w:tc>
          <w:tcPr>
            <w:tcW w:w="10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37,869</w:t>
            </w:r>
          </w:p>
        </w:tc>
        <w:tc>
          <w:tcPr>
            <w:tcW w:w="80" w:type="dxa"/>
            <w:vAlign w:val="bottom"/>
            <w:tcBorders>
              <w:bottom w:val="single" w:sz="8" w:color="D5D5D5"/>
            </w:tcBorders>
            <w:shd w:val="clear" w:color="auto" w:fill="D5D5D5"/>
          </w:tcPr>
          <w:p>
            <w:pPr>
              <w:spacing w:after="0"/>
              <w:rPr>
                <w:sz w:val="24"/>
                <w:szCs w:val="24"/>
                <w:color w:val="auto"/>
              </w:rPr>
            </w:pPr>
          </w:p>
        </w:tc>
        <w:tc>
          <w:tcPr>
            <w:tcW w:w="540" w:type="dxa"/>
            <w:vAlign w:val="bottom"/>
            <w:tcBorders>
              <w:bottom w:val="single" w:sz="8" w:color="auto"/>
            </w:tcBorders>
            <w:shd w:val="clear" w:color="auto" w:fill="D5D5D5"/>
          </w:tcPr>
          <w:p>
            <w:pPr>
              <w:spacing w:after="0"/>
              <w:rPr>
                <w:sz w:val="24"/>
                <w:szCs w:val="24"/>
                <w:color w:val="auto"/>
              </w:rPr>
            </w:pPr>
          </w:p>
        </w:tc>
        <w:tc>
          <w:tcPr>
            <w:tcW w:w="10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14,301</w:t>
            </w:r>
          </w:p>
        </w:tc>
      </w:tr>
      <w:tr>
        <w:trPr>
          <w:trHeight w:val="250"/>
        </w:trPr>
        <w:tc>
          <w:tcPr>
            <w:tcW w:w="66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Other assets</w:t>
            </w:r>
          </w:p>
        </w:tc>
        <w:tc>
          <w:tcPr>
            <w:tcW w:w="5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46,589</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24,647</w:t>
            </w:r>
          </w:p>
        </w:tc>
      </w:tr>
      <w:tr>
        <w:trPr>
          <w:trHeight w:val="20"/>
        </w:trPr>
        <w:tc>
          <w:tcPr>
            <w:tcW w:w="6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20" w:firstLine="346"/>
        <w:spacing w:after="0" w:line="265" w:lineRule="auto"/>
        <w:rPr>
          <w:sz w:val="20"/>
          <w:szCs w:val="20"/>
          <w:color w:val="auto"/>
        </w:rPr>
      </w:pPr>
      <w:r>
        <w:rPr>
          <w:rFonts w:ascii="Times New Roman" w:cs="Times New Roman" w:eastAsia="Times New Roman" w:hAnsi="Times New Roman"/>
          <w:sz w:val="19"/>
          <w:szCs w:val="19"/>
          <w:color w:val="auto"/>
        </w:rPr>
        <w:t xml:space="preserve">Included in other non-current assets is $29.8 million and $7.2 million as of January 25, 2025 and January 27, 2024, respectively, of capitalized implementation costs associated with cloud computing arrangements that are service contracts. The amortization of these costs are included in general and administrative expense. See Note 11, </w:t>
      </w:r>
      <w:r>
        <w:rPr>
          <w:rFonts w:ascii="Times New Roman" w:cs="Times New Roman" w:eastAsia="Times New Roman" w:hAnsi="Times New Roman"/>
          <w:sz w:val="19"/>
          <w:szCs w:val="19"/>
          <w:b w:val="1"/>
          <w:bCs w:val="1"/>
          <w:i w:val="1"/>
          <w:iCs w:val="1"/>
          <w:color w:val="auto"/>
        </w:rPr>
        <w:t>Accrued Insurance Claims</w:t>
      </w:r>
      <w:r>
        <w:rPr>
          <w:rFonts w:ascii="Times New Roman" w:cs="Times New Roman" w:eastAsia="Times New Roman" w:hAnsi="Times New Roman"/>
          <w:sz w:val="19"/>
          <w:szCs w:val="19"/>
          <w:color w:val="auto"/>
        </w:rPr>
        <w:t>, for information on our Insurance recoveries/receivables.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8. Cash and Equivalents and Restricted Cash</w:t>
      </w:r>
    </w:p>
    <w:p>
      <w:pPr>
        <w:spacing w:after="0" w:line="250" w:lineRule="exact"/>
        <w:rPr>
          <w:sz w:val="20"/>
          <w:szCs w:val="20"/>
          <w:color w:val="auto"/>
        </w:rPr>
      </w:pPr>
    </w:p>
    <w:p>
      <w:pPr>
        <w:ind w:right="80" w:firstLine="346"/>
        <w:spacing w:after="0" w:line="289" w:lineRule="auto"/>
        <w:rPr>
          <w:sz w:val="20"/>
          <w:szCs w:val="20"/>
          <w:color w:val="auto"/>
        </w:rPr>
      </w:pPr>
      <w:r>
        <w:rPr>
          <w:rFonts w:ascii="Times New Roman" w:cs="Times New Roman" w:eastAsia="Times New Roman" w:hAnsi="Times New Roman"/>
          <w:sz w:val="19"/>
          <w:szCs w:val="19"/>
          <w:color w:val="auto"/>
        </w:rPr>
        <w:t>Amounts of cash, cash equivalents and restricted cash reported in the consolidated statement of cash flows consisted of the following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680" w:type="dxa"/>
            <w:vAlign w:val="bottom"/>
            <w:tcBorders>
              <w:bottom w:val="single" w:sz="8" w:color="D5D5D5"/>
            </w:tcBorders>
          </w:tcPr>
          <w:p>
            <w:pPr>
              <w:spacing w:after="0"/>
              <w:rPr>
                <w:sz w:val="23"/>
                <w:szCs w:val="23"/>
                <w:color w:val="auto"/>
              </w:rPr>
            </w:pPr>
          </w:p>
        </w:tc>
        <w:tc>
          <w:tcPr>
            <w:tcW w:w="15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60" w:type="dxa"/>
            <w:vAlign w:val="bottom"/>
            <w:tcBorders>
              <w:bottom w:val="single" w:sz="8" w:color="D5D5D5"/>
            </w:tcBorders>
          </w:tcPr>
          <w:p>
            <w:pPr>
              <w:spacing w:after="0"/>
              <w:rPr>
                <w:sz w:val="23"/>
                <w:szCs w:val="23"/>
                <w:color w:val="auto"/>
              </w:rPr>
            </w:pPr>
          </w:p>
        </w:tc>
        <w:tc>
          <w:tcPr>
            <w:tcW w:w="15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9"/>
                <w:szCs w:val="19"/>
                <w:b w:val="1"/>
                <w:bCs w:val="1"/>
                <w:color w:val="auto"/>
              </w:rPr>
              <w:t>January 27, 2024</w:t>
            </w:r>
          </w:p>
        </w:tc>
      </w:tr>
      <w:tr>
        <w:trPr>
          <w:trHeight w:val="269"/>
        </w:trPr>
        <w:tc>
          <w:tcPr>
            <w:tcW w:w="668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Cash and equivalents</w:t>
            </w:r>
          </w:p>
        </w:tc>
        <w:tc>
          <w:tcPr>
            <w:tcW w:w="56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92,670</w:t>
            </w:r>
          </w:p>
        </w:tc>
        <w:tc>
          <w:tcPr>
            <w:tcW w:w="56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101,086</w:t>
            </w:r>
          </w:p>
        </w:tc>
      </w:tr>
      <w:tr>
        <w:trPr>
          <w:trHeight w:val="282"/>
        </w:trPr>
        <w:tc>
          <w:tcPr>
            <w:tcW w:w="66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Restricted cash included in:</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4"/>
        </w:trPr>
        <w:tc>
          <w:tcPr>
            <w:tcW w:w="668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Other current assets</w:t>
            </w:r>
          </w:p>
        </w:tc>
        <w:tc>
          <w:tcPr>
            <w:tcW w:w="560" w:type="dxa"/>
            <w:vAlign w:val="bottom"/>
            <w:shd w:val="clear" w:color="auto" w:fill="D5D5D5"/>
          </w:tcPr>
          <w:p>
            <w:pPr>
              <w:spacing w:after="0"/>
              <w:rPr>
                <w:sz w:val="24"/>
                <w:szCs w:val="24"/>
                <w:color w:val="auto"/>
              </w:rPr>
            </w:pPr>
          </w:p>
        </w:tc>
        <w:tc>
          <w:tcPr>
            <w:tcW w:w="10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1,372</w:t>
            </w:r>
          </w:p>
        </w:tc>
        <w:tc>
          <w:tcPr>
            <w:tcW w:w="60" w:type="dxa"/>
            <w:vAlign w:val="bottom"/>
            <w:shd w:val="clear" w:color="auto" w:fill="D5D5D5"/>
          </w:tcPr>
          <w:p>
            <w:pPr>
              <w:spacing w:after="0"/>
              <w:rPr>
                <w:sz w:val="24"/>
                <w:szCs w:val="24"/>
                <w:color w:val="auto"/>
              </w:rPr>
            </w:pPr>
          </w:p>
        </w:tc>
        <w:tc>
          <w:tcPr>
            <w:tcW w:w="500" w:type="dxa"/>
            <w:vAlign w:val="bottom"/>
            <w:shd w:val="clear" w:color="auto" w:fill="D5D5D5"/>
          </w:tcPr>
          <w:p>
            <w:pPr>
              <w:spacing w:after="0"/>
              <w:rPr>
                <w:sz w:val="24"/>
                <w:szCs w:val="24"/>
                <w:color w:val="auto"/>
              </w:rPr>
            </w:pPr>
          </w:p>
        </w:tc>
        <w:tc>
          <w:tcPr>
            <w:tcW w:w="10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1,372</w:t>
            </w:r>
          </w:p>
        </w:tc>
      </w:tr>
      <w:tr>
        <w:trPr>
          <w:trHeight w:val="278"/>
        </w:trPr>
        <w:tc>
          <w:tcPr>
            <w:tcW w:w="6680" w:type="dxa"/>
            <w:vAlign w:val="bottom"/>
            <w:tcBorders>
              <w:bottom w:val="single" w:sz="8" w:color="D5D5D5"/>
            </w:tcBorders>
          </w:tcPr>
          <w:p>
            <w:pPr>
              <w:ind w:left="180"/>
              <w:spacing w:after="0"/>
              <w:rPr>
                <w:sz w:val="20"/>
                <w:szCs w:val="20"/>
                <w:color w:val="auto"/>
              </w:rPr>
            </w:pPr>
            <w:r>
              <w:rPr>
                <w:rFonts w:ascii="Times New Roman" w:cs="Times New Roman" w:eastAsia="Times New Roman" w:hAnsi="Times New Roman"/>
                <w:sz w:val="19"/>
                <w:szCs w:val="19"/>
                <w:color w:val="auto"/>
              </w:rPr>
              <w:t>Other assets (long-term)</w:t>
            </w: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432</w:t>
            </w:r>
          </w:p>
        </w:tc>
        <w:tc>
          <w:tcPr>
            <w:tcW w:w="60" w:type="dxa"/>
            <w:vAlign w:val="bottom"/>
            <w:tcBorders>
              <w:bottom w:val="single" w:sz="8" w:color="D5D5D5"/>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432</w:t>
            </w:r>
          </w:p>
        </w:tc>
      </w:tr>
      <w:tr>
        <w:trPr>
          <w:trHeight w:val="287"/>
        </w:trPr>
        <w:tc>
          <w:tcPr>
            <w:tcW w:w="6680" w:type="dxa"/>
            <w:vAlign w:val="bottom"/>
            <w:tcBorders>
              <w:bottom w:val="single" w:sz="8" w:color="D5D5D5"/>
            </w:tcBorders>
            <w:shd w:val="clear" w:color="auto" w:fill="D5D5D5"/>
          </w:tcPr>
          <w:p>
            <w:pPr>
              <w:ind w:left="260"/>
              <w:spacing w:after="0"/>
              <w:rPr>
                <w:sz w:val="20"/>
                <w:szCs w:val="20"/>
                <w:color w:val="auto"/>
              </w:rPr>
            </w:pPr>
            <w:r>
              <w:rPr>
                <w:rFonts w:ascii="Times New Roman" w:cs="Times New Roman" w:eastAsia="Times New Roman" w:hAnsi="Times New Roman"/>
                <w:sz w:val="19"/>
                <w:szCs w:val="19"/>
                <w:color w:val="auto"/>
              </w:rPr>
              <w:t>Cash, cash equivalents and restricted cash</w:t>
            </w:r>
          </w:p>
        </w:tc>
        <w:tc>
          <w:tcPr>
            <w:tcW w:w="560" w:type="dxa"/>
            <w:vAlign w:val="bottom"/>
            <w:tcBorders>
              <w:bottom w:val="single" w:sz="8" w:color="auto"/>
            </w:tcBorders>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94,474</w:t>
            </w:r>
          </w:p>
        </w:tc>
        <w:tc>
          <w:tcPr>
            <w:tcW w:w="60" w:type="dxa"/>
            <w:vAlign w:val="bottom"/>
            <w:tcBorders>
              <w:bottom w:val="single" w:sz="8" w:color="D5D5D5"/>
            </w:tcBorders>
            <w:shd w:val="clear" w:color="auto" w:fill="D5D5D5"/>
          </w:tcPr>
          <w:p>
            <w:pPr>
              <w:spacing w:after="0"/>
              <w:rPr>
                <w:sz w:val="24"/>
                <w:szCs w:val="24"/>
                <w:color w:val="auto"/>
              </w:rPr>
            </w:pPr>
          </w:p>
        </w:tc>
        <w:tc>
          <w:tcPr>
            <w:tcW w:w="500" w:type="dxa"/>
            <w:vAlign w:val="bottom"/>
            <w:tcBorders>
              <w:bottom w:val="single" w:sz="8" w:color="auto"/>
            </w:tcBorders>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102,890</w:t>
            </w:r>
          </w:p>
        </w:tc>
      </w:tr>
    </w:tbl>
    <w:p>
      <w:pPr>
        <w:spacing w:after="0" w:line="200" w:lineRule="exact"/>
        <w:rPr>
          <w:sz w:val="20"/>
          <w:szCs w:val="20"/>
          <w:color w:val="auto"/>
        </w:rPr>
      </w:pPr>
    </w:p>
    <w:p>
      <w:pPr>
        <w:sectPr>
          <w:pgSz w:w="11880" w:h="15480" w:orient="portrait"/>
          <w:cols w:equalWidth="0" w:num="1">
            <w:col w:w="9840"/>
          </w:cols>
          <w:pgMar w:left="1000" w:top="89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254000</wp:posOffset>
            </wp:positionV>
            <wp:extent cx="76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1">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254000</wp:posOffset>
            </wp:positionV>
            <wp:extent cx="76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2">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40"/>
          </w:cols>
          <w:pgMar w:left="1000" w:top="891" w:right="1040" w:bottom="0" w:gutter="0" w:footer="0" w:header="0"/>
          <w:type w:val="continuous"/>
        </w:sectPr>
      </w:pPr>
    </w:p>
    <w:bookmarkStart w:id="64" w:name="page65"/>
    <w:bookmarkEnd w:id="64"/>
    <w:tbl>
      <w:tblPr>
        <w:tblLayout w:type="fixed"/>
        <w:tblInd w:w="5" w:type="dxa"/>
        <w:tblCellMar>
          <w:top w:w="0" w:type="dxa"/>
          <w:left w:w="0" w:type="dxa"/>
          <w:bottom w:w="0" w:type="dxa"/>
          <w:right w:w="0" w:type="dxa"/>
        </w:tblCellMar>
      </w:tblPr>
      <w:tr>
        <w:trPr>
          <w:trHeight w:val="256"/>
        </w:trPr>
        <w:tc>
          <w:tcPr>
            <w:tcW w:w="4060" w:type="dxa"/>
            <w:vAlign w:val="bottom"/>
          </w:tcPr>
          <w:p>
            <w:pPr>
              <w:spacing w:after="0"/>
              <w:rPr>
                <w:sz w:val="20"/>
                <w:szCs w:val="20"/>
                <w:color w:val="auto"/>
              </w:rPr>
            </w:pPr>
            <w:r>
              <w:rPr>
                <w:rFonts w:ascii="Times New Roman" w:cs="Times New Roman" w:eastAsia="Times New Roman" w:hAnsi="Times New Roman"/>
                <w:sz w:val="19"/>
                <w:szCs w:val="19"/>
                <w:b w:val="1"/>
                <w:bCs w:val="1"/>
                <w:i w:val="1"/>
                <w:iCs w:val="1"/>
                <w:color w:val="auto"/>
              </w:rPr>
              <w:t>9. Property and Equipment</w:t>
            </w:r>
          </w:p>
        </w:tc>
        <w:tc>
          <w:tcPr>
            <w:tcW w:w="2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4"/>
        </w:trPr>
        <w:tc>
          <w:tcPr>
            <w:tcW w:w="668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Property and equipment consisted of the following (dollars in thousands):</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060" w:type="dxa"/>
            <w:vAlign w:val="bottom"/>
          </w:tcPr>
          <w:p>
            <w:pPr>
              <w:spacing w:after="0"/>
              <w:rPr>
                <w:sz w:val="24"/>
                <w:szCs w:val="24"/>
                <w:color w:val="auto"/>
              </w:rPr>
            </w:pPr>
          </w:p>
        </w:tc>
        <w:tc>
          <w:tcPr>
            <w:tcW w:w="2620" w:type="dxa"/>
            <w:vAlign w:val="bottom"/>
          </w:tcPr>
          <w:p>
            <w:pPr>
              <w:jc w:val="center"/>
              <w:ind w:left="1184"/>
              <w:spacing w:after="0"/>
              <w:rPr>
                <w:sz w:val="20"/>
                <w:szCs w:val="20"/>
                <w:color w:val="auto"/>
              </w:rPr>
            </w:pPr>
            <w:r>
              <w:rPr>
                <w:rFonts w:ascii="Times New Roman" w:cs="Times New Roman" w:eastAsia="Times New Roman" w:hAnsi="Times New Roman"/>
                <w:sz w:val="19"/>
                <w:szCs w:val="19"/>
                <w:b w:val="1"/>
                <w:bCs w:val="1"/>
                <w:color w:val="auto"/>
                <w:w w:val="99"/>
              </w:rPr>
              <w:t>Estimated</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2620" w:type="dxa"/>
            <w:vAlign w:val="bottom"/>
          </w:tcPr>
          <w:p>
            <w:pPr>
              <w:jc w:val="center"/>
              <w:ind w:left="1184"/>
              <w:spacing w:after="0" w:line="192" w:lineRule="exact"/>
              <w:rPr>
                <w:sz w:val="20"/>
                <w:szCs w:val="20"/>
                <w:color w:val="auto"/>
              </w:rPr>
            </w:pPr>
            <w:r>
              <w:rPr>
                <w:rFonts w:ascii="Times New Roman" w:cs="Times New Roman" w:eastAsia="Times New Roman" w:hAnsi="Times New Roman"/>
                <w:sz w:val="19"/>
                <w:szCs w:val="19"/>
                <w:b w:val="1"/>
                <w:bCs w:val="1"/>
                <w:color w:val="auto"/>
              </w:rPr>
              <w:t>Useful Lives</w:t>
            </w: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60" w:type="dxa"/>
            <w:vAlign w:val="bottom"/>
          </w:tcPr>
          <w:p>
            <w:pPr>
              <w:spacing w:after="0"/>
              <w:rPr>
                <w:sz w:val="16"/>
                <w:szCs w:val="16"/>
                <w:color w:val="auto"/>
              </w:rPr>
            </w:pP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9"/>
                <w:szCs w:val="19"/>
                <w:b w:val="1"/>
                <w:bCs w:val="1"/>
                <w:color w:val="auto"/>
              </w:rPr>
              <w:t>January 27, 2024</w:t>
            </w:r>
          </w:p>
        </w:tc>
        <w:tc>
          <w:tcPr>
            <w:tcW w:w="0" w:type="dxa"/>
            <w:vAlign w:val="bottom"/>
          </w:tcPr>
          <w:p>
            <w:pPr>
              <w:spacing w:after="0"/>
              <w:rPr>
                <w:sz w:val="1"/>
                <w:szCs w:val="1"/>
                <w:color w:val="auto"/>
              </w:rPr>
            </w:pPr>
          </w:p>
        </w:tc>
      </w:tr>
      <w:tr>
        <w:trPr>
          <w:trHeight w:val="261"/>
        </w:trPr>
        <w:tc>
          <w:tcPr>
            <w:tcW w:w="4060" w:type="dxa"/>
            <w:vAlign w:val="bottom"/>
            <w:tcBorders>
              <w:bottom w:val="single" w:sz="8" w:color="D5D5D5"/>
            </w:tcBorders>
          </w:tcPr>
          <w:p>
            <w:pPr>
              <w:spacing w:after="0"/>
              <w:rPr>
                <w:sz w:val="22"/>
                <w:szCs w:val="22"/>
                <w:color w:val="auto"/>
              </w:rPr>
            </w:pPr>
          </w:p>
        </w:tc>
        <w:tc>
          <w:tcPr>
            <w:tcW w:w="2620" w:type="dxa"/>
            <w:vAlign w:val="bottom"/>
            <w:tcBorders>
              <w:bottom w:val="single" w:sz="8" w:color="D5D5D5"/>
            </w:tcBorders>
          </w:tcPr>
          <w:p>
            <w:pPr>
              <w:jc w:val="center"/>
              <w:ind w:left="1184"/>
              <w:spacing w:after="0"/>
              <w:rPr>
                <w:sz w:val="20"/>
                <w:szCs w:val="20"/>
                <w:color w:val="auto"/>
              </w:rPr>
            </w:pPr>
            <w:r>
              <w:rPr>
                <w:rFonts w:ascii="Times New Roman" w:cs="Times New Roman" w:eastAsia="Times New Roman" w:hAnsi="Times New Roman"/>
                <w:sz w:val="19"/>
                <w:szCs w:val="19"/>
                <w:b w:val="1"/>
                <w:bCs w:val="1"/>
                <w:color w:val="auto"/>
              </w:rPr>
              <w:t>(Years)</w:t>
            </w:r>
          </w:p>
        </w:tc>
        <w:tc>
          <w:tcPr>
            <w:tcW w:w="154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D5D5D5"/>
            </w:tcBorders>
          </w:tcPr>
          <w:p>
            <w:pPr>
              <w:spacing w:after="0"/>
              <w:rPr>
                <w:sz w:val="22"/>
                <w:szCs w:val="22"/>
                <w:color w:val="auto"/>
              </w:rPr>
            </w:pPr>
          </w:p>
        </w:tc>
        <w:tc>
          <w:tcPr>
            <w:tcW w:w="1540" w:type="dxa"/>
            <w:vAlign w:val="bottom"/>
            <w:tcBorders>
              <w:bottom w:val="single" w:sz="8" w:color="auto"/>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406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Land</w:t>
            </w:r>
          </w:p>
        </w:tc>
        <w:tc>
          <w:tcPr>
            <w:tcW w:w="2620" w:type="dxa"/>
            <w:vAlign w:val="bottom"/>
            <w:shd w:val="clear" w:color="auto" w:fill="D5D5D5"/>
          </w:tcPr>
          <w:p>
            <w:pPr>
              <w:jc w:val="center"/>
              <w:ind w:left="1204"/>
              <w:spacing w:after="0"/>
              <w:rPr>
                <w:sz w:val="20"/>
                <w:szCs w:val="20"/>
                <w:color w:val="auto"/>
              </w:rPr>
            </w:pPr>
            <w:r>
              <w:rPr>
                <w:rFonts w:ascii="Times New Roman" w:cs="Times New Roman" w:eastAsia="Times New Roman" w:hAnsi="Times New Roman"/>
                <w:sz w:val="19"/>
                <w:szCs w:val="19"/>
                <w:color w:val="auto"/>
              </w:rPr>
              <w:t>—</w:t>
            </w:r>
          </w:p>
        </w:tc>
        <w:tc>
          <w:tcPr>
            <w:tcW w:w="38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8,419</w:t>
            </w:r>
          </w:p>
        </w:tc>
        <w:tc>
          <w:tcPr>
            <w:tcW w:w="46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8,419</w:t>
            </w:r>
          </w:p>
        </w:tc>
        <w:tc>
          <w:tcPr>
            <w:tcW w:w="0" w:type="dxa"/>
            <w:vAlign w:val="bottom"/>
          </w:tcPr>
          <w:p>
            <w:pPr>
              <w:spacing w:after="0"/>
              <w:rPr>
                <w:sz w:val="1"/>
                <w:szCs w:val="1"/>
                <w:color w:val="auto"/>
              </w:rPr>
            </w:pPr>
          </w:p>
        </w:tc>
      </w:tr>
      <w:tr>
        <w:trPr>
          <w:trHeight w:val="282"/>
        </w:trPr>
        <w:tc>
          <w:tcPr>
            <w:tcW w:w="40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Buildings</w:t>
            </w:r>
          </w:p>
        </w:tc>
        <w:tc>
          <w:tcPr>
            <w:tcW w:w="2620" w:type="dxa"/>
            <w:vAlign w:val="bottom"/>
          </w:tcPr>
          <w:p>
            <w:pPr>
              <w:jc w:val="center"/>
              <w:ind w:left="1184"/>
              <w:spacing w:after="0"/>
              <w:rPr>
                <w:sz w:val="20"/>
                <w:szCs w:val="20"/>
                <w:color w:val="auto"/>
              </w:rPr>
            </w:pPr>
            <w:r>
              <w:rPr>
                <w:rFonts w:ascii="Times New Roman" w:cs="Times New Roman" w:eastAsia="Times New Roman" w:hAnsi="Times New Roman"/>
                <w:sz w:val="19"/>
                <w:szCs w:val="19"/>
                <w:color w:val="auto"/>
              </w:rPr>
              <w:t>10-35</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19,851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10,399</w:t>
            </w:r>
          </w:p>
        </w:tc>
        <w:tc>
          <w:tcPr>
            <w:tcW w:w="0" w:type="dxa"/>
            <w:vAlign w:val="bottom"/>
          </w:tcPr>
          <w:p>
            <w:pPr>
              <w:spacing w:after="0"/>
              <w:rPr>
                <w:sz w:val="1"/>
                <w:szCs w:val="1"/>
                <w:color w:val="auto"/>
              </w:rPr>
            </w:pPr>
          </w:p>
        </w:tc>
      </w:tr>
      <w:tr>
        <w:trPr>
          <w:trHeight w:val="294"/>
        </w:trPr>
        <w:tc>
          <w:tcPr>
            <w:tcW w:w="406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Leasehold improvements</w:t>
            </w:r>
          </w:p>
        </w:tc>
        <w:tc>
          <w:tcPr>
            <w:tcW w:w="2620" w:type="dxa"/>
            <w:vAlign w:val="bottom"/>
            <w:shd w:val="clear" w:color="auto" w:fill="D5D5D5"/>
          </w:tcPr>
          <w:p>
            <w:pPr>
              <w:jc w:val="center"/>
              <w:ind w:left="1184"/>
              <w:spacing w:after="0"/>
              <w:rPr>
                <w:sz w:val="20"/>
                <w:szCs w:val="20"/>
                <w:color w:val="auto"/>
              </w:rPr>
            </w:pPr>
            <w:r>
              <w:rPr>
                <w:rFonts w:ascii="Times New Roman" w:cs="Times New Roman" w:eastAsia="Times New Roman" w:hAnsi="Times New Roman"/>
                <w:sz w:val="19"/>
                <w:szCs w:val="19"/>
                <w:color w:val="auto"/>
                <w:w w:val="97"/>
              </w:rPr>
              <w:t>1-10</w:t>
            </w:r>
          </w:p>
        </w:tc>
        <w:tc>
          <w:tcPr>
            <w:tcW w:w="380" w:type="dxa"/>
            <w:vAlign w:val="bottom"/>
            <w:shd w:val="clear" w:color="auto" w:fill="D5D5D5"/>
          </w:tcPr>
          <w:p>
            <w:pPr>
              <w:spacing w:after="0"/>
              <w:rPr>
                <w:sz w:val="24"/>
                <w:szCs w:val="24"/>
                <w:color w:val="auto"/>
              </w:rPr>
            </w:pPr>
          </w:p>
        </w:tc>
        <w:tc>
          <w:tcPr>
            <w:tcW w:w="11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27,685</w:t>
            </w:r>
          </w:p>
        </w:tc>
        <w:tc>
          <w:tcPr>
            <w:tcW w:w="60" w:type="dxa"/>
            <w:vAlign w:val="bottom"/>
            <w:shd w:val="clear" w:color="auto" w:fill="D5D5D5"/>
          </w:tcPr>
          <w:p>
            <w:pPr>
              <w:spacing w:after="0"/>
              <w:rPr>
                <w:sz w:val="24"/>
                <w:szCs w:val="24"/>
                <w:color w:val="auto"/>
              </w:rPr>
            </w:pPr>
          </w:p>
        </w:tc>
        <w:tc>
          <w:tcPr>
            <w:tcW w:w="400" w:type="dxa"/>
            <w:vAlign w:val="bottom"/>
            <w:shd w:val="clear" w:color="auto" w:fill="D5D5D5"/>
          </w:tcPr>
          <w:p>
            <w:pPr>
              <w:spacing w:after="0"/>
              <w:rPr>
                <w:sz w:val="24"/>
                <w:szCs w:val="24"/>
                <w:color w:val="auto"/>
              </w:rPr>
            </w:pPr>
          </w:p>
        </w:tc>
        <w:tc>
          <w:tcPr>
            <w:tcW w:w="11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19,188</w:t>
            </w:r>
          </w:p>
        </w:tc>
        <w:tc>
          <w:tcPr>
            <w:tcW w:w="0" w:type="dxa"/>
            <w:vAlign w:val="bottom"/>
          </w:tcPr>
          <w:p>
            <w:pPr>
              <w:spacing w:after="0"/>
              <w:rPr>
                <w:sz w:val="1"/>
                <w:szCs w:val="1"/>
                <w:color w:val="auto"/>
              </w:rPr>
            </w:pPr>
          </w:p>
        </w:tc>
      </w:tr>
      <w:tr>
        <w:trPr>
          <w:trHeight w:val="282"/>
        </w:trPr>
        <w:tc>
          <w:tcPr>
            <w:tcW w:w="40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Vehicles</w:t>
            </w:r>
          </w:p>
        </w:tc>
        <w:tc>
          <w:tcPr>
            <w:tcW w:w="2620" w:type="dxa"/>
            <w:vAlign w:val="bottom"/>
          </w:tcPr>
          <w:p>
            <w:pPr>
              <w:jc w:val="center"/>
              <w:ind w:left="1184"/>
              <w:spacing w:after="0"/>
              <w:rPr>
                <w:sz w:val="20"/>
                <w:szCs w:val="20"/>
                <w:color w:val="auto"/>
              </w:rPr>
            </w:pPr>
            <w:r>
              <w:rPr>
                <w:rFonts w:ascii="Times New Roman" w:cs="Times New Roman" w:eastAsia="Times New Roman" w:hAnsi="Times New Roman"/>
                <w:sz w:val="19"/>
                <w:szCs w:val="19"/>
                <w:color w:val="auto"/>
              </w:rPr>
              <w:t>1-5</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932,209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873,944</w:t>
            </w:r>
          </w:p>
        </w:tc>
        <w:tc>
          <w:tcPr>
            <w:tcW w:w="0" w:type="dxa"/>
            <w:vAlign w:val="bottom"/>
          </w:tcPr>
          <w:p>
            <w:pPr>
              <w:spacing w:after="0"/>
              <w:rPr>
                <w:sz w:val="1"/>
                <w:szCs w:val="1"/>
                <w:color w:val="auto"/>
              </w:rPr>
            </w:pPr>
          </w:p>
        </w:tc>
      </w:tr>
      <w:tr>
        <w:trPr>
          <w:trHeight w:val="294"/>
        </w:trPr>
        <w:tc>
          <w:tcPr>
            <w:tcW w:w="406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Equipment and machinery</w:t>
            </w:r>
          </w:p>
        </w:tc>
        <w:tc>
          <w:tcPr>
            <w:tcW w:w="2620" w:type="dxa"/>
            <w:vAlign w:val="bottom"/>
            <w:shd w:val="clear" w:color="auto" w:fill="D5D5D5"/>
          </w:tcPr>
          <w:p>
            <w:pPr>
              <w:jc w:val="center"/>
              <w:ind w:left="1184"/>
              <w:spacing w:after="0"/>
              <w:rPr>
                <w:sz w:val="20"/>
                <w:szCs w:val="20"/>
                <w:color w:val="auto"/>
              </w:rPr>
            </w:pPr>
            <w:r>
              <w:rPr>
                <w:rFonts w:ascii="Times New Roman" w:cs="Times New Roman" w:eastAsia="Times New Roman" w:hAnsi="Times New Roman"/>
                <w:sz w:val="19"/>
                <w:szCs w:val="19"/>
                <w:color w:val="auto"/>
                <w:w w:val="97"/>
              </w:rPr>
              <w:t>1-10</w:t>
            </w:r>
          </w:p>
        </w:tc>
        <w:tc>
          <w:tcPr>
            <w:tcW w:w="380" w:type="dxa"/>
            <w:vAlign w:val="bottom"/>
            <w:shd w:val="clear" w:color="auto" w:fill="D5D5D5"/>
          </w:tcPr>
          <w:p>
            <w:pPr>
              <w:spacing w:after="0"/>
              <w:rPr>
                <w:sz w:val="24"/>
                <w:szCs w:val="24"/>
                <w:color w:val="auto"/>
              </w:rPr>
            </w:pPr>
          </w:p>
        </w:tc>
        <w:tc>
          <w:tcPr>
            <w:tcW w:w="11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448,368</w:t>
            </w:r>
          </w:p>
        </w:tc>
        <w:tc>
          <w:tcPr>
            <w:tcW w:w="60" w:type="dxa"/>
            <w:vAlign w:val="bottom"/>
            <w:shd w:val="clear" w:color="auto" w:fill="D5D5D5"/>
          </w:tcPr>
          <w:p>
            <w:pPr>
              <w:spacing w:after="0"/>
              <w:rPr>
                <w:sz w:val="24"/>
                <w:szCs w:val="24"/>
                <w:color w:val="auto"/>
              </w:rPr>
            </w:pPr>
          </w:p>
        </w:tc>
        <w:tc>
          <w:tcPr>
            <w:tcW w:w="400" w:type="dxa"/>
            <w:vAlign w:val="bottom"/>
            <w:shd w:val="clear" w:color="auto" w:fill="D5D5D5"/>
          </w:tcPr>
          <w:p>
            <w:pPr>
              <w:spacing w:after="0"/>
              <w:rPr>
                <w:sz w:val="24"/>
                <w:szCs w:val="24"/>
                <w:color w:val="auto"/>
              </w:rPr>
            </w:pPr>
          </w:p>
        </w:tc>
        <w:tc>
          <w:tcPr>
            <w:tcW w:w="11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414,067</w:t>
            </w:r>
          </w:p>
        </w:tc>
        <w:tc>
          <w:tcPr>
            <w:tcW w:w="0" w:type="dxa"/>
            <w:vAlign w:val="bottom"/>
          </w:tcPr>
          <w:p>
            <w:pPr>
              <w:spacing w:after="0"/>
              <w:rPr>
                <w:sz w:val="1"/>
                <w:szCs w:val="1"/>
                <w:color w:val="auto"/>
              </w:rPr>
            </w:pPr>
          </w:p>
        </w:tc>
      </w:tr>
      <w:tr>
        <w:trPr>
          <w:trHeight w:val="282"/>
        </w:trPr>
        <w:tc>
          <w:tcPr>
            <w:tcW w:w="40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Computer hardware and software</w:t>
            </w:r>
          </w:p>
        </w:tc>
        <w:tc>
          <w:tcPr>
            <w:tcW w:w="2620" w:type="dxa"/>
            <w:vAlign w:val="bottom"/>
          </w:tcPr>
          <w:p>
            <w:pPr>
              <w:jc w:val="center"/>
              <w:ind w:left="1184"/>
              <w:spacing w:after="0"/>
              <w:rPr>
                <w:sz w:val="20"/>
                <w:szCs w:val="20"/>
                <w:color w:val="auto"/>
              </w:rPr>
            </w:pPr>
            <w:r>
              <w:rPr>
                <w:rFonts w:ascii="Times New Roman" w:cs="Times New Roman" w:eastAsia="Times New Roman" w:hAnsi="Times New Roman"/>
                <w:sz w:val="19"/>
                <w:szCs w:val="19"/>
                <w:color w:val="auto"/>
              </w:rPr>
              <w:t>1-7</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136,190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138,937</w:t>
            </w:r>
          </w:p>
        </w:tc>
        <w:tc>
          <w:tcPr>
            <w:tcW w:w="0" w:type="dxa"/>
            <w:vAlign w:val="bottom"/>
          </w:tcPr>
          <w:p>
            <w:pPr>
              <w:spacing w:after="0"/>
              <w:rPr>
                <w:sz w:val="1"/>
                <w:szCs w:val="1"/>
                <w:color w:val="auto"/>
              </w:rPr>
            </w:pPr>
          </w:p>
        </w:tc>
      </w:tr>
      <w:tr>
        <w:trPr>
          <w:trHeight w:val="284"/>
        </w:trPr>
        <w:tc>
          <w:tcPr>
            <w:tcW w:w="4060" w:type="dxa"/>
            <w:vAlign w:val="bottom"/>
            <w:tcBorders>
              <w:bottom w:val="single" w:sz="8" w:color="D5D5D5"/>
            </w:tcBorders>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Office furniture and equipment</w:t>
            </w:r>
          </w:p>
        </w:tc>
        <w:tc>
          <w:tcPr>
            <w:tcW w:w="2620" w:type="dxa"/>
            <w:vAlign w:val="bottom"/>
            <w:tcBorders>
              <w:bottom w:val="single" w:sz="8" w:color="D5D5D5"/>
            </w:tcBorders>
            <w:shd w:val="clear" w:color="auto" w:fill="D5D5D5"/>
          </w:tcPr>
          <w:p>
            <w:pPr>
              <w:jc w:val="center"/>
              <w:ind w:left="1184"/>
              <w:spacing w:after="0"/>
              <w:rPr>
                <w:sz w:val="20"/>
                <w:szCs w:val="20"/>
                <w:color w:val="auto"/>
              </w:rPr>
            </w:pPr>
            <w:r>
              <w:rPr>
                <w:rFonts w:ascii="Times New Roman" w:cs="Times New Roman" w:eastAsia="Times New Roman" w:hAnsi="Times New Roman"/>
                <w:sz w:val="19"/>
                <w:szCs w:val="19"/>
                <w:color w:val="auto"/>
                <w:w w:val="97"/>
              </w:rPr>
              <w:t>1-10</w:t>
            </w:r>
          </w:p>
        </w:tc>
        <w:tc>
          <w:tcPr>
            <w:tcW w:w="380" w:type="dxa"/>
            <w:vAlign w:val="bottom"/>
            <w:tcBorders>
              <w:bottom w:val="single" w:sz="8" w:color="auto"/>
            </w:tcBorders>
            <w:shd w:val="clear" w:color="auto" w:fill="D5D5D5"/>
          </w:tcPr>
          <w:p>
            <w:pPr>
              <w:spacing w:after="0"/>
              <w:rPr>
                <w:sz w:val="24"/>
                <w:szCs w:val="24"/>
                <w:color w:val="auto"/>
              </w:rPr>
            </w:pPr>
          </w:p>
        </w:tc>
        <w:tc>
          <w:tcPr>
            <w:tcW w:w="11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12,285</w:t>
            </w:r>
          </w:p>
        </w:tc>
        <w:tc>
          <w:tcPr>
            <w:tcW w:w="60" w:type="dxa"/>
            <w:vAlign w:val="bottom"/>
            <w:tcBorders>
              <w:bottom w:val="single" w:sz="8" w:color="D5D5D5"/>
            </w:tcBorders>
            <w:shd w:val="clear" w:color="auto" w:fill="D5D5D5"/>
          </w:tcPr>
          <w:p>
            <w:pPr>
              <w:spacing w:after="0"/>
              <w:rPr>
                <w:sz w:val="24"/>
                <w:szCs w:val="24"/>
                <w:color w:val="auto"/>
              </w:rPr>
            </w:pPr>
          </w:p>
        </w:tc>
        <w:tc>
          <w:tcPr>
            <w:tcW w:w="400" w:type="dxa"/>
            <w:vAlign w:val="bottom"/>
            <w:tcBorders>
              <w:bottom w:val="single" w:sz="8" w:color="auto"/>
            </w:tcBorders>
            <w:shd w:val="clear" w:color="auto" w:fill="D5D5D5"/>
          </w:tcPr>
          <w:p>
            <w:pPr>
              <w:spacing w:after="0"/>
              <w:rPr>
                <w:sz w:val="24"/>
                <w:szCs w:val="24"/>
                <w:color w:val="auto"/>
              </w:rPr>
            </w:pPr>
          </w:p>
        </w:tc>
        <w:tc>
          <w:tcPr>
            <w:tcW w:w="114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11,927</w:t>
            </w:r>
          </w:p>
        </w:tc>
        <w:tc>
          <w:tcPr>
            <w:tcW w:w="0" w:type="dxa"/>
            <w:vAlign w:val="bottom"/>
          </w:tcPr>
          <w:p>
            <w:pPr>
              <w:spacing w:after="0"/>
              <w:rPr>
                <w:sz w:val="1"/>
                <w:szCs w:val="1"/>
                <w:color w:val="auto"/>
              </w:rPr>
            </w:pPr>
          </w:p>
        </w:tc>
      </w:tr>
      <w:tr>
        <w:trPr>
          <w:trHeight w:val="272"/>
        </w:trPr>
        <w:tc>
          <w:tcPr>
            <w:tcW w:w="40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Total</w:t>
            </w:r>
          </w:p>
        </w:tc>
        <w:tc>
          <w:tcPr>
            <w:tcW w:w="2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1,585,007</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1,476,881</w:t>
            </w:r>
          </w:p>
        </w:tc>
        <w:tc>
          <w:tcPr>
            <w:tcW w:w="0" w:type="dxa"/>
            <w:vAlign w:val="bottom"/>
          </w:tcPr>
          <w:p>
            <w:pPr>
              <w:spacing w:after="0"/>
              <w:rPr>
                <w:sz w:val="1"/>
                <w:szCs w:val="1"/>
                <w:color w:val="auto"/>
              </w:rPr>
            </w:pPr>
          </w:p>
        </w:tc>
      </w:tr>
      <w:tr>
        <w:trPr>
          <w:trHeight w:val="284"/>
        </w:trPr>
        <w:tc>
          <w:tcPr>
            <w:tcW w:w="4060" w:type="dxa"/>
            <w:vAlign w:val="bottom"/>
            <w:tcBorders>
              <w:bottom w:val="single" w:sz="8" w:color="D5D5D5"/>
            </w:tcBorders>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Less: accumulated depreciation</w:t>
            </w:r>
          </w:p>
        </w:tc>
        <w:tc>
          <w:tcPr>
            <w:tcW w:w="2620" w:type="dxa"/>
            <w:vAlign w:val="bottom"/>
            <w:tcBorders>
              <w:bottom w:val="single" w:sz="8" w:color="D5D5D5"/>
            </w:tcBorders>
            <w:shd w:val="clear" w:color="auto" w:fill="D5D5D5"/>
          </w:tcPr>
          <w:p>
            <w:pPr>
              <w:spacing w:after="0"/>
              <w:rPr>
                <w:sz w:val="24"/>
                <w:szCs w:val="24"/>
                <w:color w:val="auto"/>
              </w:rPr>
            </w:pPr>
          </w:p>
        </w:tc>
        <w:tc>
          <w:tcPr>
            <w:tcW w:w="380" w:type="dxa"/>
            <w:vAlign w:val="bottom"/>
            <w:tcBorders>
              <w:bottom w:val="single" w:sz="8" w:color="auto"/>
            </w:tcBorders>
            <w:shd w:val="clear" w:color="auto" w:fill="D5D5D5"/>
          </w:tcPr>
          <w:p>
            <w:pPr>
              <w:spacing w:after="0"/>
              <w:rPr>
                <w:sz w:val="24"/>
                <w:szCs w:val="24"/>
                <w:color w:val="auto"/>
              </w:rPr>
            </w:pPr>
          </w:p>
        </w:tc>
        <w:tc>
          <w:tcPr>
            <w:tcW w:w="11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(1,043,086)</w:t>
            </w:r>
          </w:p>
        </w:tc>
        <w:tc>
          <w:tcPr>
            <w:tcW w:w="60" w:type="dxa"/>
            <w:vAlign w:val="bottom"/>
            <w:tcBorders>
              <w:bottom w:val="single" w:sz="8" w:color="D5D5D5"/>
            </w:tcBorders>
            <w:shd w:val="clear" w:color="auto" w:fill="D5D5D5"/>
          </w:tcPr>
          <w:p>
            <w:pPr>
              <w:spacing w:after="0"/>
              <w:rPr>
                <w:sz w:val="24"/>
                <w:szCs w:val="24"/>
                <w:color w:val="auto"/>
              </w:rPr>
            </w:pPr>
          </w:p>
        </w:tc>
        <w:tc>
          <w:tcPr>
            <w:tcW w:w="400" w:type="dxa"/>
            <w:vAlign w:val="bottom"/>
            <w:tcBorders>
              <w:bottom w:val="single" w:sz="8" w:color="auto"/>
            </w:tcBorders>
            <w:shd w:val="clear" w:color="auto" w:fill="D5D5D5"/>
          </w:tcPr>
          <w:p>
            <w:pPr>
              <w:spacing w:after="0"/>
              <w:rPr>
                <w:sz w:val="24"/>
                <w:szCs w:val="24"/>
                <w:color w:val="auto"/>
              </w:rPr>
            </w:pPr>
          </w:p>
        </w:tc>
        <w:tc>
          <w:tcPr>
            <w:tcW w:w="114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(1,031,972)</w:t>
            </w:r>
          </w:p>
        </w:tc>
        <w:tc>
          <w:tcPr>
            <w:tcW w:w="0" w:type="dxa"/>
            <w:vAlign w:val="bottom"/>
          </w:tcPr>
          <w:p>
            <w:pPr>
              <w:spacing w:after="0"/>
              <w:rPr>
                <w:sz w:val="1"/>
                <w:szCs w:val="1"/>
                <w:color w:val="auto"/>
              </w:rPr>
            </w:pPr>
          </w:p>
        </w:tc>
      </w:tr>
      <w:tr>
        <w:trPr>
          <w:trHeight w:val="250"/>
        </w:trPr>
        <w:tc>
          <w:tcPr>
            <w:tcW w:w="40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Property and equipment, net</w:t>
            </w:r>
          </w:p>
        </w:tc>
        <w:tc>
          <w:tcPr>
            <w:tcW w:w="262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541,921</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444,909</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345"/>
        <w:spacing w:after="0"/>
        <w:rPr>
          <w:sz w:val="20"/>
          <w:szCs w:val="20"/>
          <w:color w:val="auto"/>
        </w:rPr>
      </w:pPr>
      <w:r>
        <w:rPr>
          <w:rFonts w:ascii="Times New Roman" w:cs="Times New Roman" w:eastAsia="Times New Roman" w:hAnsi="Times New Roman"/>
          <w:sz w:val="19"/>
          <w:szCs w:val="19"/>
          <w:color w:val="auto"/>
        </w:rPr>
        <w:t>Depreciation expense and repairs and maintenance expense were as follows (dollars in thousands):</w:t>
      </w:r>
    </w:p>
    <w:p>
      <w:pPr>
        <w:spacing w:after="0" w:line="266" w:lineRule="exact"/>
        <w:rPr>
          <w:sz w:val="20"/>
          <w:szCs w:val="20"/>
          <w:color w:val="auto"/>
        </w:rPr>
      </w:pPr>
    </w:p>
    <w:tbl>
      <w:tblPr>
        <w:tblLayout w:type="fixed"/>
        <w:tblInd w:w="5" w:type="dxa"/>
        <w:tblCellMar>
          <w:top w:w="0" w:type="dxa"/>
          <w:left w:w="0" w:type="dxa"/>
          <w:bottom w:w="0" w:type="dxa"/>
          <w:right w:w="0" w:type="dxa"/>
        </w:tblCellMar>
      </w:tblPr>
      <w:tr>
        <w:trPr>
          <w:trHeight w:val="266"/>
        </w:trPr>
        <w:tc>
          <w:tcPr>
            <w:tcW w:w="500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Fiscal Year Ended</w:t>
            </w:r>
          </w:p>
        </w:tc>
        <w:tc>
          <w:tcPr>
            <w:tcW w:w="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54"/>
        </w:trPr>
        <w:tc>
          <w:tcPr>
            <w:tcW w:w="5000" w:type="dxa"/>
            <w:vAlign w:val="bottom"/>
            <w:tcBorders>
              <w:bottom w:val="single" w:sz="8" w:color="D5D5D5"/>
            </w:tcBorders>
          </w:tcPr>
          <w:p>
            <w:pPr>
              <w:spacing w:after="0"/>
              <w:rPr>
                <w:sz w:val="22"/>
                <w:szCs w:val="22"/>
                <w:color w:val="auto"/>
              </w:rPr>
            </w:pPr>
          </w:p>
        </w:tc>
        <w:tc>
          <w:tcPr>
            <w:tcW w:w="15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80" w:type="dxa"/>
            <w:vAlign w:val="bottom"/>
            <w:tcBorders>
              <w:bottom w:val="single" w:sz="8" w:color="D5D5D5"/>
            </w:tcBorders>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January 27, 2024</w:t>
            </w:r>
          </w:p>
        </w:tc>
        <w:tc>
          <w:tcPr>
            <w:tcW w:w="80" w:type="dxa"/>
            <w:vAlign w:val="bottom"/>
            <w:tcBorders>
              <w:bottom w:val="single" w:sz="8" w:color="D5D5D5"/>
            </w:tcBorders>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January 28, 2023</w:t>
            </w:r>
          </w:p>
        </w:tc>
        <w:tc>
          <w:tcPr>
            <w:tcW w:w="20" w:type="dxa"/>
            <w:vAlign w:val="bottom"/>
            <w:tcBorders>
              <w:bottom w:val="single" w:sz="8" w:color="D5D5D5"/>
            </w:tcBorders>
          </w:tcPr>
          <w:p>
            <w:pPr>
              <w:spacing w:after="0"/>
              <w:rPr>
                <w:sz w:val="22"/>
                <w:szCs w:val="22"/>
                <w:color w:val="auto"/>
              </w:rPr>
            </w:pPr>
          </w:p>
        </w:tc>
      </w:tr>
      <w:tr>
        <w:trPr>
          <w:trHeight w:val="269"/>
        </w:trPr>
        <w:tc>
          <w:tcPr>
            <w:tcW w:w="50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Depreciation expense</w:t>
            </w:r>
          </w:p>
        </w:tc>
        <w:tc>
          <w:tcPr>
            <w:tcW w:w="50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167,203</w:t>
            </w:r>
          </w:p>
        </w:tc>
        <w:tc>
          <w:tcPr>
            <w:tcW w:w="58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143,280</w:t>
            </w:r>
          </w:p>
        </w:tc>
        <w:tc>
          <w:tcPr>
            <w:tcW w:w="56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128,840</w:t>
            </w:r>
          </w:p>
        </w:tc>
        <w:tc>
          <w:tcPr>
            <w:tcW w:w="20" w:type="dxa"/>
            <w:vAlign w:val="bottom"/>
            <w:shd w:val="clear" w:color="auto" w:fill="D5D5D5"/>
          </w:tcPr>
          <w:p>
            <w:pPr>
              <w:spacing w:after="0"/>
              <w:rPr>
                <w:sz w:val="23"/>
                <w:szCs w:val="23"/>
                <w:color w:val="auto"/>
              </w:rPr>
            </w:pPr>
          </w:p>
        </w:tc>
      </w:tr>
      <w:tr>
        <w:trPr>
          <w:trHeight w:val="276"/>
        </w:trPr>
        <w:tc>
          <w:tcPr>
            <w:tcW w:w="50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Repairs and maintenance expense</w:t>
            </w:r>
          </w:p>
        </w:tc>
        <w:tc>
          <w:tcPr>
            <w:tcW w:w="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72,545</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68,006</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62,724</w:t>
            </w:r>
          </w:p>
        </w:tc>
        <w:tc>
          <w:tcPr>
            <w:tcW w:w="20" w:type="dxa"/>
            <w:vAlign w:val="bottom"/>
          </w:tcPr>
          <w:p>
            <w:pPr>
              <w:spacing w:after="0"/>
              <w:rPr>
                <w:sz w:val="23"/>
                <w:szCs w:val="23"/>
                <w:color w:val="auto"/>
              </w:rPr>
            </w:pPr>
          </w:p>
        </w:tc>
      </w:tr>
    </w:tbl>
    <w:p>
      <w:pPr>
        <w:spacing w:after="0" w:line="289" w:lineRule="exact"/>
        <w:rPr>
          <w:sz w:val="20"/>
          <w:szCs w:val="20"/>
          <w:color w:val="auto"/>
        </w:rPr>
      </w:pPr>
    </w:p>
    <w:p>
      <w:pPr>
        <w:ind w:left="345" w:right="7080" w:hanging="345"/>
        <w:spacing w:after="0" w:line="510" w:lineRule="auto"/>
        <w:tabs>
          <w:tab w:leader="none" w:pos="287" w:val="left"/>
        </w:tabs>
        <w:numPr>
          <w:ilvl w:val="0"/>
          <w:numId w:val="15"/>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 xml:space="preserve">Goodwill and Intangible Assets </w:t>
      </w:r>
      <w:r>
        <w:rPr>
          <w:rFonts w:ascii="Times New Roman" w:cs="Times New Roman" w:eastAsia="Times New Roman" w:hAnsi="Times New Roman"/>
          <w:sz w:val="19"/>
          <w:szCs w:val="19"/>
          <w:b w:val="1"/>
          <w:bCs w:val="1"/>
          <w:color w:val="auto"/>
        </w:rPr>
        <w:t>Goodwill</w:t>
      </w:r>
    </w:p>
    <w:p>
      <w:pPr>
        <w:spacing w:after="0" w:line="1" w:lineRule="exact"/>
        <w:rPr>
          <w:sz w:val="20"/>
          <w:szCs w:val="20"/>
          <w:color w:val="auto"/>
        </w:rPr>
      </w:pPr>
    </w:p>
    <w:p>
      <w:pPr>
        <w:ind w:left="5" w:right="220" w:firstLine="345"/>
        <w:spacing w:after="0" w:line="284" w:lineRule="auto"/>
        <w:rPr>
          <w:sz w:val="20"/>
          <w:szCs w:val="20"/>
          <w:color w:val="auto"/>
        </w:rPr>
      </w:pPr>
      <w:r>
        <w:rPr>
          <w:rFonts w:ascii="Times New Roman" w:cs="Times New Roman" w:eastAsia="Times New Roman" w:hAnsi="Times New Roman"/>
          <w:sz w:val="19"/>
          <w:szCs w:val="19"/>
          <w:color w:val="auto"/>
        </w:rPr>
        <w:t>The Company’s goodwill balance was $330.3 million and $312.0 million as of January 25, 2025 and January 27, 2024, respectively. Changes in the carrying amount of goodwill during fiscal 2024 and 2025 were as follows (dollars in thousands):</w:t>
      </w:r>
    </w:p>
    <w:tbl>
      <w:tblPr>
        <w:tblLayout w:type="fixed"/>
        <w:tblInd w:w="5" w:type="dxa"/>
        <w:tblCellMar>
          <w:top w:w="0" w:type="dxa"/>
          <w:left w:w="0" w:type="dxa"/>
          <w:bottom w:w="0" w:type="dxa"/>
          <w:right w:w="0" w:type="dxa"/>
        </w:tblCellMar>
      </w:tblPr>
      <w:tr>
        <w:trPr>
          <w:trHeight w:val="198"/>
        </w:trPr>
        <w:tc>
          <w:tcPr>
            <w:tcW w:w="5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center"/>
              <w:ind w:right="84"/>
              <w:spacing w:after="0" w:line="198" w:lineRule="exact"/>
              <w:rPr>
                <w:sz w:val="20"/>
                <w:szCs w:val="20"/>
                <w:color w:val="auto"/>
              </w:rPr>
            </w:pPr>
            <w:r>
              <w:rPr>
                <w:rFonts w:ascii="Times New Roman" w:cs="Times New Roman" w:eastAsia="Times New Roman" w:hAnsi="Times New Roman"/>
                <w:sz w:val="19"/>
                <w:szCs w:val="19"/>
                <w:b w:val="1"/>
                <w:bCs w:val="1"/>
                <w:color w:val="auto"/>
              </w:rPr>
              <w:t>Accumulated</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vMerge w:val="restart"/>
          </w:tcPr>
          <w:p>
            <w:pPr>
              <w:jc w:val="right"/>
              <w:ind w:right="284"/>
              <w:spacing w:after="0"/>
              <w:rPr>
                <w:sz w:val="20"/>
                <w:szCs w:val="20"/>
                <w:color w:val="auto"/>
              </w:rPr>
            </w:pPr>
            <w:r>
              <w:rPr>
                <w:rFonts w:ascii="Times New Roman" w:cs="Times New Roman" w:eastAsia="Times New Roman" w:hAnsi="Times New Roman"/>
                <w:sz w:val="19"/>
                <w:szCs w:val="19"/>
                <w:b w:val="1"/>
                <w:bCs w:val="1"/>
                <w:color w:val="auto"/>
              </w:rPr>
              <w:t>Goodwill</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84"/>
              <w:spacing w:after="0" w:line="192" w:lineRule="exact"/>
              <w:rPr>
                <w:sz w:val="20"/>
                <w:szCs w:val="20"/>
                <w:color w:val="auto"/>
              </w:rPr>
            </w:pPr>
            <w:r>
              <w:rPr>
                <w:rFonts w:ascii="Times New Roman" w:cs="Times New Roman" w:eastAsia="Times New Roman" w:hAnsi="Times New Roman"/>
                <w:sz w:val="19"/>
                <w:szCs w:val="19"/>
                <w:b w:val="1"/>
                <w:bCs w:val="1"/>
                <w:color w:val="auto"/>
              </w:rPr>
              <w:t>Impairment</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restart"/>
          </w:tcPr>
          <w:p>
            <w:pPr>
              <w:jc w:val="right"/>
              <w:ind w:right="444"/>
              <w:spacing w:after="0"/>
              <w:rPr>
                <w:sz w:val="20"/>
                <w:szCs w:val="20"/>
                <w:color w:val="auto"/>
              </w:rPr>
            </w:pPr>
            <w:r>
              <w:rPr>
                <w:rFonts w:ascii="Times New Roman" w:cs="Times New Roman" w:eastAsia="Times New Roman" w:hAnsi="Times New Roman"/>
                <w:sz w:val="19"/>
                <w:szCs w:val="19"/>
                <w:b w:val="1"/>
                <w:bCs w:val="1"/>
                <w:color w:val="auto"/>
              </w:rPr>
              <w:t>Total</w:t>
            </w:r>
          </w:p>
        </w:tc>
        <w:tc>
          <w:tcPr>
            <w:tcW w:w="0" w:type="dxa"/>
            <w:vAlign w:val="bottom"/>
          </w:tcPr>
          <w:p>
            <w:pPr>
              <w:spacing w:after="0"/>
              <w:rPr>
                <w:sz w:val="1"/>
                <w:szCs w:val="1"/>
                <w:color w:val="auto"/>
              </w:rPr>
            </w:pPr>
          </w:p>
        </w:tc>
      </w:tr>
      <w:tr>
        <w:trPr>
          <w:trHeight w:val="252"/>
        </w:trPr>
        <w:tc>
          <w:tcPr>
            <w:tcW w:w="5100" w:type="dxa"/>
            <w:vAlign w:val="bottom"/>
            <w:tcBorders>
              <w:bottom w:val="single" w:sz="8" w:color="D5D5D5"/>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D5D5D5"/>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9"/>
                <w:szCs w:val="19"/>
                <w:b w:val="1"/>
                <w:bCs w:val="1"/>
                <w:color w:val="auto"/>
              </w:rPr>
              <w:t>Losses</w:t>
            </w:r>
          </w:p>
        </w:tc>
        <w:tc>
          <w:tcPr>
            <w:tcW w:w="60" w:type="dxa"/>
            <w:vAlign w:val="bottom"/>
            <w:tcBorders>
              <w:bottom w:val="single" w:sz="8" w:color="D5D5D5"/>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51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Balance as of January 28, 2023</w:t>
            </w:r>
          </w:p>
        </w:tc>
        <w:tc>
          <w:tcPr>
            <w:tcW w:w="280" w:type="dxa"/>
            <w:vAlign w:val="bottom"/>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521,576</w:t>
            </w:r>
          </w:p>
        </w:tc>
        <w:tc>
          <w:tcPr>
            <w:tcW w:w="260" w:type="dxa"/>
            <w:vAlign w:val="bottom"/>
            <w:gridSpan w:val="2"/>
            <w:shd w:val="clear" w:color="auto" w:fill="D5D5D5"/>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(249,031)</w:t>
            </w:r>
          </w:p>
        </w:tc>
        <w:tc>
          <w:tcPr>
            <w:tcW w:w="420" w:type="dxa"/>
            <w:vAlign w:val="bottom"/>
            <w:gridSpan w:val="2"/>
            <w:shd w:val="clear" w:color="auto" w:fill="D5D5D5"/>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272,545</w:t>
            </w:r>
          </w:p>
        </w:tc>
        <w:tc>
          <w:tcPr>
            <w:tcW w:w="0" w:type="dxa"/>
            <w:vAlign w:val="bottom"/>
          </w:tcPr>
          <w:p>
            <w:pPr>
              <w:spacing w:after="0"/>
              <w:rPr>
                <w:sz w:val="1"/>
                <w:szCs w:val="1"/>
                <w:color w:val="auto"/>
              </w:rPr>
            </w:pPr>
          </w:p>
        </w:tc>
      </w:tr>
      <w:tr>
        <w:trPr>
          <w:trHeight w:val="278"/>
        </w:trPr>
        <w:tc>
          <w:tcPr>
            <w:tcW w:w="5100" w:type="dxa"/>
            <w:vAlign w:val="bottom"/>
            <w:tcBorders>
              <w:bottom w:val="single" w:sz="8" w:color="D5D5D5"/>
            </w:tcBorders>
          </w:tcPr>
          <w:p>
            <w:pPr>
              <w:ind w:left="180"/>
              <w:spacing w:after="0"/>
              <w:rPr>
                <w:sz w:val="20"/>
                <w:szCs w:val="20"/>
                <w:color w:val="auto"/>
              </w:rPr>
            </w:pPr>
            <w:r>
              <w:rPr>
                <w:rFonts w:ascii="Times New Roman" w:cs="Times New Roman" w:eastAsia="Times New Roman" w:hAnsi="Times New Roman"/>
                <w:sz w:val="19"/>
                <w:szCs w:val="19"/>
                <w:color w:val="auto"/>
              </w:rPr>
              <w:t>Goodwill from fiscal 2024 acquisition</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39,446</w:t>
            </w:r>
          </w:p>
        </w:tc>
        <w:tc>
          <w:tcPr>
            <w:tcW w:w="60" w:type="dxa"/>
            <w:vAlign w:val="bottom"/>
            <w:tcBorders>
              <w:bottom w:val="single" w:sz="8" w:color="D5D5D5"/>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D5D5D5"/>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39,446</w:t>
            </w:r>
          </w:p>
        </w:tc>
        <w:tc>
          <w:tcPr>
            <w:tcW w:w="0" w:type="dxa"/>
            <w:vAlign w:val="bottom"/>
          </w:tcPr>
          <w:p>
            <w:pPr>
              <w:spacing w:after="0"/>
              <w:rPr>
                <w:sz w:val="1"/>
                <w:szCs w:val="1"/>
                <w:color w:val="auto"/>
              </w:rPr>
            </w:pPr>
          </w:p>
        </w:tc>
      </w:tr>
      <w:tr>
        <w:trPr>
          <w:trHeight w:val="278"/>
        </w:trPr>
        <w:tc>
          <w:tcPr>
            <w:tcW w:w="51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Balance as of January 27, 2024</w:t>
            </w:r>
          </w:p>
        </w:tc>
        <w:tc>
          <w:tcPr>
            <w:tcW w:w="280" w:type="dxa"/>
            <w:vAlign w:val="bottom"/>
            <w:shd w:val="clear" w:color="auto" w:fill="D5D5D5"/>
          </w:tcPr>
          <w:p>
            <w:pPr>
              <w:spacing w:after="0"/>
              <w:rPr>
                <w:sz w:val="24"/>
                <w:szCs w:val="24"/>
                <w:color w:val="auto"/>
              </w:rPr>
            </w:pPr>
          </w:p>
        </w:tc>
        <w:tc>
          <w:tcPr>
            <w:tcW w:w="12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561,022</w:t>
            </w:r>
          </w:p>
        </w:tc>
        <w:tc>
          <w:tcPr>
            <w:tcW w:w="60" w:type="dxa"/>
            <w:vAlign w:val="bottom"/>
            <w:shd w:val="clear" w:color="auto" w:fill="D5D5D5"/>
          </w:tcPr>
          <w:p>
            <w:pPr>
              <w:spacing w:after="0"/>
              <w:rPr>
                <w:sz w:val="24"/>
                <w:szCs w:val="24"/>
                <w:color w:val="auto"/>
              </w:rPr>
            </w:pPr>
          </w:p>
        </w:tc>
        <w:tc>
          <w:tcPr>
            <w:tcW w:w="200" w:type="dxa"/>
            <w:vAlign w:val="bottom"/>
            <w:shd w:val="clear" w:color="auto" w:fill="D5D5D5"/>
          </w:tcPr>
          <w:p>
            <w:pPr>
              <w:spacing w:after="0"/>
              <w:rPr>
                <w:sz w:val="24"/>
                <w:szCs w:val="24"/>
                <w:color w:val="auto"/>
              </w:rPr>
            </w:pPr>
          </w:p>
        </w:tc>
        <w:tc>
          <w:tcPr>
            <w:tcW w:w="13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(249,031)</w:t>
            </w:r>
          </w:p>
        </w:tc>
        <w:tc>
          <w:tcPr>
            <w:tcW w:w="60" w:type="dxa"/>
            <w:vAlign w:val="bottom"/>
            <w:shd w:val="clear" w:color="auto" w:fill="D5D5D5"/>
          </w:tcPr>
          <w:p>
            <w:pPr>
              <w:spacing w:after="0"/>
              <w:rPr>
                <w:sz w:val="24"/>
                <w:szCs w:val="24"/>
                <w:color w:val="auto"/>
              </w:rPr>
            </w:pPr>
          </w:p>
        </w:tc>
        <w:tc>
          <w:tcPr>
            <w:tcW w:w="360" w:type="dxa"/>
            <w:vAlign w:val="bottom"/>
            <w:shd w:val="clear" w:color="auto" w:fill="D5D5D5"/>
          </w:tcPr>
          <w:p>
            <w:pPr>
              <w:spacing w:after="0"/>
              <w:rPr>
                <w:sz w:val="24"/>
                <w:szCs w:val="24"/>
                <w:color w:val="auto"/>
              </w:rPr>
            </w:pPr>
          </w:p>
        </w:tc>
        <w:tc>
          <w:tcPr>
            <w:tcW w:w="11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311,991</w:t>
            </w:r>
          </w:p>
        </w:tc>
        <w:tc>
          <w:tcPr>
            <w:tcW w:w="0" w:type="dxa"/>
            <w:vAlign w:val="bottom"/>
          </w:tcPr>
          <w:p>
            <w:pPr>
              <w:spacing w:after="0"/>
              <w:rPr>
                <w:sz w:val="1"/>
                <w:szCs w:val="1"/>
                <w:color w:val="auto"/>
              </w:rPr>
            </w:pPr>
          </w:p>
        </w:tc>
      </w:tr>
      <w:tr>
        <w:trPr>
          <w:trHeight w:val="282"/>
        </w:trPr>
        <w:tc>
          <w:tcPr>
            <w:tcW w:w="51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Goodwill adjustment from fiscal 2024 acquisition</w:t>
            </w: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(244)</w:t>
            </w:r>
          </w:p>
        </w:tc>
        <w:tc>
          <w:tcPr>
            <w:tcW w:w="0" w:type="dxa"/>
            <w:vAlign w:val="bottom"/>
          </w:tcPr>
          <w:p>
            <w:pPr>
              <w:spacing w:after="0"/>
              <w:rPr>
                <w:sz w:val="1"/>
                <w:szCs w:val="1"/>
                <w:color w:val="auto"/>
              </w:rPr>
            </w:pPr>
          </w:p>
        </w:tc>
      </w:tr>
      <w:tr>
        <w:trPr>
          <w:trHeight w:val="284"/>
        </w:trPr>
        <w:tc>
          <w:tcPr>
            <w:tcW w:w="5100" w:type="dxa"/>
            <w:vAlign w:val="bottom"/>
            <w:tcBorders>
              <w:bottom w:val="single" w:sz="8" w:color="D5D5D5"/>
            </w:tcBorders>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Goodwill from fiscal 2025 acquisition</w:t>
            </w:r>
          </w:p>
        </w:tc>
        <w:tc>
          <w:tcPr>
            <w:tcW w:w="280" w:type="dxa"/>
            <w:vAlign w:val="bottom"/>
            <w:tcBorders>
              <w:bottom w:val="single" w:sz="8" w:color="auto"/>
            </w:tcBorders>
            <w:shd w:val="clear" w:color="auto" w:fill="D5D5D5"/>
          </w:tcPr>
          <w:p>
            <w:pPr>
              <w:spacing w:after="0"/>
              <w:rPr>
                <w:sz w:val="24"/>
                <w:szCs w:val="24"/>
                <w:color w:val="auto"/>
              </w:rPr>
            </w:pPr>
          </w:p>
        </w:tc>
        <w:tc>
          <w:tcPr>
            <w:tcW w:w="12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18,583</w:t>
            </w:r>
          </w:p>
        </w:tc>
        <w:tc>
          <w:tcPr>
            <w:tcW w:w="60" w:type="dxa"/>
            <w:vAlign w:val="bottom"/>
            <w:tcBorders>
              <w:bottom w:val="single" w:sz="8" w:color="D5D5D5"/>
            </w:tcBorders>
            <w:shd w:val="clear" w:color="auto" w:fill="D5D5D5"/>
          </w:tcPr>
          <w:p>
            <w:pPr>
              <w:spacing w:after="0"/>
              <w:rPr>
                <w:sz w:val="24"/>
                <w:szCs w:val="24"/>
                <w:color w:val="auto"/>
              </w:rPr>
            </w:pPr>
          </w:p>
        </w:tc>
        <w:tc>
          <w:tcPr>
            <w:tcW w:w="200" w:type="dxa"/>
            <w:vAlign w:val="bottom"/>
            <w:tcBorders>
              <w:bottom w:val="single" w:sz="8" w:color="auto"/>
            </w:tcBorders>
            <w:shd w:val="clear" w:color="auto" w:fill="D5D5D5"/>
          </w:tcPr>
          <w:p>
            <w:pPr>
              <w:spacing w:after="0"/>
              <w:rPr>
                <w:sz w:val="24"/>
                <w:szCs w:val="24"/>
                <w:color w:val="auto"/>
              </w:rPr>
            </w:pPr>
          </w:p>
        </w:tc>
        <w:tc>
          <w:tcPr>
            <w:tcW w:w="134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D5D5D5"/>
            </w:tcBorders>
            <w:shd w:val="clear" w:color="auto" w:fill="D5D5D5"/>
          </w:tcPr>
          <w:p>
            <w:pPr>
              <w:spacing w:after="0"/>
              <w:rPr>
                <w:sz w:val="24"/>
                <w:szCs w:val="24"/>
                <w:color w:val="auto"/>
              </w:rPr>
            </w:pPr>
          </w:p>
        </w:tc>
        <w:tc>
          <w:tcPr>
            <w:tcW w:w="360" w:type="dxa"/>
            <w:vAlign w:val="bottom"/>
            <w:tcBorders>
              <w:bottom w:val="single" w:sz="8" w:color="auto"/>
            </w:tcBorders>
            <w:shd w:val="clear" w:color="auto" w:fill="D5D5D5"/>
          </w:tcPr>
          <w:p>
            <w:pPr>
              <w:spacing w:after="0"/>
              <w:rPr>
                <w:sz w:val="24"/>
                <w:szCs w:val="24"/>
                <w:color w:val="auto"/>
              </w:rPr>
            </w:pPr>
          </w:p>
        </w:tc>
        <w:tc>
          <w:tcPr>
            <w:tcW w:w="11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18,583</w:t>
            </w:r>
          </w:p>
        </w:tc>
        <w:tc>
          <w:tcPr>
            <w:tcW w:w="0" w:type="dxa"/>
            <w:vAlign w:val="bottom"/>
          </w:tcPr>
          <w:p>
            <w:pPr>
              <w:spacing w:after="0"/>
              <w:rPr>
                <w:sz w:val="1"/>
                <w:szCs w:val="1"/>
                <w:color w:val="auto"/>
              </w:rPr>
            </w:pPr>
          </w:p>
        </w:tc>
      </w:tr>
      <w:tr>
        <w:trPr>
          <w:trHeight w:val="250"/>
        </w:trPr>
        <w:tc>
          <w:tcPr>
            <w:tcW w:w="51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Balance as of January 25, 2025</w:t>
            </w:r>
          </w:p>
        </w:tc>
        <w:tc>
          <w:tcPr>
            <w:tcW w:w="2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579,361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(249,031)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330,330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 w:right="60" w:firstLine="345"/>
        <w:spacing w:after="0" w:line="256" w:lineRule="auto"/>
        <w:rPr>
          <w:sz w:val="20"/>
          <w:szCs w:val="20"/>
          <w:color w:val="auto"/>
        </w:rPr>
      </w:pPr>
      <w:r>
        <w:rPr>
          <w:rFonts w:ascii="Times New Roman" w:cs="Times New Roman" w:eastAsia="Times New Roman" w:hAnsi="Times New Roman"/>
          <w:sz w:val="19"/>
          <w:szCs w:val="19"/>
          <w:color w:val="auto"/>
        </w:rPr>
        <w:t>The Company’s goodwill resides in multiple reporting units and primarily consists of expected synergies, together with the expansion of our geographic presence and strengthening of our customer base from acquisitions. The profitability of individual reporting units may suffer periodically due to downturns in customer demand, increased costs of providing services, and the level of overall economic activity. Our customers may reduce capital expenditures and defer or cancel pending projects due to changes in technology, a slowing or uncertain economy, merger or acquisition activity, a decision to allocate resources to other areas of their business, or other reasons. The profitability of reporting units may also suffer if actual costs of providing services exceed the costs anticipated when the Company enters into contracts. Additionally, adverse conditions in the economy and future volatility in the equity and credit markets could impact the valuation of our reporting units. The cyclical nature of our business, the high level of competition existing within our industry, and the concentration of our revenues from a limited number of customers may also cause results to vary. These factors may affect individual reporting units disproportionately, relative to the Company as a whole. As a result, the performance of one or more of the reporting units could decline, resulting in an impairment of goodwill or intangible assets.</w:t>
      </w:r>
    </w:p>
    <w:p>
      <w:pPr>
        <w:sectPr>
          <w:pgSz w:w="11880" w:h="15480" w:orient="portrait"/>
          <w:cols w:equalWidth="0" w:num="1">
            <w:col w:w="9845"/>
          </w:cols>
          <w:pgMar w:left="995" w:top="889" w:right="104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84"/>
        <w:spacing w:after="0"/>
        <w:rPr>
          <w:sz w:val="20"/>
          <w:szCs w:val="20"/>
          <w:color w:val="auto"/>
        </w:rPr>
      </w:pPr>
      <w:r>
        <w:rPr>
          <w:rFonts w:ascii="Times New Roman" w:cs="Times New Roman" w:eastAsia="Times New Roman" w:hAnsi="Times New Roman"/>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254000</wp:posOffset>
            </wp:positionV>
            <wp:extent cx="76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5">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6904355</wp:posOffset>
            </wp:positionH>
            <wp:positionV relativeFrom="paragraph">
              <wp:posOffset>254000</wp:posOffset>
            </wp:positionV>
            <wp:extent cx="76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6">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45"/>
          </w:cols>
          <w:pgMar w:left="995" w:top="889" w:right="1040" w:bottom="0" w:gutter="0" w:footer="0" w:header="0"/>
          <w:type w:val="continuous"/>
        </w:sectPr>
      </w:pPr>
    </w:p>
    <w:bookmarkStart w:id="65" w:name="page66"/>
    <w:bookmarkEnd w:id="65"/>
    <w:p>
      <w:pPr>
        <w:ind w:right="80" w:firstLine="345"/>
        <w:spacing w:after="0" w:line="260"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t>We evaluate current operating results, including any losses, in the assessment of goodwill and other intangible assets. The estimates and assumptions used in assessing the fair value of the reporting units and the valuation of the underlying assets and liabilities are inherently subject to significant uncertainties. Changes in judgments and estimates could result in significantly different estimates of the fair value of the reporting units and could result in impairments of goodwill or intangible assets of the reporting units. In addition, adverse changes to the key valuation assumptions contributing to the fair value of our reporting units could result in an impairment of goodwill or intangible assets.</w:t>
      </w:r>
    </w:p>
    <w:p>
      <w:pPr>
        <w:spacing w:after="0" w:line="193" w:lineRule="exact"/>
        <w:rPr>
          <w:sz w:val="20"/>
          <w:szCs w:val="20"/>
          <w:color w:val="auto"/>
        </w:rPr>
      </w:pPr>
    </w:p>
    <w:p>
      <w:pPr>
        <w:ind w:right="20" w:firstLine="393"/>
        <w:spacing w:after="0" w:line="271" w:lineRule="auto"/>
        <w:rPr>
          <w:sz w:val="20"/>
          <w:szCs w:val="20"/>
          <w:color w:val="auto"/>
        </w:rPr>
      </w:pPr>
      <w:r>
        <w:rPr>
          <w:rFonts w:ascii="Times New Roman" w:cs="Times New Roman" w:eastAsia="Times New Roman" w:hAnsi="Times New Roman"/>
          <w:sz w:val="19"/>
          <w:szCs w:val="19"/>
          <w:color w:val="auto"/>
        </w:rPr>
        <w:t>The Company performs its annual goodwill assessment as of the first day of the fourth fiscal quarter of each fiscal year. Goodwill and indefinite lived intangible assets are required to be tested for impairment between annual tests if events occur that would indicate a potential reduction in the fair value of a reporting unit below its carrying value.</w:t>
      </w:r>
    </w:p>
    <w:p>
      <w:pPr>
        <w:spacing w:after="0" w:line="181" w:lineRule="exact"/>
        <w:rPr>
          <w:sz w:val="20"/>
          <w:szCs w:val="20"/>
          <w:color w:val="auto"/>
        </w:rPr>
      </w:pPr>
    </w:p>
    <w:p>
      <w:pPr>
        <w:ind w:firstLine="345"/>
        <w:spacing w:after="0" w:line="255" w:lineRule="auto"/>
        <w:rPr>
          <w:sz w:val="20"/>
          <w:szCs w:val="20"/>
          <w:color w:val="auto"/>
        </w:rPr>
      </w:pPr>
      <w:r>
        <w:rPr>
          <w:rFonts w:ascii="Times New Roman" w:cs="Times New Roman" w:eastAsia="Times New Roman" w:hAnsi="Times New Roman"/>
          <w:sz w:val="19"/>
          <w:szCs w:val="19"/>
          <w:color w:val="auto"/>
        </w:rPr>
        <w:t>We performed our annual impairment assessment for fiscal 2025, fiscal 2024, and fiscal 2023, and concluded that no impairment of goodwill or the indefinite-lived intangible asset was indicated at any reporting unit for any of the periods. In each of these periods, qualitative assessments were performed on reporting units that comprise a significant portion of our consolidated goodwill balance. For the Company’s indefinite-lived intangible asset we performed a qualitative assessment for fiscal 2025 and 2024 and a quantitative analysis for fiscal 2023. A qualitative assessment includes evaluating all identified events and circumstances that could affect the significant inputs used to determine the fair value of a reporting unit or indefinite-lived intangible asset for the purpose of determining whether it is more likely than not that these assets are impaired. We consider various factors while performing qualitative assessments, including macroeconomic conditions, industry and market conditions, financial performance of the reporting units, changes in market capitalization, and any other specific reporting unit considerations. These qualitative assessments indicated that it was more likely than not that the fair value exceeded carrying value for those reporting units. For the remaining reporting units, we performed the quantitative analysis described in ASC Topic 350 in each of these periods. When performing the quantitative analysis, we determine the fair value of our reporting units using an equal weighting of fair values derived from the income approach and market approach valuation methodologies. Under the income approach, the key valuation assumptions used in determining the fair value estimates of our reporting units for each annual test were: (a) expected cash flow for a period of seven years based on our best estimate of revenue growth rates and projected operating margins; (b) terminal value based upon terminal growth rates; and (c) a discount rate based on the Company’s best estimate of the weighted average cost of capital adjusted for certain risks for the reporting units.</w:t>
      </w:r>
    </w:p>
    <w:p>
      <w:pPr>
        <w:spacing w:after="0" w:line="200" w:lineRule="exact"/>
        <w:rPr>
          <w:sz w:val="20"/>
          <w:szCs w:val="20"/>
          <w:color w:val="auto"/>
        </w:rPr>
      </w:pPr>
    </w:p>
    <w:p>
      <w:pPr>
        <w:spacing w:after="0" w:line="231" w:lineRule="exact"/>
        <w:rPr>
          <w:sz w:val="20"/>
          <w:szCs w:val="20"/>
          <w:color w:val="auto"/>
        </w:rPr>
      </w:pPr>
    </w:p>
    <w:p>
      <w:pPr>
        <w:ind w:right="780" w:firstLine="345"/>
        <w:spacing w:after="0" w:line="289" w:lineRule="auto"/>
        <w:rPr>
          <w:sz w:val="20"/>
          <w:szCs w:val="20"/>
          <w:color w:val="auto"/>
        </w:rPr>
      </w:pPr>
      <w:r>
        <w:rPr>
          <w:rFonts w:ascii="Times New Roman" w:cs="Times New Roman" w:eastAsia="Times New Roman" w:hAnsi="Times New Roman"/>
          <w:sz w:val="19"/>
          <w:szCs w:val="19"/>
          <w:color w:val="auto"/>
        </w:rPr>
        <w:t>The table below outlines certain assumptions used in our annual quantitative impairment analyses for fiscal 2025, fiscal 2024, and fiscal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000" w:type="dxa"/>
            <w:vAlign w:val="bottom"/>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Fiscal Year Ended</w:t>
            </w:r>
          </w:p>
        </w:tc>
        <w:tc>
          <w:tcPr>
            <w:tcW w:w="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254"/>
        </w:trPr>
        <w:tc>
          <w:tcPr>
            <w:tcW w:w="5000" w:type="dxa"/>
            <w:vAlign w:val="bottom"/>
            <w:tcBorders>
              <w:bottom w:val="single" w:sz="8" w:color="D5D5D5"/>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January 25,</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Borders>
              <w:bottom w:val="single" w:sz="8" w:color="D5D5D5"/>
            </w:tcBorders>
          </w:tcPr>
          <w:p>
            <w:pPr>
              <w:spacing w:after="0"/>
              <w:rPr>
                <w:sz w:val="22"/>
                <w:szCs w:val="22"/>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January 27, 2024</w:t>
            </w:r>
          </w:p>
        </w:tc>
        <w:tc>
          <w:tcPr>
            <w:tcW w:w="80" w:type="dxa"/>
            <w:vAlign w:val="bottom"/>
            <w:tcBorders>
              <w:bottom w:val="single" w:sz="8" w:color="D5D5D5"/>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January 28,</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w w:val="99"/>
              </w:rPr>
              <w:t>2023</w:t>
            </w:r>
          </w:p>
        </w:tc>
        <w:tc>
          <w:tcPr>
            <w:tcW w:w="60" w:type="dxa"/>
            <w:vAlign w:val="bottom"/>
            <w:tcBorders>
              <w:bottom w:val="single" w:sz="8" w:color="D5D5D5"/>
            </w:tcBorders>
          </w:tcPr>
          <w:p>
            <w:pPr>
              <w:spacing w:after="0"/>
              <w:rPr>
                <w:sz w:val="22"/>
                <w:szCs w:val="22"/>
                <w:color w:val="auto"/>
              </w:rPr>
            </w:pPr>
          </w:p>
        </w:tc>
      </w:tr>
      <w:tr>
        <w:trPr>
          <w:trHeight w:val="254"/>
        </w:trPr>
        <w:tc>
          <w:tcPr>
            <w:tcW w:w="50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Terminal Growth Rate</w:t>
            </w:r>
          </w:p>
        </w:tc>
        <w:tc>
          <w:tcPr>
            <w:tcW w:w="1540" w:type="dxa"/>
            <w:vAlign w:val="bottom"/>
            <w:gridSpan w:val="2"/>
            <w:shd w:val="clear" w:color="auto" w:fill="D5D5D5"/>
          </w:tcPr>
          <w:p>
            <w:pPr>
              <w:jc w:val="right"/>
              <w:ind w:right="324"/>
              <w:spacing w:after="0"/>
              <w:rPr>
                <w:sz w:val="20"/>
                <w:szCs w:val="20"/>
                <w:color w:val="auto"/>
              </w:rPr>
            </w:pPr>
            <w:r>
              <w:rPr>
                <w:rFonts w:ascii="Times New Roman" w:cs="Times New Roman" w:eastAsia="Times New Roman" w:hAnsi="Times New Roman"/>
                <w:sz w:val="19"/>
                <w:szCs w:val="19"/>
                <w:color w:val="auto"/>
              </w:rPr>
              <w:t>2% - 3%</w:t>
            </w:r>
          </w:p>
        </w:tc>
        <w:tc>
          <w:tcPr>
            <w:tcW w:w="80" w:type="dxa"/>
            <w:vAlign w:val="bottom"/>
            <w:shd w:val="clear" w:color="auto" w:fill="D5D5D5"/>
          </w:tcPr>
          <w:p>
            <w:pPr>
              <w:spacing w:after="0"/>
              <w:rPr>
                <w:sz w:val="22"/>
                <w:szCs w:val="22"/>
                <w:color w:val="auto"/>
              </w:rPr>
            </w:pPr>
          </w:p>
        </w:tc>
        <w:tc>
          <w:tcPr>
            <w:tcW w:w="1540" w:type="dxa"/>
            <w:vAlign w:val="bottom"/>
            <w:shd w:val="clear" w:color="auto" w:fill="D5D5D5"/>
          </w:tcPr>
          <w:p>
            <w:pPr>
              <w:jc w:val="right"/>
              <w:ind w:right="464"/>
              <w:spacing w:after="0"/>
              <w:rPr>
                <w:sz w:val="20"/>
                <w:szCs w:val="20"/>
                <w:color w:val="auto"/>
              </w:rPr>
            </w:pPr>
            <w:r>
              <w:rPr>
                <w:rFonts w:ascii="Times New Roman" w:cs="Times New Roman" w:eastAsia="Times New Roman" w:hAnsi="Times New Roman"/>
                <w:sz w:val="19"/>
                <w:szCs w:val="19"/>
                <w:color w:val="auto"/>
              </w:rPr>
              <w:t>2.5%</w:t>
            </w:r>
          </w:p>
        </w:tc>
        <w:tc>
          <w:tcPr>
            <w:tcW w:w="80" w:type="dxa"/>
            <w:vAlign w:val="bottom"/>
            <w:shd w:val="clear" w:color="auto" w:fill="D5D5D5"/>
          </w:tcPr>
          <w:p>
            <w:pPr>
              <w:spacing w:after="0"/>
              <w:rPr>
                <w:sz w:val="22"/>
                <w:szCs w:val="22"/>
                <w:color w:val="auto"/>
              </w:rPr>
            </w:pPr>
          </w:p>
        </w:tc>
        <w:tc>
          <w:tcPr>
            <w:tcW w:w="1540" w:type="dxa"/>
            <w:vAlign w:val="bottom"/>
            <w:gridSpan w:val="2"/>
            <w:shd w:val="clear" w:color="auto" w:fill="D5D5D5"/>
          </w:tcPr>
          <w:p>
            <w:pPr>
              <w:jc w:val="right"/>
              <w:ind w:right="344"/>
              <w:spacing w:after="0"/>
              <w:rPr>
                <w:sz w:val="20"/>
                <w:szCs w:val="20"/>
                <w:color w:val="auto"/>
              </w:rPr>
            </w:pPr>
            <w:r>
              <w:rPr>
                <w:rFonts w:ascii="Times New Roman" w:cs="Times New Roman" w:eastAsia="Times New Roman" w:hAnsi="Times New Roman"/>
                <w:sz w:val="19"/>
                <w:szCs w:val="19"/>
                <w:color w:val="auto"/>
              </w:rPr>
              <w:t>2% - 3%</w:t>
            </w:r>
          </w:p>
        </w:tc>
        <w:tc>
          <w:tcPr>
            <w:tcW w:w="60" w:type="dxa"/>
            <w:vAlign w:val="bottom"/>
            <w:shd w:val="clear" w:color="auto" w:fill="D5D5D5"/>
          </w:tcPr>
          <w:p>
            <w:pPr>
              <w:spacing w:after="0"/>
              <w:rPr>
                <w:sz w:val="22"/>
                <w:szCs w:val="22"/>
                <w:color w:val="auto"/>
              </w:rPr>
            </w:pPr>
          </w:p>
        </w:tc>
      </w:tr>
      <w:tr>
        <w:trPr>
          <w:trHeight w:val="262"/>
        </w:trPr>
        <w:tc>
          <w:tcPr>
            <w:tcW w:w="50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Discount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w:t>
            </w:r>
          </w:p>
        </w:tc>
        <w:tc>
          <w:tcPr>
            <w:tcW w:w="480" w:type="dxa"/>
            <w:vAlign w:val="bottom"/>
          </w:tcPr>
          <w:p>
            <w:pPr>
              <w:spacing w:after="0"/>
              <w:rPr>
                <w:sz w:val="22"/>
                <w:szCs w:val="22"/>
                <w:color w:val="auto"/>
              </w:rPr>
            </w:pPr>
          </w:p>
        </w:tc>
        <w:tc>
          <w:tcPr>
            <w:tcW w:w="1620" w:type="dxa"/>
            <w:vAlign w:val="bottom"/>
            <w:gridSpan w:val="2"/>
          </w:tcPr>
          <w:p>
            <w:pPr>
              <w:jc w:val="right"/>
              <w:ind w:right="404"/>
              <w:spacing w:after="0"/>
              <w:rPr>
                <w:sz w:val="20"/>
                <w:szCs w:val="20"/>
                <w:color w:val="auto"/>
              </w:rPr>
            </w:pPr>
            <w:r>
              <w:rPr>
                <w:rFonts w:ascii="Times New Roman" w:cs="Times New Roman" w:eastAsia="Times New Roman" w:hAnsi="Times New Roman"/>
                <w:sz w:val="19"/>
                <w:szCs w:val="19"/>
                <w:color w:val="auto"/>
              </w:rPr>
              <w:t>10.5%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11.5%</w:t>
            </w: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r>
    </w:tbl>
    <w:p>
      <w:pPr>
        <w:spacing w:after="0" w:line="278" w:lineRule="exact"/>
        <w:rPr>
          <w:sz w:val="20"/>
          <w:szCs w:val="20"/>
          <w:color w:val="auto"/>
        </w:rPr>
      </w:pPr>
    </w:p>
    <w:p>
      <w:pPr>
        <w:ind w:right="80" w:firstLine="345"/>
        <w:spacing w:after="0" w:line="256" w:lineRule="auto"/>
        <w:rPr>
          <w:sz w:val="20"/>
          <w:szCs w:val="20"/>
          <w:color w:val="auto"/>
        </w:rPr>
      </w:pPr>
      <w:r>
        <w:rPr>
          <w:rFonts w:ascii="Times New Roman" w:cs="Times New Roman" w:eastAsia="Times New Roman" w:hAnsi="Times New Roman"/>
          <w:sz w:val="19"/>
          <w:szCs w:val="19"/>
          <w:color w:val="auto"/>
        </w:rPr>
        <w:t>The discount rate reflects risks inherent within each reporting unit operating individually. These risks are greater than the risks inherent in the Company as a whole. Determination of discount rates included consideration of market inputs such as the risk-free rate, equity risk premium, industry premium, and cost of debt, among other assumptions. The discount rate for fiscal 2025 is consistent with the rate used in fiscal 2024. While the cost of debt decreased, there was a decrease in the market participant debt-to-capital ratios which resulted in the same weighted average cost of capital as prior year. The decrease in the discount rate for fiscal 2024 from fiscal 2023 was largely due to lower cost of equity capital and an increase in the market participant debt-to-capital ratios which results in more allocation to the cost of debt, which is lower than the cost of equity. We believe the assumptions used in the impairment analysis each year are reflective of the risks inherent in the business models of our reporting units and our industry. Under the market approach, the guideline company method develops valuation multiples by comparing our reporting units to similar publicly traded companies. Key valuation assumptions used in determining the fair value estimates of our reporting units rely on: (a) the selection of similar companies and (b) the selection of valuation multiples as they apply to the reporting unit characteristics.</w:t>
      </w:r>
    </w:p>
    <w:p>
      <w:pPr>
        <w:spacing w:after="0" w:line="199" w:lineRule="exact"/>
        <w:rPr>
          <w:sz w:val="20"/>
          <w:szCs w:val="20"/>
          <w:color w:val="auto"/>
        </w:rPr>
      </w:pPr>
    </w:p>
    <w:p>
      <w:pPr>
        <w:ind w:right="80" w:firstLine="345"/>
        <w:spacing w:after="0" w:line="259" w:lineRule="auto"/>
        <w:rPr>
          <w:sz w:val="20"/>
          <w:szCs w:val="20"/>
          <w:color w:val="auto"/>
        </w:rPr>
      </w:pPr>
      <w:r>
        <w:rPr>
          <w:rFonts w:ascii="Times New Roman" w:cs="Times New Roman" w:eastAsia="Times New Roman" w:hAnsi="Times New Roman"/>
          <w:sz w:val="19"/>
          <w:szCs w:val="19"/>
          <w:color w:val="auto"/>
        </w:rPr>
        <w:t>We determined that the fair values of each of the reporting units were in excess of their carrying values in the fiscal 2025 assessment. Management determined that significant changes were not likely in the factors considered to estimate fair value, and analyzed the impact of such changes were they to occur. Specifically, if the discount rate applied in the fiscal 2025 impairment analysis had been 100 basis points higher than estimated for each of the reporting units, and all other assumptions were held constant, the conclusion of the assessment would remain unchanged and there would be no impairment of goodwill. Additionally, if there was a 25% decrease in the fair value of any of the reporting units due to a decline in their discounted cash flows resulting from lower operating performance, the conclusion of the assessment would remain unchanged for all reporting</w:t>
      </w:r>
    </w:p>
    <w:p>
      <w:pPr>
        <w:sectPr>
          <w:pgSz w:w="11880" w:h="15480" w:orient="portrait"/>
          <w:cols w:equalWidth="0" w:num="1">
            <w:col w:w="9840"/>
          </w:cols>
          <w:pgMar w:left="1000" w:top="897" w:right="1040" w:bottom="0" w:gutter="0" w:footer="0" w:header="0"/>
        </w:sectPr>
      </w:pPr>
    </w:p>
    <w:p>
      <w:pPr>
        <w:spacing w:after="0" w:line="3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254000</wp:posOffset>
            </wp:positionV>
            <wp:extent cx="76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9">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254000</wp:posOffset>
            </wp:positionV>
            <wp:extent cx="76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0">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40"/>
          </w:cols>
          <w:pgMar w:left="1000" w:top="897" w:right="1040" w:bottom="0" w:gutter="0" w:footer="0" w:header="0"/>
          <w:type w:val="continuous"/>
        </w:sectPr>
      </w:pPr>
    </w:p>
    <w:bookmarkStart w:id="66" w:name="page67"/>
    <w:bookmarkEnd w:id="66"/>
    <w:p>
      <w:pPr>
        <w:ind w:right="40"/>
        <w:spacing w:after="0" w:line="258"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t>units. Recent operating performance, along with assumptions for specific customer and industry opportunities, were considered in the key assumptions used during the fiscal 2025 impairment analysis. Management has determined the goodwill of the Company may have an increased likelihood of impairment if a prolonged downturn in customer demand were to occur, or if the reporting units were not able to execute against customer opportunities, and the long-term outlook for their cash flows were adversely impacted. Furthermore, changes in the long-term outlook may result in a change to other valuation assumptions. Factors monitored by management which could result in a change to the reporting units’ estimates include the outcome of customer requests for proposals and subsequent awards, strategies of competitors, labor market conditions and levels of overall economic activity.</w:t>
      </w:r>
    </w:p>
    <w:p>
      <w:pPr>
        <w:spacing w:after="0" w:line="195" w:lineRule="exact"/>
        <w:rPr>
          <w:sz w:val="20"/>
          <w:szCs w:val="20"/>
          <w:color w:val="auto"/>
        </w:rPr>
      </w:pPr>
    </w:p>
    <w:p>
      <w:pPr>
        <w:ind w:right="100" w:firstLine="345"/>
        <w:spacing w:after="0" w:line="258" w:lineRule="auto"/>
        <w:rPr>
          <w:sz w:val="20"/>
          <w:szCs w:val="20"/>
          <w:color w:val="auto"/>
        </w:rPr>
      </w:pPr>
      <w:r>
        <w:rPr>
          <w:rFonts w:ascii="Times New Roman" w:cs="Times New Roman" w:eastAsia="Times New Roman" w:hAnsi="Times New Roman"/>
          <w:sz w:val="19"/>
          <w:szCs w:val="19"/>
          <w:color w:val="auto"/>
        </w:rPr>
        <w:t>The Company determined that there were no events or changes in circumstances for the other reporting units or indefinite lived intangible assets during fiscal 2025 that would indicate a potential reduction in their fair value below their carrying amounts. As of January 25, 2025, the Company continues to believe the remaining goodwill and the indefinite-lived intangible asset are recoverable for all of its reporting units</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 xml:space="preserve"> However, if adverse events were to occur or circumstances were to change indicating that the carrying amount of such assets may not be fully recoverable, the assets would be reviewed for impairment and could be impaired. There can be no assurances that goodwill or the indefinite-lived intangible asset may not be impaired in future periods.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Intangible Assets</w:t>
      </w: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Our intangible assets consisted of the following (dollars in thousands):</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66"/>
        </w:trPr>
        <w:tc>
          <w:tcPr>
            <w:tcW w:w="210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gridSpan w:val="4"/>
          </w:tcPr>
          <w:p>
            <w:pPr>
              <w:jc w:val="right"/>
              <w:ind w:right="384"/>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9"/>
                <w:szCs w:val="19"/>
                <w:b w:val="1"/>
                <w:bCs w:val="1"/>
                <w:color w:val="auto"/>
              </w:rPr>
              <w:t>January 27, 2024</w:t>
            </w:r>
          </w:p>
        </w:tc>
        <w:tc>
          <w:tcPr>
            <w:tcW w:w="8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100" w:type="dxa"/>
            <w:vAlign w:val="bottom"/>
          </w:tcPr>
          <w:p>
            <w:pPr>
              <w:spacing w:after="0"/>
              <w:rPr>
                <w:sz w:val="15"/>
                <w:szCs w:val="15"/>
                <w:color w:val="auto"/>
              </w:rPr>
            </w:pPr>
          </w:p>
        </w:tc>
        <w:tc>
          <w:tcPr>
            <w:tcW w:w="1120" w:type="dxa"/>
            <w:vAlign w:val="bottom"/>
          </w:tcPr>
          <w:p>
            <w:pPr>
              <w:jc w:val="center"/>
              <w:spacing w:after="0" w:line="180" w:lineRule="exact"/>
              <w:rPr>
                <w:sz w:val="20"/>
                <w:szCs w:val="20"/>
                <w:color w:val="auto"/>
              </w:rPr>
            </w:pPr>
            <w:r>
              <w:rPr>
                <w:rFonts w:ascii="Times New Roman" w:cs="Times New Roman" w:eastAsia="Times New Roman" w:hAnsi="Times New Roman"/>
                <w:sz w:val="19"/>
                <w:szCs w:val="19"/>
                <w:b w:val="1"/>
                <w:bCs w:val="1"/>
                <w:color w:val="auto"/>
              </w:rPr>
              <w:t>Weighted</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1120" w:type="dxa"/>
            <w:vAlign w:val="bottom"/>
          </w:tcPr>
          <w:p>
            <w:pPr>
              <w:jc w:val="center"/>
              <w:spacing w:after="0" w:line="192" w:lineRule="exact"/>
              <w:rPr>
                <w:sz w:val="20"/>
                <w:szCs w:val="20"/>
                <w:color w:val="auto"/>
              </w:rPr>
            </w:pPr>
            <w:r>
              <w:rPr>
                <w:rFonts w:ascii="Times New Roman" w:cs="Times New Roman" w:eastAsia="Times New Roman" w:hAnsi="Times New Roman"/>
                <w:sz w:val="19"/>
                <w:szCs w:val="19"/>
                <w:b w:val="1"/>
                <w:bCs w:val="1"/>
                <w:color w:val="auto"/>
              </w:rPr>
              <w:t>Average</w:t>
            </w:r>
          </w:p>
        </w:tc>
        <w:tc>
          <w:tcPr>
            <w:tcW w:w="80" w:type="dxa"/>
            <w:vAlign w:val="bottom"/>
          </w:tcPr>
          <w:p>
            <w:pPr>
              <w:spacing w:after="0"/>
              <w:rPr>
                <w:sz w:val="16"/>
                <w:szCs w:val="16"/>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Gross</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Intangible</w:t>
            </w:r>
          </w:p>
        </w:tc>
        <w:tc>
          <w:tcPr>
            <w:tcW w:w="60" w:type="dxa"/>
            <w:vAlign w:val="bottom"/>
          </w:tcPr>
          <w:p>
            <w:pPr>
              <w:spacing w:after="0"/>
              <w:rPr>
                <w:sz w:val="16"/>
                <w:szCs w:val="16"/>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Gross</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Intangible</w:t>
            </w: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1120" w:type="dxa"/>
            <w:vAlign w:val="bottom"/>
          </w:tcPr>
          <w:p>
            <w:pPr>
              <w:jc w:val="center"/>
              <w:spacing w:after="0" w:line="192" w:lineRule="exact"/>
              <w:rPr>
                <w:sz w:val="20"/>
                <w:szCs w:val="20"/>
                <w:color w:val="auto"/>
              </w:rPr>
            </w:pPr>
            <w:r>
              <w:rPr>
                <w:rFonts w:ascii="Times New Roman" w:cs="Times New Roman" w:eastAsia="Times New Roman" w:hAnsi="Times New Roman"/>
                <w:sz w:val="19"/>
                <w:szCs w:val="19"/>
                <w:b w:val="1"/>
                <w:bCs w:val="1"/>
                <w:color w:val="auto"/>
                <w:w w:val="99"/>
              </w:rPr>
              <w:t>Remaining</w:t>
            </w: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Accumulated</w:t>
            </w:r>
          </w:p>
        </w:tc>
        <w:tc>
          <w:tcPr>
            <w:tcW w:w="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Accumulated</w:t>
            </w: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1120" w:type="dxa"/>
            <w:vAlign w:val="bottom"/>
          </w:tcPr>
          <w:p>
            <w:pPr>
              <w:jc w:val="center"/>
              <w:spacing w:after="0" w:line="192" w:lineRule="exact"/>
              <w:rPr>
                <w:sz w:val="20"/>
                <w:szCs w:val="20"/>
                <w:color w:val="auto"/>
              </w:rPr>
            </w:pPr>
            <w:r>
              <w:rPr>
                <w:rFonts w:ascii="Times New Roman" w:cs="Times New Roman" w:eastAsia="Times New Roman" w:hAnsi="Times New Roman"/>
                <w:sz w:val="19"/>
                <w:szCs w:val="19"/>
                <w:b w:val="1"/>
                <w:bCs w:val="1"/>
                <w:color w:val="auto"/>
              </w:rPr>
              <w:t>Useful Lives</w:t>
            </w:r>
          </w:p>
        </w:tc>
        <w:tc>
          <w:tcPr>
            <w:tcW w:w="80" w:type="dxa"/>
            <w:vAlign w:val="bottom"/>
          </w:tcPr>
          <w:p>
            <w:pPr>
              <w:spacing w:after="0"/>
              <w:rPr>
                <w:sz w:val="16"/>
                <w:szCs w:val="16"/>
                <w:color w:val="auto"/>
              </w:rPr>
            </w:pPr>
          </w:p>
        </w:tc>
        <w:tc>
          <w:tcPr>
            <w:tcW w:w="880" w:type="dxa"/>
            <w:vAlign w:val="bottom"/>
          </w:tcPr>
          <w:p>
            <w:pPr>
              <w:jc w:val="center"/>
              <w:spacing w:after="0" w:line="192" w:lineRule="exact"/>
              <w:rPr>
                <w:sz w:val="20"/>
                <w:szCs w:val="20"/>
                <w:color w:val="auto"/>
              </w:rPr>
            </w:pPr>
            <w:r>
              <w:rPr>
                <w:rFonts w:ascii="Times New Roman" w:cs="Times New Roman" w:eastAsia="Times New Roman" w:hAnsi="Times New Roman"/>
                <w:sz w:val="19"/>
                <w:szCs w:val="19"/>
                <w:b w:val="1"/>
                <w:bCs w:val="1"/>
                <w:color w:val="auto"/>
              </w:rPr>
              <w:t>Carrying</w:t>
            </w:r>
          </w:p>
        </w:tc>
        <w:tc>
          <w:tcPr>
            <w:tcW w:w="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24"/>
              <w:spacing w:after="0" w:line="192" w:lineRule="exact"/>
              <w:rPr>
                <w:sz w:val="20"/>
                <w:szCs w:val="20"/>
                <w:color w:val="auto"/>
              </w:rPr>
            </w:pPr>
            <w:r>
              <w:rPr>
                <w:rFonts w:ascii="Times New Roman" w:cs="Times New Roman" w:eastAsia="Times New Roman" w:hAnsi="Times New Roman"/>
                <w:sz w:val="19"/>
                <w:szCs w:val="19"/>
                <w:b w:val="1"/>
                <w:bCs w:val="1"/>
                <w:color w:val="auto"/>
              </w:rPr>
              <w:t>Assets,</w:t>
            </w:r>
          </w:p>
        </w:tc>
        <w:tc>
          <w:tcPr>
            <w:tcW w:w="60" w:type="dxa"/>
            <w:vAlign w:val="bottom"/>
          </w:tcPr>
          <w:p>
            <w:pPr>
              <w:spacing w:after="0"/>
              <w:rPr>
                <w:sz w:val="16"/>
                <w:szCs w:val="16"/>
                <w:color w:val="auto"/>
              </w:rPr>
            </w:pPr>
          </w:p>
        </w:tc>
        <w:tc>
          <w:tcPr>
            <w:tcW w:w="880" w:type="dxa"/>
            <w:vAlign w:val="bottom"/>
          </w:tcPr>
          <w:p>
            <w:pPr>
              <w:jc w:val="center"/>
              <w:spacing w:after="0" w:line="192" w:lineRule="exact"/>
              <w:rPr>
                <w:sz w:val="20"/>
                <w:szCs w:val="20"/>
                <w:color w:val="auto"/>
              </w:rPr>
            </w:pPr>
            <w:r>
              <w:rPr>
                <w:rFonts w:ascii="Times New Roman" w:cs="Times New Roman" w:eastAsia="Times New Roman" w:hAnsi="Times New Roman"/>
                <w:sz w:val="19"/>
                <w:szCs w:val="19"/>
                <w:b w:val="1"/>
                <w:bCs w:val="1"/>
                <w:color w:val="auto"/>
              </w:rPr>
              <w:t>Carrying</w:t>
            </w:r>
          </w:p>
        </w:tc>
        <w:tc>
          <w:tcPr>
            <w:tcW w:w="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104"/>
              <w:spacing w:after="0" w:line="192" w:lineRule="exact"/>
              <w:rPr>
                <w:sz w:val="20"/>
                <w:szCs w:val="20"/>
                <w:color w:val="auto"/>
              </w:rPr>
            </w:pPr>
            <w:r>
              <w:rPr>
                <w:rFonts w:ascii="Times New Roman" w:cs="Times New Roman" w:eastAsia="Times New Roman" w:hAnsi="Times New Roman"/>
                <w:sz w:val="19"/>
                <w:szCs w:val="19"/>
                <w:b w:val="1"/>
                <w:bCs w:val="1"/>
                <w:color w:val="auto"/>
              </w:rPr>
              <w:t>Assets,</w:t>
            </w:r>
          </w:p>
        </w:tc>
        <w:tc>
          <w:tcPr>
            <w:tcW w:w="0" w:type="dxa"/>
            <w:vAlign w:val="bottom"/>
          </w:tcPr>
          <w:p>
            <w:pPr>
              <w:spacing w:after="0"/>
              <w:rPr>
                <w:sz w:val="1"/>
                <w:szCs w:val="1"/>
                <w:color w:val="auto"/>
              </w:rPr>
            </w:pPr>
          </w:p>
        </w:tc>
      </w:tr>
      <w:tr>
        <w:trPr>
          <w:trHeight w:val="261"/>
        </w:trPr>
        <w:tc>
          <w:tcPr>
            <w:tcW w:w="2100" w:type="dxa"/>
            <w:vAlign w:val="bottom"/>
            <w:tcBorders>
              <w:bottom w:val="single" w:sz="8" w:color="D5D5D5"/>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(Years)</w:t>
            </w:r>
          </w:p>
        </w:tc>
        <w:tc>
          <w:tcPr>
            <w:tcW w:w="80" w:type="dxa"/>
            <w:vAlign w:val="bottom"/>
            <w:tcBorders>
              <w:bottom w:val="single" w:sz="8" w:color="D5D5D5"/>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Amount</w:t>
            </w:r>
          </w:p>
        </w:tc>
        <w:tc>
          <w:tcPr>
            <w:tcW w:w="80" w:type="dxa"/>
            <w:vAlign w:val="bottom"/>
            <w:tcBorders>
              <w:bottom w:val="single" w:sz="8" w:color="D5D5D5"/>
            </w:tcBorders>
          </w:tcPr>
          <w:p>
            <w:pPr>
              <w:spacing w:after="0"/>
              <w:rPr>
                <w:sz w:val="22"/>
                <w:szCs w:val="22"/>
                <w:color w:val="auto"/>
              </w:rPr>
            </w:pPr>
          </w:p>
        </w:tc>
        <w:tc>
          <w:tcPr>
            <w:tcW w:w="12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Amortization</w:t>
            </w:r>
          </w:p>
        </w:tc>
        <w:tc>
          <w:tcPr>
            <w:tcW w:w="60" w:type="dxa"/>
            <w:vAlign w:val="bottom"/>
            <w:tcBorders>
              <w:bottom w:val="single" w:sz="8" w:color="D5D5D5"/>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9"/>
                <w:szCs w:val="19"/>
                <w:b w:val="1"/>
                <w:bCs w:val="1"/>
                <w:color w:val="auto"/>
              </w:rPr>
              <w:t>Net</w:t>
            </w:r>
          </w:p>
        </w:tc>
        <w:tc>
          <w:tcPr>
            <w:tcW w:w="60" w:type="dxa"/>
            <w:vAlign w:val="bottom"/>
            <w:tcBorders>
              <w:bottom w:val="single" w:sz="8" w:color="D5D5D5"/>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Amount</w:t>
            </w:r>
          </w:p>
        </w:tc>
        <w:tc>
          <w:tcPr>
            <w:tcW w:w="80" w:type="dxa"/>
            <w:vAlign w:val="bottom"/>
            <w:tcBorders>
              <w:bottom w:val="single" w:sz="8" w:color="D5D5D5"/>
            </w:tcBorders>
          </w:tcPr>
          <w:p>
            <w:pPr>
              <w:spacing w:after="0"/>
              <w:rPr>
                <w:sz w:val="22"/>
                <w:szCs w:val="22"/>
                <w:color w:val="auto"/>
              </w:rPr>
            </w:pPr>
          </w:p>
        </w:tc>
        <w:tc>
          <w:tcPr>
            <w:tcW w:w="12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Amortization</w:t>
            </w:r>
          </w:p>
        </w:tc>
        <w:tc>
          <w:tcPr>
            <w:tcW w:w="80" w:type="dxa"/>
            <w:vAlign w:val="bottom"/>
            <w:tcBorders>
              <w:bottom w:val="single" w:sz="8" w:color="D5D5D5"/>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9"/>
                <w:szCs w:val="19"/>
                <w:b w:val="1"/>
                <w:bCs w:val="1"/>
                <w:color w:val="auto"/>
              </w:rPr>
              <w:t>Net</w:t>
            </w:r>
          </w:p>
        </w:tc>
        <w:tc>
          <w:tcPr>
            <w:tcW w:w="0" w:type="dxa"/>
            <w:vAlign w:val="bottom"/>
          </w:tcPr>
          <w:p>
            <w:pPr>
              <w:spacing w:after="0"/>
              <w:rPr>
                <w:sz w:val="1"/>
                <w:szCs w:val="1"/>
                <w:color w:val="auto"/>
              </w:rPr>
            </w:pPr>
          </w:p>
        </w:tc>
      </w:tr>
      <w:tr>
        <w:trPr>
          <w:trHeight w:val="427"/>
        </w:trPr>
        <w:tc>
          <w:tcPr>
            <w:tcW w:w="210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Customer relationships</w:t>
            </w:r>
          </w:p>
        </w:tc>
        <w:tc>
          <w:tcPr>
            <w:tcW w:w="1120" w:type="dxa"/>
            <w:vAlign w:val="bottom"/>
            <w:shd w:val="clear" w:color="auto" w:fill="D5D5D5"/>
          </w:tcPr>
          <w:p>
            <w:pPr>
              <w:jc w:val="right"/>
              <w:ind w:right="344"/>
              <w:spacing w:after="0"/>
              <w:rPr>
                <w:sz w:val="20"/>
                <w:szCs w:val="20"/>
                <w:color w:val="auto"/>
              </w:rPr>
            </w:pPr>
            <w:r>
              <w:rPr>
                <w:rFonts w:ascii="Times New Roman" w:cs="Times New Roman" w:eastAsia="Times New Roman" w:hAnsi="Times New Roman"/>
                <w:sz w:val="19"/>
                <w:szCs w:val="19"/>
                <w:color w:val="auto"/>
              </w:rPr>
              <w:t>9.7</w:t>
            </w:r>
          </w:p>
        </w:tc>
        <w:tc>
          <w:tcPr>
            <w:tcW w:w="96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$ 452,417</w:t>
            </w:r>
          </w:p>
        </w:tc>
        <w:tc>
          <w:tcPr>
            <w:tcW w:w="40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270,210</w:t>
            </w:r>
          </w:p>
        </w:tc>
        <w:tc>
          <w:tcPr>
            <w:tcW w:w="24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182,207</w:t>
            </w:r>
          </w:p>
        </w:tc>
        <w:tc>
          <w:tcPr>
            <w:tcW w:w="94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$ 338,117</w:t>
            </w:r>
          </w:p>
        </w:tc>
        <w:tc>
          <w:tcPr>
            <w:tcW w:w="40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245,512</w:t>
            </w:r>
          </w:p>
        </w:tc>
        <w:tc>
          <w:tcPr>
            <w:tcW w:w="24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92,605</w:t>
            </w:r>
          </w:p>
        </w:tc>
        <w:tc>
          <w:tcPr>
            <w:tcW w:w="0" w:type="dxa"/>
            <w:vAlign w:val="bottom"/>
          </w:tcPr>
          <w:p>
            <w:pPr>
              <w:spacing w:after="0"/>
              <w:rPr>
                <w:sz w:val="1"/>
                <w:szCs w:val="1"/>
                <w:color w:val="auto"/>
              </w:rPr>
            </w:pPr>
          </w:p>
        </w:tc>
      </w:tr>
      <w:tr>
        <w:trPr>
          <w:trHeight w:val="282"/>
        </w:trPr>
        <w:tc>
          <w:tcPr>
            <w:tcW w:w="21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Trade names, finite</w:t>
            </w:r>
          </w:p>
        </w:tc>
        <w:tc>
          <w:tcPr>
            <w:tcW w:w="1120" w:type="dxa"/>
            <w:vAlign w:val="bottom"/>
          </w:tcPr>
          <w:p>
            <w:pPr>
              <w:jc w:val="right"/>
              <w:ind w:right="344"/>
              <w:spacing w:after="0"/>
              <w:rPr>
                <w:sz w:val="20"/>
                <w:szCs w:val="20"/>
                <w:color w:val="auto"/>
              </w:rPr>
            </w:pPr>
            <w:r>
              <w:rPr>
                <w:rFonts w:ascii="Times New Roman" w:cs="Times New Roman" w:eastAsia="Times New Roman" w:hAnsi="Times New Roman"/>
                <w:sz w:val="19"/>
                <w:szCs w:val="19"/>
                <w:color w:val="auto"/>
              </w:rPr>
              <w:t>8.3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14,080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9,293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4,787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13,050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4,327</w:t>
            </w:r>
          </w:p>
        </w:tc>
        <w:tc>
          <w:tcPr>
            <w:tcW w:w="0" w:type="dxa"/>
            <w:vAlign w:val="bottom"/>
          </w:tcPr>
          <w:p>
            <w:pPr>
              <w:spacing w:after="0"/>
              <w:rPr>
                <w:sz w:val="1"/>
                <w:szCs w:val="1"/>
                <w:color w:val="auto"/>
              </w:rPr>
            </w:pPr>
          </w:p>
        </w:tc>
      </w:tr>
      <w:tr>
        <w:trPr>
          <w:trHeight w:val="294"/>
        </w:trPr>
        <w:tc>
          <w:tcPr>
            <w:tcW w:w="210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Trade name, indefinite</w:t>
            </w:r>
          </w:p>
        </w:tc>
        <w:tc>
          <w:tcPr>
            <w:tcW w:w="1120" w:type="dxa"/>
            <w:vAlign w:val="bottom"/>
            <w:shd w:val="clear" w:color="auto" w:fill="D5D5D5"/>
          </w:tcPr>
          <w:p>
            <w:pPr>
              <w:jc w:val="right"/>
              <w:ind w:right="344"/>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4,700</w:t>
            </w:r>
          </w:p>
        </w:tc>
        <w:tc>
          <w:tcPr>
            <w:tcW w:w="80" w:type="dxa"/>
            <w:vAlign w:val="bottom"/>
            <w:shd w:val="clear" w:color="auto" w:fill="D5D5D5"/>
          </w:tcPr>
          <w:p>
            <w:pPr>
              <w:spacing w:after="0"/>
              <w:rPr>
                <w:sz w:val="24"/>
                <w:szCs w:val="24"/>
                <w:color w:val="auto"/>
              </w:rPr>
            </w:pPr>
          </w:p>
        </w:tc>
        <w:tc>
          <w:tcPr>
            <w:tcW w:w="320" w:type="dxa"/>
            <w:vAlign w:val="bottom"/>
            <w:shd w:val="clear" w:color="auto" w:fill="D5D5D5"/>
          </w:tcPr>
          <w:p>
            <w:pPr>
              <w:spacing w:after="0"/>
              <w:rPr>
                <w:sz w:val="24"/>
                <w:szCs w:val="24"/>
                <w:color w:val="auto"/>
              </w:rPr>
            </w:pPr>
          </w:p>
        </w:tc>
        <w:tc>
          <w:tcPr>
            <w:tcW w:w="9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D5D5D5"/>
          </w:tcPr>
          <w:p>
            <w:pPr>
              <w:spacing w:after="0"/>
              <w:rPr>
                <w:sz w:val="24"/>
                <w:szCs w:val="24"/>
                <w:color w:val="auto"/>
              </w:rPr>
            </w:pPr>
          </w:p>
        </w:tc>
        <w:tc>
          <w:tcPr>
            <w:tcW w:w="180" w:type="dxa"/>
            <w:vAlign w:val="bottom"/>
            <w:shd w:val="clear" w:color="auto" w:fill="D5D5D5"/>
          </w:tcPr>
          <w:p>
            <w:pPr>
              <w:spacing w:after="0"/>
              <w:rPr>
                <w:sz w:val="24"/>
                <w:szCs w:val="24"/>
                <w:color w:val="auto"/>
              </w:rPr>
            </w:pPr>
          </w:p>
        </w:tc>
        <w:tc>
          <w:tcPr>
            <w:tcW w:w="8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4,700</w:t>
            </w:r>
          </w:p>
        </w:tc>
        <w:tc>
          <w:tcPr>
            <w:tcW w:w="94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4,700</w:t>
            </w:r>
          </w:p>
        </w:tc>
        <w:tc>
          <w:tcPr>
            <w:tcW w:w="80" w:type="dxa"/>
            <w:vAlign w:val="bottom"/>
            <w:shd w:val="clear" w:color="auto" w:fill="D5D5D5"/>
          </w:tcPr>
          <w:p>
            <w:pPr>
              <w:spacing w:after="0"/>
              <w:rPr>
                <w:sz w:val="24"/>
                <w:szCs w:val="24"/>
                <w:color w:val="auto"/>
              </w:rPr>
            </w:pPr>
          </w:p>
        </w:tc>
        <w:tc>
          <w:tcPr>
            <w:tcW w:w="320" w:type="dxa"/>
            <w:vAlign w:val="bottom"/>
            <w:shd w:val="clear" w:color="auto" w:fill="D5D5D5"/>
          </w:tcPr>
          <w:p>
            <w:pPr>
              <w:spacing w:after="0"/>
              <w:rPr>
                <w:sz w:val="24"/>
                <w:szCs w:val="24"/>
                <w:color w:val="auto"/>
              </w:rPr>
            </w:pPr>
          </w:p>
        </w:tc>
        <w:tc>
          <w:tcPr>
            <w:tcW w:w="9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shd w:val="clear" w:color="auto" w:fill="D5D5D5"/>
          </w:tcPr>
          <w:p>
            <w:pPr>
              <w:spacing w:after="0"/>
              <w:rPr>
                <w:sz w:val="24"/>
                <w:szCs w:val="24"/>
                <w:color w:val="auto"/>
              </w:rPr>
            </w:pPr>
          </w:p>
        </w:tc>
        <w:tc>
          <w:tcPr>
            <w:tcW w:w="160" w:type="dxa"/>
            <w:vAlign w:val="bottom"/>
            <w:shd w:val="clear" w:color="auto" w:fill="D5D5D5"/>
          </w:tcPr>
          <w:p>
            <w:pPr>
              <w:spacing w:after="0"/>
              <w:rPr>
                <w:sz w:val="24"/>
                <w:szCs w:val="24"/>
                <w:color w:val="auto"/>
              </w:rPr>
            </w:pPr>
          </w:p>
        </w:tc>
        <w:tc>
          <w:tcPr>
            <w:tcW w:w="8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4,700</w:t>
            </w:r>
          </w:p>
        </w:tc>
        <w:tc>
          <w:tcPr>
            <w:tcW w:w="0" w:type="dxa"/>
            <w:vAlign w:val="bottom"/>
          </w:tcPr>
          <w:p>
            <w:pPr>
              <w:spacing w:after="0"/>
              <w:rPr>
                <w:sz w:val="1"/>
                <w:szCs w:val="1"/>
                <w:color w:val="auto"/>
              </w:rPr>
            </w:pPr>
          </w:p>
        </w:tc>
      </w:tr>
      <w:tr>
        <w:trPr>
          <w:trHeight w:val="282"/>
        </w:trPr>
        <w:tc>
          <w:tcPr>
            <w:tcW w:w="21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Contract backlog</w:t>
            </w:r>
          </w:p>
        </w:tc>
        <w:tc>
          <w:tcPr>
            <w:tcW w:w="1120" w:type="dxa"/>
            <w:vAlign w:val="bottom"/>
          </w:tcPr>
          <w:p>
            <w:pPr>
              <w:jc w:val="right"/>
              <w:ind w:right="344"/>
              <w:spacing w:after="0"/>
              <w:rPr>
                <w:sz w:val="20"/>
                <w:szCs w:val="20"/>
                <w:color w:val="auto"/>
              </w:rPr>
            </w:pPr>
            <w:r>
              <w:rPr>
                <w:rFonts w:ascii="Times New Roman" w:cs="Times New Roman" w:eastAsia="Times New Roman" w:hAnsi="Times New Roman"/>
                <w:sz w:val="19"/>
                <w:szCs w:val="19"/>
                <w:color w:val="auto"/>
              </w:rPr>
              <w:t>1.5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37,900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9,890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28,010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11,600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4,335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7,265</w:t>
            </w:r>
          </w:p>
        </w:tc>
        <w:tc>
          <w:tcPr>
            <w:tcW w:w="0" w:type="dxa"/>
            <w:vAlign w:val="bottom"/>
          </w:tcPr>
          <w:p>
            <w:pPr>
              <w:spacing w:after="0"/>
              <w:rPr>
                <w:sz w:val="1"/>
                <w:szCs w:val="1"/>
                <w:color w:val="auto"/>
              </w:rPr>
            </w:pPr>
          </w:p>
        </w:tc>
      </w:tr>
      <w:tr>
        <w:trPr>
          <w:trHeight w:val="284"/>
        </w:trPr>
        <w:tc>
          <w:tcPr>
            <w:tcW w:w="2100" w:type="dxa"/>
            <w:vAlign w:val="bottom"/>
            <w:tcBorders>
              <w:bottom w:val="single" w:sz="8" w:color="D5D5D5"/>
            </w:tcBorders>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Non-compete agreement</w:t>
            </w:r>
          </w:p>
        </w:tc>
        <w:tc>
          <w:tcPr>
            <w:tcW w:w="1120" w:type="dxa"/>
            <w:vAlign w:val="bottom"/>
            <w:tcBorders>
              <w:bottom w:val="single" w:sz="8" w:color="D5D5D5"/>
            </w:tcBorders>
            <w:shd w:val="clear" w:color="auto" w:fill="D5D5D5"/>
          </w:tcPr>
          <w:p>
            <w:pPr>
              <w:jc w:val="right"/>
              <w:ind w:right="344"/>
              <w:spacing w:after="0"/>
              <w:rPr>
                <w:sz w:val="20"/>
                <w:szCs w:val="20"/>
                <w:color w:val="auto"/>
              </w:rPr>
            </w:pPr>
            <w:r>
              <w:rPr>
                <w:rFonts w:ascii="Times New Roman" w:cs="Times New Roman" w:eastAsia="Times New Roman" w:hAnsi="Times New Roman"/>
                <w:sz w:val="19"/>
                <w:szCs w:val="19"/>
                <w:color w:val="auto"/>
              </w:rPr>
              <w:t>2.8</w:t>
            </w:r>
          </w:p>
        </w:tc>
        <w:tc>
          <w:tcPr>
            <w:tcW w:w="80" w:type="dxa"/>
            <w:vAlign w:val="bottom"/>
            <w:tcBorders>
              <w:bottom w:val="single" w:sz="8" w:color="D5D5D5"/>
            </w:tcBorders>
            <w:shd w:val="clear" w:color="auto" w:fill="D5D5D5"/>
          </w:tcPr>
          <w:p>
            <w:pPr>
              <w:spacing w:after="0"/>
              <w:rPr>
                <w:sz w:val="24"/>
                <w:szCs w:val="24"/>
                <w:color w:val="auto"/>
              </w:rPr>
            </w:pPr>
          </w:p>
        </w:tc>
        <w:tc>
          <w:tcPr>
            <w:tcW w:w="8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75</w:t>
            </w:r>
          </w:p>
        </w:tc>
        <w:tc>
          <w:tcPr>
            <w:tcW w:w="80" w:type="dxa"/>
            <w:vAlign w:val="bottom"/>
            <w:tcBorders>
              <w:bottom w:val="single" w:sz="8" w:color="D5D5D5"/>
            </w:tcBorders>
            <w:shd w:val="clear" w:color="auto" w:fill="D5D5D5"/>
          </w:tcPr>
          <w:p>
            <w:pPr>
              <w:spacing w:after="0"/>
              <w:rPr>
                <w:sz w:val="24"/>
                <w:szCs w:val="24"/>
                <w:color w:val="auto"/>
              </w:rPr>
            </w:pPr>
          </w:p>
        </w:tc>
        <w:tc>
          <w:tcPr>
            <w:tcW w:w="320" w:type="dxa"/>
            <w:vAlign w:val="bottom"/>
            <w:tcBorders>
              <w:bottom w:val="single" w:sz="8" w:color="auto"/>
            </w:tcBorders>
            <w:shd w:val="clear" w:color="auto" w:fill="D5D5D5"/>
          </w:tcPr>
          <w:p>
            <w:pPr>
              <w:spacing w:after="0"/>
              <w:rPr>
                <w:sz w:val="24"/>
                <w:szCs w:val="24"/>
                <w:color w:val="auto"/>
              </w:rPr>
            </w:pPr>
          </w:p>
        </w:tc>
        <w:tc>
          <w:tcPr>
            <w:tcW w:w="9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33</w:t>
            </w:r>
          </w:p>
        </w:tc>
        <w:tc>
          <w:tcPr>
            <w:tcW w:w="60" w:type="dxa"/>
            <w:vAlign w:val="bottom"/>
            <w:tcBorders>
              <w:bottom w:val="single" w:sz="8" w:color="D5D5D5"/>
            </w:tcBorders>
            <w:shd w:val="clear" w:color="auto" w:fill="D5D5D5"/>
          </w:tcPr>
          <w:p>
            <w:pPr>
              <w:spacing w:after="0"/>
              <w:rPr>
                <w:sz w:val="24"/>
                <w:szCs w:val="24"/>
                <w:color w:val="auto"/>
              </w:rPr>
            </w:pPr>
          </w:p>
        </w:tc>
        <w:tc>
          <w:tcPr>
            <w:tcW w:w="180" w:type="dxa"/>
            <w:vAlign w:val="bottom"/>
            <w:tcBorders>
              <w:bottom w:val="single" w:sz="8" w:color="auto"/>
            </w:tcBorders>
            <w:shd w:val="clear" w:color="auto" w:fill="D5D5D5"/>
          </w:tcPr>
          <w:p>
            <w:pPr>
              <w:spacing w:after="0"/>
              <w:rPr>
                <w:sz w:val="24"/>
                <w:szCs w:val="24"/>
                <w:color w:val="auto"/>
              </w:rPr>
            </w:pPr>
          </w:p>
        </w:tc>
        <w:tc>
          <w:tcPr>
            <w:tcW w:w="8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60" w:type="dxa"/>
            <w:vAlign w:val="bottom"/>
            <w:tcBorders>
              <w:bottom w:val="single" w:sz="8" w:color="D5D5D5"/>
            </w:tcBorders>
            <w:shd w:val="clear" w:color="auto" w:fill="D5D5D5"/>
          </w:tcPr>
          <w:p>
            <w:pPr>
              <w:spacing w:after="0"/>
              <w:rPr>
                <w:sz w:val="24"/>
                <w:szCs w:val="24"/>
                <w:color w:val="auto"/>
              </w:rPr>
            </w:pPr>
          </w:p>
        </w:tc>
        <w:tc>
          <w:tcPr>
            <w:tcW w:w="8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75</w:t>
            </w:r>
          </w:p>
        </w:tc>
        <w:tc>
          <w:tcPr>
            <w:tcW w:w="80" w:type="dxa"/>
            <w:vAlign w:val="bottom"/>
            <w:tcBorders>
              <w:bottom w:val="single" w:sz="8" w:color="D5D5D5"/>
            </w:tcBorders>
            <w:shd w:val="clear" w:color="auto" w:fill="D5D5D5"/>
          </w:tcPr>
          <w:p>
            <w:pPr>
              <w:spacing w:after="0"/>
              <w:rPr>
                <w:sz w:val="24"/>
                <w:szCs w:val="24"/>
                <w:color w:val="auto"/>
              </w:rPr>
            </w:pPr>
          </w:p>
        </w:tc>
        <w:tc>
          <w:tcPr>
            <w:tcW w:w="320" w:type="dxa"/>
            <w:vAlign w:val="bottom"/>
            <w:tcBorders>
              <w:bottom w:val="single" w:sz="8" w:color="auto"/>
            </w:tcBorders>
            <w:shd w:val="clear" w:color="auto" w:fill="D5D5D5"/>
          </w:tcPr>
          <w:p>
            <w:pPr>
              <w:spacing w:after="0"/>
              <w:rPr>
                <w:sz w:val="24"/>
                <w:szCs w:val="24"/>
                <w:color w:val="auto"/>
              </w:rPr>
            </w:pPr>
          </w:p>
        </w:tc>
        <w:tc>
          <w:tcPr>
            <w:tcW w:w="9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18</w:t>
            </w:r>
          </w:p>
        </w:tc>
        <w:tc>
          <w:tcPr>
            <w:tcW w:w="80" w:type="dxa"/>
            <w:vAlign w:val="bottom"/>
            <w:tcBorders>
              <w:bottom w:val="single" w:sz="8" w:color="D5D5D5"/>
            </w:tcBorders>
            <w:shd w:val="clear" w:color="auto" w:fill="D5D5D5"/>
          </w:tcPr>
          <w:p>
            <w:pPr>
              <w:spacing w:after="0"/>
              <w:rPr>
                <w:sz w:val="24"/>
                <w:szCs w:val="24"/>
                <w:color w:val="auto"/>
              </w:rPr>
            </w:pPr>
          </w:p>
        </w:tc>
        <w:tc>
          <w:tcPr>
            <w:tcW w:w="160" w:type="dxa"/>
            <w:vAlign w:val="bottom"/>
            <w:tcBorders>
              <w:bottom w:val="single" w:sz="8" w:color="auto"/>
            </w:tcBorders>
            <w:shd w:val="clear" w:color="auto" w:fill="D5D5D5"/>
          </w:tcPr>
          <w:p>
            <w:pPr>
              <w:spacing w:after="0"/>
              <w:rPr>
                <w:sz w:val="24"/>
                <w:szCs w:val="24"/>
                <w:color w:val="auto"/>
              </w:rPr>
            </w:pPr>
          </w:p>
        </w:tc>
        <w:tc>
          <w:tcPr>
            <w:tcW w:w="8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57</w:t>
            </w: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$ 509,172</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289,426</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219,746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$ 367,542</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258,588</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108,954</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345"/>
        <w:spacing w:after="0" w:line="265" w:lineRule="auto"/>
        <w:rPr>
          <w:sz w:val="20"/>
          <w:szCs w:val="20"/>
          <w:color w:val="auto"/>
        </w:rPr>
      </w:pPr>
      <w:r>
        <w:rPr>
          <w:rFonts w:ascii="Times New Roman" w:cs="Times New Roman" w:eastAsia="Times New Roman" w:hAnsi="Times New Roman"/>
          <w:sz w:val="19"/>
          <w:szCs w:val="19"/>
          <w:color w:val="auto"/>
        </w:rPr>
        <w:t>Amortization of our customer relationship intangibles and our backlog intangibles are recognized on an accelerated basis as a function of the expected economic benefit. Amortization of our other finite-lived intangibles is recognized on a straight-line basis over the estimated useful life. Amortization expense for finite-lived intangible assets was $31.4 million, $19.8 million, and $15.3 million for fiscal 2025, fiscal 2024, and fiscal 2023, respectively.</w:t>
      </w:r>
    </w:p>
    <w:p>
      <w:pPr>
        <w:spacing w:after="0" w:line="187" w:lineRule="exact"/>
        <w:rPr>
          <w:sz w:val="20"/>
          <w:szCs w:val="20"/>
          <w:color w:val="auto"/>
        </w:rPr>
      </w:pPr>
    </w:p>
    <w:p>
      <w:pPr>
        <w:ind w:right="260" w:firstLine="345"/>
        <w:spacing w:after="0" w:line="289" w:lineRule="auto"/>
        <w:rPr>
          <w:sz w:val="20"/>
          <w:szCs w:val="20"/>
          <w:color w:val="auto"/>
        </w:rPr>
      </w:pPr>
      <w:r>
        <w:rPr>
          <w:rFonts w:ascii="Times New Roman" w:cs="Times New Roman" w:eastAsia="Times New Roman" w:hAnsi="Times New Roman"/>
          <w:sz w:val="19"/>
          <w:szCs w:val="19"/>
          <w:color w:val="auto"/>
        </w:rPr>
        <w:t>As of January 25, 2025, total amortization expense for existing finite-lived intangible assets for the next five fiscal years and thereafter is as follows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860" w:type="dxa"/>
            <w:vAlign w:val="bottom"/>
            <w:tcBorders>
              <w:bottom w:val="single" w:sz="8" w:color="D5D5D5"/>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9"/>
                <w:szCs w:val="19"/>
                <w:b w:val="1"/>
                <w:bCs w:val="1"/>
                <w:color w:val="auto"/>
              </w:rPr>
              <w:t>Amount</w:t>
            </w:r>
          </w:p>
        </w:tc>
      </w:tr>
      <w:tr>
        <w:trPr>
          <w:trHeight w:val="269"/>
        </w:trPr>
        <w:tc>
          <w:tcPr>
            <w:tcW w:w="786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2026</w:t>
            </w:r>
          </w:p>
        </w:tc>
        <w:tc>
          <w:tcPr>
            <w:tcW w:w="400" w:type="dxa"/>
            <w:vAlign w:val="bottom"/>
            <w:shd w:val="clear" w:color="auto" w:fill="D5D5D5"/>
          </w:tcPr>
          <w:p>
            <w:pPr>
              <w:jc w:val="right"/>
              <w:ind w:right="144"/>
              <w:spacing w:after="0"/>
              <w:rPr>
                <w:sz w:val="20"/>
                <w:szCs w:val="20"/>
                <w:color w:val="auto"/>
              </w:rPr>
            </w:pPr>
            <w:r>
              <w:rPr>
                <w:rFonts w:ascii="Times New Roman" w:cs="Times New Roman" w:eastAsia="Times New Roman" w:hAnsi="Times New Roman"/>
                <w:sz w:val="19"/>
                <w:szCs w:val="19"/>
                <w:color w:val="auto"/>
              </w:rPr>
              <w:t>$</w:t>
            </w:r>
          </w:p>
        </w:tc>
        <w:tc>
          <w:tcPr>
            <w:tcW w:w="15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48,396</w:t>
            </w:r>
          </w:p>
        </w:tc>
      </w:tr>
      <w:tr>
        <w:trPr>
          <w:trHeight w:val="282"/>
        </w:trPr>
        <w:tc>
          <w:tcPr>
            <w:tcW w:w="78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2027</w:t>
            </w:r>
          </w:p>
        </w:tc>
        <w:tc>
          <w:tcPr>
            <w:tcW w:w="4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38,500</w:t>
            </w:r>
          </w:p>
        </w:tc>
      </w:tr>
      <w:tr>
        <w:trPr>
          <w:trHeight w:val="294"/>
        </w:trPr>
        <w:tc>
          <w:tcPr>
            <w:tcW w:w="786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2028</w:t>
            </w:r>
          </w:p>
        </w:tc>
        <w:tc>
          <w:tcPr>
            <w:tcW w:w="400" w:type="dxa"/>
            <w:vAlign w:val="bottom"/>
            <w:shd w:val="clear" w:color="auto" w:fill="D5D5D5"/>
          </w:tcPr>
          <w:p>
            <w:pPr>
              <w:spacing w:after="0"/>
              <w:rPr>
                <w:sz w:val="24"/>
                <w:szCs w:val="24"/>
                <w:color w:val="auto"/>
              </w:rPr>
            </w:pPr>
          </w:p>
        </w:tc>
        <w:tc>
          <w:tcPr>
            <w:tcW w:w="15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26,462</w:t>
            </w:r>
          </w:p>
        </w:tc>
      </w:tr>
      <w:tr>
        <w:trPr>
          <w:trHeight w:val="282"/>
        </w:trPr>
        <w:tc>
          <w:tcPr>
            <w:tcW w:w="78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2029</w:t>
            </w:r>
          </w:p>
        </w:tc>
        <w:tc>
          <w:tcPr>
            <w:tcW w:w="4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19,269</w:t>
            </w:r>
          </w:p>
        </w:tc>
      </w:tr>
      <w:tr>
        <w:trPr>
          <w:trHeight w:val="294"/>
        </w:trPr>
        <w:tc>
          <w:tcPr>
            <w:tcW w:w="786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2030</w:t>
            </w:r>
          </w:p>
        </w:tc>
        <w:tc>
          <w:tcPr>
            <w:tcW w:w="400" w:type="dxa"/>
            <w:vAlign w:val="bottom"/>
            <w:shd w:val="clear" w:color="auto" w:fill="D5D5D5"/>
          </w:tcPr>
          <w:p>
            <w:pPr>
              <w:spacing w:after="0"/>
              <w:rPr>
                <w:sz w:val="24"/>
                <w:szCs w:val="24"/>
                <w:color w:val="auto"/>
              </w:rPr>
            </w:pPr>
          </w:p>
        </w:tc>
        <w:tc>
          <w:tcPr>
            <w:tcW w:w="15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18,796</w:t>
            </w:r>
          </w:p>
        </w:tc>
      </w:tr>
      <w:tr>
        <w:trPr>
          <w:trHeight w:val="278"/>
        </w:trPr>
        <w:tc>
          <w:tcPr>
            <w:tcW w:w="7860" w:type="dxa"/>
            <w:vAlign w:val="bottom"/>
            <w:tcBorders>
              <w:bottom w:val="single" w:sz="8" w:color="D5D5D5"/>
            </w:tcBorders>
          </w:tcPr>
          <w:p>
            <w:pPr>
              <w:ind w:left="60"/>
              <w:spacing w:after="0"/>
              <w:rPr>
                <w:sz w:val="20"/>
                <w:szCs w:val="20"/>
                <w:color w:val="auto"/>
              </w:rPr>
            </w:pPr>
            <w:r>
              <w:rPr>
                <w:rFonts w:ascii="Times New Roman" w:cs="Times New Roman" w:eastAsia="Times New Roman" w:hAnsi="Times New Roman"/>
                <w:sz w:val="19"/>
                <w:szCs w:val="19"/>
                <w:color w:val="auto"/>
              </w:rPr>
              <w:t>Thereafter</w:t>
            </w:r>
          </w:p>
        </w:tc>
        <w:tc>
          <w:tcPr>
            <w:tcW w:w="4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63,623</w:t>
            </w:r>
          </w:p>
        </w:tc>
      </w:tr>
      <w:tr>
        <w:trPr>
          <w:trHeight w:val="287"/>
        </w:trPr>
        <w:tc>
          <w:tcPr>
            <w:tcW w:w="7860" w:type="dxa"/>
            <w:vAlign w:val="bottom"/>
            <w:tcBorders>
              <w:bottom w:val="single" w:sz="8" w:color="D5D5D5"/>
            </w:tcBorders>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Total</w:t>
            </w:r>
          </w:p>
        </w:tc>
        <w:tc>
          <w:tcPr>
            <w:tcW w:w="400" w:type="dxa"/>
            <w:vAlign w:val="bottom"/>
            <w:tcBorders>
              <w:bottom w:val="single" w:sz="8" w:color="auto"/>
            </w:tcBorders>
            <w:shd w:val="clear" w:color="auto" w:fill="D5D5D5"/>
          </w:tcPr>
          <w:p>
            <w:pPr>
              <w:jc w:val="right"/>
              <w:ind w:right="144"/>
              <w:spacing w:after="0"/>
              <w:rPr>
                <w:sz w:val="20"/>
                <w:szCs w:val="20"/>
                <w:color w:val="auto"/>
              </w:rPr>
            </w:pPr>
            <w:r>
              <w:rPr>
                <w:rFonts w:ascii="Times New Roman" w:cs="Times New Roman" w:eastAsia="Times New Roman" w:hAnsi="Times New Roman"/>
                <w:sz w:val="19"/>
                <w:szCs w:val="19"/>
                <w:color w:val="auto"/>
              </w:rPr>
              <w:t>$</w:t>
            </w:r>
          </w:p>
        </w:tc>
        <w:tc>
          <w:tcPr>
            <w:tcW w:w="15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215,046</w:t>
            </w:r>
          </w:p>
        </w:tc>
      </w:tr>
    </w:tbl>
    <w:p>
      <w:pPr>
        <w:spacing w:after="0" w:line="256" w:lineRule="exact"/>
        <w:rPr>
          <w:sz w:val="20"/>
          <w:szCs w:val="20"/>
          <w:color w:val="auto"/>
        </w:rPr>
      </w:pPr>
    </w:p>
    <w:p>
      <w:pPr>
        <w:ind w:right="100" w:firstLine="345"/>
        <w:spacing w:after="0" w:line="271" w:lineRule="auto"/>
        <w:rPr>
          <w:sz w:val="20"/>
          <w:szCs w:val="20"/>
          <w:color w:val="auto"/>
        </w:rPr>
      </w:pPr>
      <w:r>
        <w:rPr>
          <w:rFonts w:ascii="Times New Roman" w:cs="Times New Roman" w:eastAsia="Times New Roman" w:hAnsi="Times New Roman"/>
          <w:sz w:val="19"/>
          <w:szCs w:val="19"/>
          <w:color w:val="auto"/>
        </w:rPr>
        <w:t>As of January 25, 2025, we believe that the carrying amounts of our intangible assets are recoverable. However, if adverse events were to occur or circumstances were to change indicating that the carrying amount of such assets may not be fully recoverable, the assets would be reviewed for impairment and the assets could be impaired.</w:t>
      </w:r>
    </w:p>
    <w:p>
      <w:pPr>
        <w:sectPr>
          <w:pgSz w:w="11880" w:h="15480" w:orient="portrait"/>
          <w:cols w:equalWidth="0" w:num="1">
            <w:col w:w="9840"/>
          </w:cols>
          <w:pgMar w:left="1000" w:top="89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260985</wp:posOffset>
            </wp:positionV>
            <wp:extent cx="76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3">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260985</wp:posOffset>
            </wp:positionV>
            <wp:extent cx="76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4">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40"/>
          </w:cols>
          <w:pgMar w:left="1000" w:top="897" w:right="104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9"/>
          <w:szCs w:val="19"/>
          <w:b w:val="1"/>
          <w:bCs w:val="1"/>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t>11. Accrued Insurance Claims</w:t>
      </w:r>
    </w:p>
    <w:p>
      <w:pPr>
        <w:spacing w:after="0" w:line="250" w:lineRule="exact"/>
        <w:rPr>
          <w:sz w:val="20"/>
          <w:szCs w:val="20"/>
          <w:color w:val="auto"/>
        </w:rPr>
      </w:pPr>
    </w:p>
    <w:p>
      <w:pPr>
        <w:ind w:right="40" w:firstLine="345"/>
        <w:spacing w:after="0" w:line="265" w:lineRule="auto"/>
        <w:rPr>
          <w:sz w:val="20"/>
          <w:szCs w:val="20"/>
          <w:color w:val="auto"/>
        </w:rPr>
      </w:pPr>
      <w:r>
        <w:rPr>
          <w:rFonts w:ascii="Times New Roman" w:cs="Times New Roman" w:eastAsia="Times New Roman" w:hAnsi="Times New Roman"/>
          <w:sz w:val="19"/>
          <w:szCs w:val="19"/>
          <w:color w:val="auto"/>
        </w:rPr>
        <w:t>For claims within our insurance program, we retain the risk of loss, up to certain annual stop-loss limits, for matters related to automobile liability, general liability (including damages associated with underground facility locating services), workers’ compensation, and employee group health. Losses for claims beyond our retained risk of loss are covered by insurance up to our coverage limits.</w:t>
      </w:r>
    </w:p>
    <w:p>
      <w:pPr>
        <w:spacing w:after="0" w:line="187" w:lineRule="exact"/>
        <w:rPr>
          <w:sz w:val="20"/>
          <w:szCs w:val="20"/>
          <w:color w:val="auto"/>
        </w:rPr>
      </w:pPr>
    </w:p>
    <w:p>
      <w:pPr>
        <w:ind w:right="180" w:firstLine="345"/>
        <w:spacing w:after="0" w:line="271" w:lineRule="auto"/>
        <w:rPr>
          <w:sz w:val="20"/>
          <w:szCs w:val="20"/>
          <w:color w:val="auto"/>
        </w:rPr>
      </w:pPr>
      <w:r>
        <w:rPr>
          <w:rFonts w:ascii="Times New Roman" w:cs="Times New Roman" w:eastAsia="Times New Roman" w:hAnsi="Times New Roman"/>
          <w:sz w:val="19"/>
          <w:szCs w:val="19"/>
          <w:color w:val="auto"/>
        </w:rPr>
        <w:t>For workers’ compensation losses during fiscal 2025, 2024, and 2023, we retained the risk of loss up to $1.0 million on a per occurrence basis. This retention amount is applicable to all of the states in which we operate, except with respect to workers’ compensation insurance in two states in which we participate in state-sponsored insurance funds.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For automobile liability and general liability losses during fiscal 2025 and 2024, we retained the risk of loss up to</w:t>
      </w:r>
    </w:p>
    <w:p>
      <w:pPr>
        <w:spacing w:after="0" w:line="1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9"/>
          <w:szCs w:val="19"/>
          <w:color w:val="auto"/>
        </w:rPr>
        <w:t>$1.0 million on a per-occurrence basis for the first $5.0 million of insurance coverage. We also retained the risk of loss for the next $10.0 million on a per-occurrence basis for losses between $5.0 million and $15.0 million, if any. Additionally, during fiscal 2024 we retained $10.0 million risk of loss on a per occurrence basis for losses between $30.0 million and $40.0 million, if any.</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For automobile liability and general liability losses during fiscal 2023, we retained the risk of loss up to $1.0 million on 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per-occurrence basis for the first $5.0 million of insurance coverage. We also retained the risk of loss for the next $5.0 million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 a per-occurrence basis with aggregate stop loss limits of $11.5 million within this layer of retention for the period of fiscal</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2023. Additionally, we retained $5.0 million risk of loss on a per occurrence basis for losses between $5.0 million and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$15.0 million, if any, and we retained $10.0 million risk of loss on a per occurrence basis for losses between $30.0 million and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$40.0 million, if any.</w:t>
      </w:r>
    </w:p>
    <w:p>
      <w:pPr>
        <w:spacing w:after="0" w:line="242" w:lineRule="exact"/>
        <w:rPr>
          <w:sz w:val="20"/>
          <w:szCs w:val="20"/>
          <w:color w:val="auto"/>
        </w:rPr>
      </w:pPr>
    </w:p>
    <w:p>
      <w:pPr>
        <w:ind w:right="160" w:firstLine="345"/>
        <w:spacing w:after="0" w:line="271" w:lineRule="auto"/>
        <w:rPr>
          <w:sz w:val="20"/>
          <w:szCs w:val="20"/>
          <w:color w:val="auto"/>
        </w:rPr>
      </w:pPr>
      <w:r>
        <w:rPr>
          <w:rFonts w:ascii="Times New Roman" w:cs="Times New Roman" w:eastAsia="Times New Roman" w:hAnsi="Times New Roman"/>
          <w:sz w:val="19"/>
          <w:szCs w:val="19"/>
          <w:color w:val="auto"/>
        </w:rPr>
        <w:t>We are party to a stop-loss agreement for losses under our employee group health plan. For calendar year 2025, we retain the risk of loss on an annual basis, up to the first $750,000 of claims per participant. In calendar years 2024 and 2023, we retained the risk of loss on an annual basis, up to the first $700,000 and $600,000, respectively, of claims per participant.</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Amounts for total accrued insurance claims and insurance recoveries/receivables are as follows (dollars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180" w:type="dxa"/>
            <w:vAlign w:val="bottom"/>
            <w:tcBorders>
              <w:bottom w:val="single" w:sz="8" w:color="D5D5D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60" w:type="dxa"/>
            <w:vAlign w:val="bottom"/>
            <w:tcBorders>
              <w:bottom w:val="single" w:sz="8" w:color="D5D5D5"/>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9"/>
                <w:szCs w:val="19"/>
                <w:b w:val="1"/>
                <w:bCs w:val="1"/>
                <w:color w:val="auto"/>
              </w:rPr>
              <w:t>January 27, 2024</w:t>
            </w:r>
          </w:p>
        </w:tc>
      </w:tr>
      <w:tr>
        <w:trPr>
          <w:trHeight w:val="269"/>
        </w:trPr>
        <w:tc>
          <w:tcPr>
            <w:tcW w:w="618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Accrued insurance claims - current</w:t>
            </w:r>
          </w:p>
        </w:tc>
        <w:tc>
          <w:tcPr>
            <w:tcW w:w="1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46,686</w:t>
            </w:r>
          </w:p>
        </w:tc>
        <w:tc>
          <w:tcPr>
            <w:tcW w:w="240" w:type="dxa"/>
            <w:vAlign w:val="bottom"/>
            <w:gridSpan w:val="2"/>
            <w:shd w:val="clear" w:color="auto" w:fill="D5D5D5"/>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44,466</w:t>
            </w:r>
          </w:p>
        </w:tc>
      </w:tr>
      <w:tr>
        <w:trPr>
          <w:trHeight w:val="278"/>
        </w:trPr>
        <w:tc>
          <w:tcPr>
            <w:tcW w:w="6180" w:type="dxa"/>
            <w:vAlign w:val="bottom"/>
            <w:tcBorders>
              <w:bottom w:val="single" w:sz="8" w:color="D5D5D5"/>
            </w:tcBorders>
          </w:tcPr>
          <w:p>
            <w:pPr>
              <w:ind w:left="40"/>
              <w:spacing w:after="0"/>
              <w:rPr>
                <w:sz w:val="20"/>
                <w:szCs w:val="20"/>
                <w:color w:val="auto"/>
              </w:rPr>
            </w:pPr>
            <w:r>
              <w:rPr>
                <w:rFonts w:ascii="Times New Roman" w:cs="Times New Roman" w:eastAsia="Times New Roman" w:hAnsi="Times New Roman"/>
                <w:sz w:val="19"/>
                <w:szCs w:val="19"/>
                <w:color w:val="auto"/>
              </w:rPr>
              <w:t>Accrued insurance claims - non-current</w:t>
            </w: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49,836</w:t>
            </w:r>
          </w:p>
        </w:tc>
        <w:tc>
          <w:tcPr>
            <w:tcW w:w="60" w:type="dxa"/>
            <w:vAlign w:val="bottom"/>
            <w:tcBorders>
              <w:bottom w:val="single" w:sz="8" w:color="D5D5D5"/>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49,447</w:t>
            </w:r>
          </w:p>
        </w:tc>
      </w:tr>
      <w:tr>
        <w:trPr>
          <w:trHeight w:val="287"/>
        </w:trPr>
        <w:tc>
          <w:tcPr>
            <w:tcW w:w="618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Accrued insurance claims</w:t>
            </w:r>
          </w:p>
        </w:tc>
        <w:tc>
          <w:tcPr>
            <w:tcW w:w="1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96,522</w:t>
            </w:r>
          </w:p>
        </w:tc>
        <w:tc>
          <w:tcPr>
            <w:tcW w:w="240" w:type="dxa"/>
            <w:vAlign w:val="bottom"/>
            <w:gridSpan w:val="2"/>
            <w:shd w:val="clear" w:color="auto" w:fill="D5D5D5"/>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93,913</w:t>
            </w:r>
          </w:p>
        </w:tc>
      </w:tr>
      <w:tr>
        <w:trPr>
          <w:trHeight w:val="541"/>
        </w:trPr>
        <w:tc>
          <w:tcPr>
            <w:tcW w:w="6180" w:type="dxa"/>
            <w:vAlign w:val="bottom"/>
            <w:tcBorders>
              <w:top w:val="single" w:sz="8" w:color="D5D5D5"/>
            </w:tcBorders>
          </w:tcPr>
          <w:p>
            <w:pPr>
              <w:ind w:left="40"/>
              <w:spacing w:after="0"/>
              <w:rPr>
                <w:sz w:val="20"/>
                <w:szCs w:val="20"/>
                <w:color w:val="auto"/>
              </w:rPr>
            </w:pPr>
            <w:r>
              <w:rPr>
                <w:rFonts w:ascii="Times New Roman" w:cs="Times New Roman" w:eastAsia="Times New Roman" w:hAnsi="Times New Roman"/>
                <w:sz w:val="19"/>
                <w:szCs w:val="19"/>
                <w:color w:val="auto"/>
              </w:rPr>
              <w:t>Insurance recoveries/receivables:</w:t>
            </w:r>
          </w:p>
        </w:tc>
        <w:tc>
          <w:tcPr>
            <w:tcW w:w="16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60" w:type="dxa"/>
            <w:vAlign w:val="bottom"/>
            <w:tcBorders>
              <w:top w:val="single" w:sz="8" w:color="D5D5D5"/>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r>
      <w:tr>
        <w:trPr>
          <w:trHeight w:val="284"/>
        </w:trPr>
        <w:tc>
          <w:tcPr>
            <w:tcW w:w="6180" w:type="dxa"/>
            <w:vAlign w:val="bottom"/>
            <w:tcBorders>
              <w:bottom w:val="single" w:sz="8" w:color="D5D5D5"/>
            </w:tcBorders>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Non-current (included in Other assets)</w:t>
            </w:r>
          </w:p>
        </w:tc>
        <w:tc>
          <w:tcPr>
            <w:tcW w:w="160" w:type="dxa"/>
            <w:vAlign w:val="bottom"/>
            <w:tcBorders>
              <w:bottom w:val="single" w:sz="8" w:color="auto"/>
            </w:tcBorders>
            <w:shd w:val="clear" w:color="auto" w:fill="D5D5D5"/>
          </w:tcPr>
          <w:p>
            <w:pPr>
              <w:spacing w:after="0"/>
              <w:rPr>
                <w:sz w:val="24"/>
                <w:szCs w:val="24"/>
                <w:color w:val="auto"/>
              </w:rPr>
            </w:pPr>
          </w:p>
        </w:tc>
        <w:tc>
          <w:tcPr>
            <w:tcW w:w="16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3,343</w:t>
            </w:r>
          </w:p>
        </w:tc>
        <w:tc>
          <w:tcPr>
            <w:tcW w:w="60" w:type="dxa"/>
            <w:vAlign w:val="bottom"/>
            <w:tcBorders>
              <w:bottom w:val="single" w:sz="8" w:color="D5D5D5"/>
            </w:tcBorders>
            <w:shd w:val="clear" w:color="auto" w:fill="D5D5D5"/>
          </w:tcPr>
          <w:p>
            <w:pPr>
              <w:spacing w:after="0"/>
              <w:rPr>
                <w:sz w:val="24"/>
                <w:szCs w:val="24"/>
                <w:color w:val="auto"/>
              </w:rPr>
            </w:pPr>
          </w:p>
        </w:tc>
        <w:tc>
          <w:tcPr>
            <w:tcW w:w="180" w:type="dxa"/>
            <w:vAlign w:val="bottom"/>
            <w:tcBorders>
              <w:bottom w:val="single" w:sz="8" w:color="auto"/>
            </w:tcBorders>
            <w:shd w:val="clear" w:color="auto" w:fill="D5D5D5"/>
          </w:tcPr>
          <w:p>
            <w:pPr>
              <w:spacing w:after="0"/>
              <w:rPr>
                <w:sz w:val="24"/>
                <w:szCs w:val="24"/>
                <w:color w:val="auto"/>
              </w:rPr>
            </w:pPr>
          </w:p>
        </w:tc>
        <w:tc>
          <w:tcPr>
            <w:tcW w:w="16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4,760</w:t>
            </w:r>
          </w:p>
        </w:tc>
      </w:tr>
      <w:tr>
        <w:trPr>
          <w:trHeight w:val="250"/>
        </w:trPr>
        <w:tc>
          <w:tcPr>
            <w:tcW w:w="6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Insurance recoveries/receivables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3,343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4,760</w:t>
            </w:r>
          </w:p>
        </w:tc>
      </w:tr>
      <w:tr>
        <w:trPr>
          <w:trHeight w:val="20"/>
        </w:trPr>
        <w:tc>
          <w:tcPr>
            <w:tcW w:w="6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80" w:firstLine="345"/>
        <w:spacing w:after="0" w:line="289" w:lineRule="auto"/>
        <w:rPr>
          <w:sz w:val="20"/>
          <w:szCs w:val="20"/>
          <w:color w:val="auto"/>
        </w:rPr>
      </w:pPr>
      <w:r>
        <w:rPr>
          <w:rFonts w:ascii="Times New Roman" w:cs="Times New Roman" w:eastAsia="Times New Roman" w:hAnsi="Times New Roman"/>
          <w:sz w:val="19"/>
          <w:szCs w:val="19"/>
          <w:color w:val="auto"/>
        </w:rPr>
        <w:t>The liability for total accrued insurance claims included incurred but not reported losses of approximately $47.9 million and $47.2 million as of January 25, 2025 and January 27, 2024, respectively.</w:t>
      </w:r>
    </w:p>
    <w:p>
      <w:pPr>
        <w:spacing w:after="0" w:line="165" w:lineRule="exact"/>
        <w:rPr>
          <w:sz w:val="20"/>
          <w:szCs w:val="20"/>
          <w:color w:val="auto"/>
        </w:rPr>
      </w:pPr>
    </w:p>
    <w:p>
      <w:pPr>
        <w:ind w:right="20" w:firstLine="345"/>
        <w:spacing w:after="0" w:line="265" w:lineRule="auto"/>
        <w:rPr>
          <w:sz w:val="20"/>
          <w:szCs w:val="20"/>
          <w:color w:val="auto"/>
        </w:rPr>
      </w:pPr>
      <w:r>
        <w:rPr>
          <w:rFonts w:ascii="Times New Roman" w:cs="Times New Roman" w:eastAsia="Times New Roman" w:hAnsi="Times New Roman"/>
          <w:sz w:val="19"/>
          <w:szCs w:val="19"/>
          <w:color w:val="auto"/>
        </w:rPr>
        <w:t>Insurance recoveries/receivables represent the amount of accrued insurance claims that are covered by insurance as the amounts exceed the Company’s loss retention. During fiscal 2025, total insurance recoveries/receivables decreased approximately $1.4 million primarily due to the settlement of claims that exceeded our loss retention. Accrued insurance claims decreased by a corresponding amount.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12. Leases</w:t>
      </w:r>
    </w:p>
    <w:p>
      <w:pPr>
        <w:spacing w:after="0" w:line="250" w:lineRule="exact"/>
        <w:rPr>
          <w:sz w:val="20"/>
          <w:szCs w:val="20"/>
          <w:color w:val="auto"/>
        </w:rPr>
      </w:pPr>
    </w:p>
    <w:p>
      <w:pPr>
        <w:ind w:firstLine="345"/>
        <w:spacing w:after="0" w:line="271" w:lineRule="auto"/>
        <w:rPr>
          <w:sz w:val="20"/>
          <w:szCs w:val="20"/>
          <w:color w:val="auto"/>
        </w:rPr>
      </w:pPr>
      <w:r>
        <w:rPr>
          <w:rFonts w:ascii="Times New Roman" w:cs="Times New Roman" w:eastAsia="Times New Roman" w:hAnsi="Times New Roman"/>
          <w:sz w:val="19"/>
          <w:szCs w:val="19"/>
          <w:color w:val="auto"/>
        </w:rPr>
        <w:t>We lease the majority of our office facilities as well as certain equipment, all of which are accounted for as operating leases. These leases have remaining terms ranging from less than 1 year to approximately 11 years. Some leases include options to extend the lease for up to 5 years and others include options to terminate.</w:t>
      </w:r>
    </w:p>
    <w:p>
      <w:pPr>
        <w:spacing w:after="0" w:line="181" w:lineRule="exact"/>
        <w:rPr>
          <w:sz w:val="20"/>
          <w:szCs w:val="20"/>
          <w:color w:val="auto"/>
        </w:rPr>
      </w:pPr>
    </w:p>
    <w:p>
      <w:pPr>
        <w:ind w:right="260" w:firstLine="345"/>
        <w:spacing w:after="0" w:line="289" w:lineRule="auto"/>
        <w:rPr>
          <w:sz w:val="20"/>
          <w:szCs w:val="20"/>
          <w:color w:val="auto"/>
        </w:rPr>
      </w:pPr>
      <w:r>
        <w:rPr>
          <w:rFonts w:ascii="Times New Roman" w:cs="Times New Roman" w:eastAsia="Times New Roman" w:hAnsi="Times New Roman"/>
          <w:sz w:val="19"/>
          <w:szCs w:val="19"/>
          <w:color w:val="auto"/>
        </w:rPr>
        <w:t>The following table summarizes the components of lease cost recognized in the consolidated statement of operations for fiscal 2025 and fiscal 2024 (dollars in thousands):</w:t>
      </w:r>
    </w:p>
    <w:p>
      <w:pPr>
        <w:sectPr>
          <w:pgSz w:w="11880" w:h="15480" w:orient="portrait"/>
          <w:cols w:equalWidth="0" w:num="1">
            <w:col w:w="9820"/>
          </w:cols>
          <w:pgMar w:left="1000" w:top="889"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254000</wp:posOffset>
            </wp:positionV>
            <wp:extent cx="76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7">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254000</wp:posOffset>
            </wp:positionV>
            <wp:extent cx="76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8">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20"/>
          </w:cols>
          <w:pgMar w:left="1000" w:top="889" w:right="1060" w:bottom="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66"/>
        </w:trPr>
        <w:tc>
          <w:tcPr>
            <w:tcW w:w="654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gridSpan w:val="3"/>
          </w:tcPr>
          <w:p>
            <w:pPr>
              <w:jc w:val="right"/>
              <w:ind w:right="64"/>
              <w:spacing w:after="0"/>
              <w:rPr>
                <w:sz w:val="20"/>
                <w:szCs w:val="20"/>
                <w:color w:val="auto"/>
              </w:rPr>
            </w:pPr>
            <w:r>
              <w:rPr>
                <w:rFonts w:ascii="Times New Roman" w:cs="Times New Roman" w:eastAsia="Times New Roman" w:hAnsi="Times New Roman"/>
                <w:sz w:val="19"/>
                <w:szCs w:val="19"/>
                <w:b w:val="1"/>
                <w:bCs w:val="1"/>
                <w:color w:val="auto"/>
              </w:rPr>
              <w:t>Fiscal Year Ended</w:t>
            </w:r>
          </w:p>
        </w:tc>
        <w:tc>
          <w:tcPr>
            <w:tcW w:w="740" w:type="dxa"/>
            <w:vAlign w:val="bottom"/>
            <w:tcBorders>
              <w:bottom w:val="single" w:sz="8" w:color="auto"/>
            </w:tcBorders>
          </w:tcPr>
          <w:p>
            <w:pPr>
              <w:spacing w:after="0"/>
              <w:rPr>
                <w:sz w:val="23"/>
                <w:szCs w:val="23"/>
                <w:color w:val="auto"/>
              </w:rPr>
            </w:pPr>
          </w:p>
        </w:tc>
      </w:tr>
      <w:tr>
        <w:trPr>
          <w:trHeight w:val="254"/>
        </w:trPr>
        <w:tc>
          <w:tcPr>
            <w:tcW w:w="6540" w:type="dxa"/>
            <w:vAlign w:val="bottom"/>
            <w:tcBorders>
              <w:bottom w:val="single" w:sz="8" w:color="D5D5D5"/>
            </w:tcBorders>
          </w:tcPr>
          <w:p>
            <w:pPr>
              <w:spacing w:after="0"/>
              <w:rPr>
                <w:sz w:val="22"/>
                <w:szCs w:val="22"/>
                <w:color w:val="auto"/>
              </w:rPr>
            </w:pPr>
          </w:p>
        </w:tc>
        <w:tc>
          <w:tcPr>
            <w:tcW w:w="162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60" w:type="dxa"/>
            <w:vAlign w:val="bottom"/>
            <w:tcBorders>
              <w:bottom w:val="single" w:sz="8" w:color="D5D5D5"/>
            </w:tcBorders>
          </w:tcPr>
          <w:p>
            <w:pPr>
              <w:spacing w:after="0"/>
              <w:rPr>
                <w:sz w:val="22"/>
                <w:szCs w:val="22"/>
                <w:color w:val="auto"/>
              </w:rPr>
            </w:pPr>
          </w:p>
        </w:tc>
        <w:tc>
          <w:tcPr>
            <w:tcW w:w="162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January 27, 2024</w:t>
            </w:r>
          </w:p>
        </w:tc>
      </w:tr>
      <w:tr>
        <w:trPr>
          <w:trHeight w:val="269"/>
        </w:trPr>
        <w:tc>
          <w:tcPr>
            <w:tcW w:w="654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Lease cost under long-term operating leases</w:t>
            </w:r>
          </w:p>
        </w:tc>
        <w:tc>
          <w:tcPr>
            <w:tcW w:w="520" w:type="dxa"/>
            <w:vAlign w:val="bottom"/>
            <w:shd w:val="clear" w:color="auto" w:fill="D5D5D5"/>
          </w:tcPr>
          <w:p>
            <w:pPr>
              <w:jc w:val="right"/>
              <w:ind w:right="284"/>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46,151</w:t>
            </w:r>
          </w:p>
        </w:tc>
        <w:tc>
          <w:tcPr>
            <w:tcW w:w="940" w:type="dxa"/>
            <w:vAlign w:val="bottom"/>
            <w:gridSpan w:val="2"/>
            <w:shd w:val="clear" w:color="auto" w:fill="D5D5D5"/>
          </w:tcPr>
          <w:p>
            <w:pPr>
              <w:jc w:val="right"/>
              <w:ind w:right="644"/>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38,497</w:t>
            </w:r>
          </w:p>
        </w:tc>
      </w:tr>
      <w:tr>
        <w:trPr>
          <w:trHeight w:val="282"/>
        </w:trPr>
        <w:tc>
          <w:tcPr>
            <w:tcW w:w="65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Lease cost under short-term operating leases</w:t>
            </w:r>
          </w:p>
        </w:tc>
        <w:tc>
          <w:tcPr>
            <w:tcW w:w="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17,119</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23,048</w:t>
            </w:r>
          </w:p>
        </w:tc>
      </w:tr>
      <w:tr>
        <w:trPr>
          <w:trHeight w:val="284"/>
        </w:trPr>
        <w:tc>
          <w:tcPr>
            <w:tcW w:w="6540" w:type="dxa"/>
            <w:vAlign w:val="bottom"/>
            <w:tcBorders>
              <w:bottom w:val="single" w:sz="8" w:color="D5D5D5"/>
            </w:tcBorders>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Variable lease cost under short-term and long-term operating leases</w:t>
            </w:r>
            <w:r>
              <w:rPr>
                <w:rFonts w:ascii="Times New Roman" w:cs="Times New Roman" w:eastAsia="Times New Roman" w:hAnsi="Times New Roman"/>
                <w:sz w:val="24"/>
                <w:szCs w:val="24"/>
                <w:color w:val="auto"/>
                <w:vertAlign w:val="superscript"/>
              </w:rPr>
              <w:t>(1)</w:t>
            </w:r>
          </w:p>
        </w:tc>
        <w:tc>
          <w:tcPr>
            <w:tcW w:w="520" w:type="dxa"/>
            <w:vAlign w:val="bottom"/>
            <w:tcBorders>
              <w:bottom w:val="single" w:sz="8" w:color="auto"/>
            </w:tcBorders>
            <w:shd w:val="clear" w:color="auto" w:fill="D5D5D5"/>
          </w:tcPr>
          <w:p>
            <w:pPr>
              <w:spacing w:after="0"/>
              <w:rPr>
                <w:sz w:val="24"/>
                <w:szCs w:val="24"/>
                <w:color w:val="auto"/>
              </w:rPr>
            </w:pPr>
          </w:p>
        </w:tc>
        <w:tc>
          <w:tcPr>
            <w:tcW w:w="11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3,725</w:t>
            </w:r>
          </w:p>
        </w:tc>
        <w:tc>
          <w:tcPr>
            <w:tcW w:w="60" w:type="dxa"/>
            <w:vAlign w:val="bottom"/>
            <w:tcBorders>
              <w:bottom w:val="single" w:sz="8" w:color="D5D5D5"/>
            </w:tcBorders>
            <w:shd w:val="clear" w:color="auto" w:fill="D5D5D5"/>
          </w:tcPr>
          <w:p>
            <w:pPr>
              <w:spacing w:after="0"/>
              <w:rPr>
                <w:sz w:val="24"/>
                <w:szCs w:val="24"/>
                <w:color w:val="auto"/>
              </w:rPr>
            </w:pPr>
          </w:p>
        </w:tc>
        <w:tc>
          <w:tcPr>
            <w:tcW w:w="880" w:type="dxa"/>
            <w:vAlign w:val="bottom"/>
            <w:tcBorders>
              <w:bottom w:val="single" w:sz="8" w:color="auto"/>
            </w:tcBorders>
            <w:shd w:val="clear" w:color="auto" w:fill="D5D5D5"/>
          </w:tcPr>
          <w:p>
            <w:pPr>
              <w:spacing w:after="0"/>
              <w:rPr>
                <w:sz w:val="24"/>
                <w:szCs w:val="24"/>
                <w:color w:val="auto"/>
              </w:rPr>
            </w:pPr>
          </w:p>
        </w:tc>
        <w:tc>
          <w:tcPr>
            <w:tcW w:w="74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3,695</w:t>
            </w:r>
          </w:p>
        </w:tc>
      </w:tr>
      <w:tr>
        <w:trPr>
          <w:trHeight w:val="249"/>
        </w:trPr>
        <w:tc>
          <w:tcPr>
            <w:tcW w:w="65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Total lease cost</w:t>
            </w:r>
          </w:p>
        </w:tc>
        <w:tc>
          <w:tcPr>
            <w:tcW w:w="520" w:type="dxa"/>
            <w:vAlign w:val="bottom"/>
          </w:tcPr>
          <w:p>
            <w:pPr>
              <w:jc w:val="right"/>
              <w:ind w:right="284"/>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66,995</w:t>
            </w:r>
          </w:p>
        </w:tc>
        <w:tc>
          <w:tcPr>
            <w:tcW w:w="940" w:type="dxa"/>
            <w:vAlign w:val="bottom"/>
            <w:gridSpan w:val="2"/>
          </w:tcPr>
          <w:p>
            <w:pPr>
              <w:jc w:val="right"/>
              <w:ind w:right="644"/>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65,240</w:t>
            </w:r>
          </w:p>
        </w:tc>
      </w:tr>
      <w:tr>
        <w:trPr>
          <w:trHeight w:val="20"/>
        </w:trPr>
        <w:tc>
          <w:tcPr>
            <w:tcW w:w="6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right="220" w:firstLine="340"/>
        <w:spacing w:after="0" w:line="251" w:lineRule="auto"/>
        <w:tabs>
          <w:tab w:leader="none" w:pos="522"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Variable lease cost primarily includes insurance, maintenance, and other operating expenses related to our leased office facilities.</w:t>
      </w:r>
    </w:p>
    <w:p>
      <w:pPr>
        <w:spacing w:after="0" w:line="198" w:lineRule="exact"/>
        <w:rPr>
          <w:sz w:val="20"/>
          <w:szCs w:val="20"/>
          <w:color w:val="auto"/>
        </w:rPr>
      </w:pPr>
    </w:p>
    <w:p>
      <w:pPr>
        <w:ind w:right="100" w:firstLine="346"/>
        <w:spacing w:after="0" w:line="289" w:lineRule="auto"/>
        <w:rPr>
          <w:sz w:val="20"/>
          <w:szCs w:val="20"/>
          <w:color w:val="auto"/>
        </w:rPr>
      </w:pPr>
      <w:r>
        <w:rPr>
          <w:rFonts w:ascii="Times New Roman" w:cs="Times New Roman" w:eastAsia="Times New Roman" w:hAnsi="Times New Roman"/>
          <w:sz w:val="19"/>
          <w:szCs w:val="19"/>
          <w:color w:val="auto"/>
        </w:rPr>
        <w:t>Our operating lease liabilities related to long-term operating leases were $112.8 million and $76.1 million as of January 25, 2025 and January 27, 2024, respectively. Supplemental balance sheet information related to these liabilities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Borders>
              <w:bottom w:val="single" w:sz="8" w:color="D5D5D5"/>
            </w:tcBorders>
          </w:tcPr>
          <w:p>
            <w:pPr>
              <w:spacing w:after="0"/>
              <w:rPr>
                <w:sz w:val="23"/>
                <w:szCs w:val="23"/>
                <w:color w:val="auto"/>
              </w:rPr>
            </w:pPr>
          </w:p>
        </w:tc>
        <w:tc>
          <w:tcPr>
            <w:tcW w:w="17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60" w:type="dxa"/>
            <w:vAlign w:val="bottom"/>
            <w:tcBorders>
              <w:bottom w:val="single" w:sz="8" w:color="D5D5D5"/>
            </w:tcBorders>
          </w:tcPr>
          <w:p>
            <w:pPr>
              <w:spacing w:after="0"/>
              <w:rPr>
                <w:sz w:val="23"/>
                <w:szCs w:val="23"/>
                <w:color w:val="auto"/>
              </w:rPr>
            </w:pPr>
          </w:p>
        </w:tc>
        <w:tc>
          <w:tcPr>
            <w:tcW w:w="17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9"/>
                <w:szCs w:val="19"/>
                <w:b w:val="1"/>
                <w:bCs w:val="1"/>
                <w:color w:val="auto"/>
              </w:rPr>
              <w:t>January 27, 2024</w:t>
            </w:r>
          </w:p>
        </w:tc>
      </w:tr>
      <w:tr>
        <w:trPr>
          <w:trHeight w:val="269"/>
        </w:trPr>
        <w:tc>
          <w:tcPr>
            <w:tcW w:w="632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Weighted average remaining lease term</w:t>
            </w:r>
          </w:p>
        </w:tc>
        <w:tc>
          <w:tcPr>
            <w:tcW w:w="17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4.6 years</w:t>
            </w:r>
          </w:p>
        </w:tc>
        <w:tc>
          <w:tcPr>
            <w:tcW w:w="60" w:type="dxa"/>
            <w:vAlign w:val="bottom"/>
            <w:shd w:val="clear" w:color="auto" w:fill="D5D5D5"/>
          </w:tcPr>
          <w:p>
            <w:pPr>
              <w:spacing w:after="0"/>
              <w:rPr>
                <w:sz w:val="23"/>
                <w:szCs w:val="23"/>
                <w:color w:val="auto"/>
              </w:rPr>
            </w:pPr>
          </w:p>
        </w:tc>
        <w:tc>
          <w:tcPr>
            <w:tcW w:w="17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2.8 years</w:t>
            </w:r>
          </w:p>
        </w:tc>
      </w:tr>
      <w:tr>
        <w:trPr>
          <w:trHeight w:val="276"/>
        </w:trPr>
        <w:tc>
          <w:tcPr>
            <w:tcW w:w="6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Weighted average discount rate</w:t>
            </w: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5.0 %</w:t>
            </w:r>
          </w:p>
        </w:tc>
      </w:tr>
    </w:tbl>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Supplemental cash flow information related to our long-term operating lease liabilities as of January 25, 2025 and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January 27, 2024 is as follows (dollars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360" w:type="dxa"/>
            <w:vAlign w:val="bottom"/>
            <w:gridSpan w:val="5"/>
          </w:tcPr>
          <w:p>
            <w:pPr>
              <w:ind w:left="840"/>
              <w:spacing w:after="0"/>
              <w:rPr>
                <w:sz w:val="20"/>
                <w:szCs w:val="20"/>
                <w:color w:val="auto"/>
              </w:rPr>
            </w:pPr>
            <w:r>
              <w:rPr>
                <w:rFonts w:ascii="Times New Roman" w:cs="Times New Roman" w:eastAsia="Times New Roman" w:hAnsi="Times New Roman"/>
                <w:sz w:val="19"/>
                <w:szCs w:val="19"/>
                <w:b w:val="1"/>
                <w:bCs w:val="1"/>
                <w:color w:val="auto"/>
              </w:rPr>
              <w:t>Fiscal Year Ended</w:t>
            </w:r>
          </w:p>
        </w:tc>
        <w:tc>
          <w:tcPr>
            <w:tcW w:w="0" w:type="dxa"/>
            <w:vAlign w:val="bottom"/>
          </w:tcPr>
          <w:p>
            <w:pPr>
              <w:spacing w:after="0"/>
              <w:rPr>
                <w:sz w:val="1"/>
                <w:szCs w:val="1"/>
                <w:color w:val="auto"/>
              </w:rPr>
            </w:pPr>
          </w:p>
        </w:tc>
      </w:tr>
      <w:tr>
        <w:trPr>
          <w:trHeight w:val="254"/>
        </w:trPr>
        <w:tc>
          <w:tcPr>
            <w:tcW w:w="6420" w:type="dxa"/>
            <w:vAlign w:val="bottom"/>
            <w:tcBorders>
              <w:bottom w:val="single" w:sz="8" w:color="D5D5D5"/>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60" w:type="dxa"/>
            <w:vAlign w:val="bottom"/>
            <w:tcBorders>
              <w:top w:val="single" w:sz="8" w:color="auto"/>
              <w:bottom w:val="single" w:sz="8" w:color="D5D5D5"/>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9"/>
                <w:szCs w:val="19"/>
                <w:b w:val="1"/>
                <w:bCs w:val="1"/>
                <w:color w:val="auto"/>
                <w:w w:val="99"/>
              </w:rPr>
              <w:t>January 27, 2024</w:t>
            </w:r>
          </w:p>
        </w:tc>
        <w:tc>
          <w:tcPr>
            <w:tcW w:w="20" w:type="dxa"/>
            <w:vAlign w:val="bottom"/>
            <w:tcBorders>
              <w:bottom w:val="single" w:sz="8" w:color="D5D5D5"/>
            </w:tcBorders>
          </w:tcPr>
          <w:p>
            <w:pPr>
              <w:spacing w:after="0"/>
              <w:rPr>
                <w:sz w:val="22"/>
                <w:szCs w:val="22"/>
                <w:color w:val="auto"/>
              </w:rPr>
            </w:pPr>
          </w:p>
        </w:tc>
        <w:tc>
          <w:tcPr>
            <w:tcW w:w="0" w:type="dxa"/>
            <w:vAlign w:val="bottom"/>
          </w:tcPr>
          <w:p>
            <w:pPr>
              <w:spacing w:after="0"/>
              <w:rPr>
                <w:sz w:val="1"/>
                <w:szCs w:val="1"/>
                <w:color w:val="auto"/>
              </w:rPr>
            </w:pPr>
          </w:p>
        </w:tc>
      </w:tr>
      <w:tr>
        <w:trPr>
          <w:trHeight w:val="384"/>
        </w:trPr>
        <w:tc>
          <w:tcPr>
            <w:tcW w:w="642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Cash paid for amounts included in the measurement of lease liabilities</w:t>
            </w:r>
          </w:p>
        </w:tc>
        <w:tc>
          <w:tcPr>
            <w:tcW w:w="1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41,574</w:t>
            </w:r>
          </w:p>
        </w:tc>
        <w:tc>
          <w:tcPr>
            <w:tcW w:w="22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36,677</w:t>
            </w:r>
          </w:p>
        </w:tc>
        <w:tc>
          <w:tcPr>
            <w:tcW w:w="2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420" w:type="dxa"/>
            <w:vAlign w:val="bottom"/>
          </w:tcPr>
          <w:p>
            <w:pPr>
              <w:ind w:left="40"/>
              <w:spacing w:after="0" w:line="214" w:lineRule="exact"/>
              <w:rPr>
                <w:sz w:val="20"/>
                <w:szCs w:val="20"/>
                <w:color w:val="auto"/>
              </w:rPr>
            </w:pPr>
            <w:r>
              <w:rPr>
                <w:rFonts w:ascii="Times New Roman" w:cs="Times New Roman" w:eastAsia="Times New Roman" w:hAnsi="Times New Roman"/>
                <w:sz w:val="19"/>
                <w:szCs w:val="19"/>
                <w:color w:val="auto"/>
              </w:rPr>
              <w:t>Operating lease right-of-use assets obtained in exchange for operating lease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76,833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44,602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4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liabilities</w:t>
            </w:r>
          </w:p>
        </w:tc>
        <w:tc>
          <w:tcPr>
            <w:tcW w:w="140" w:type="dxa"/>
            <w:vAlign w:val="bottom"/>
            <w:vMerge w:val="continue"/>
          </w:tcPr>
          <w:p>
            <w:pPr>
              <w:spacing w:after="0"/>
              <w:rPr>
                <w:sz w:val="21"/>
                <w:szCs w:val="21"/>
                <w:color w:val="auto"/>
              </w:rPr>
            </w:pPr>
          </w:p>
        </w:tc>
        <w:tc>
          <w:tcPr>
            <w:tcW w:w="156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15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40" w:firstLine="346"/>
        <w:spacing w:after="0" w:line="289" w:lineRule="auto"/>
        <w:rPr>
          <w:sz w:val="20"/>
          <w:szCs w:val="20"/>
          <w:color w:val="auto"/>
        </w:rPr>
      </w:pPr>
      <w:r>
        <w:rPr>
          <w:rFonts w:ascii="Times New Roman" w:cs="Times New Roman" w:eastAsia="Times New Roman" w:hAnsi="Times New Roman"/>
          <w:sz w:val="19"/>
          <w:szCs w:val="19"/>
          <w:color w:val="auto"/>
        </w:rPr>
        <w:t>As of January 25, 2025, maturities of our lease liabilities under our long-term operating leases for the next five fiscal years and thereafter are as follows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8100" w:type="dxa"/>
            <w:vAlign w:val="bottom"/>
            <w:tcBorders>
              <w:bottom w:val="single" w:sz="8" w:color="D5D5D5"/>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3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9"/>
                <w:szCs w:val="19"/>
                <w:b w:val="1"/>
                <w:bCs w:val="1"/>
                <w:color w:val="auto"/>
              </w:rPr>
              <w:t>Amount</w:t>
            </w:r>
          </w:p>
        </w:tc>
      </w:tr>
      <w:tr>
        <w:trPr>
          <w:trHeight w:val="269"/>
        </w:trPr>
        <w:tc>
          <w:tcPr>
            <w:tcW w:w="810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2026</w:t>
            </w:r>
          </w:p>
        </w:tc>
        <w:tc>
          <w:tcPr>
            <w:tcW w:w="340" w:type="dxa"/>
            <w:vAlign w:val="bottom"/>
            <w:shd w:val="clear" w:color="auto" w:fill="D5D5D5"/>
          </w:tcPr>
          <w:p>
            <w:pPr>
              <w:jc w:val="right"/>
              <w:ind w:right="104"/>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36,120</w:t>
            </w:r>
          </w:p>
        </w:tc>
      </w:tr>
      <w:tr>
        <w:trPr>
          <w:trHeight w:val="282"/>
        </w:trPr>
        <w:tc>
          <w:tcPr>
            <w:tcW w:w="81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2027</w:t>
            </w:r>
          </w:p>
        </w:tc>
        <w:tc>
          <w:tcPr>
            <w:tcW w:w="3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30,836</w:t>
            </w:r>
          </w:p>
        </w:tc>
      </w:tr>
      <w:tr>
        <w:trPr>
          <w:trHeight w:val="294"/>
        </w:trPr>
        <w:tc>
          <w:tcPr>
            <w:tcW w:w="810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2028</w:t>
            </w:r>
          </w:p>
        </w:tc>
        <w:tc>
          <w:tcPr>
            <w:tcW w:w="340" w:type="dxa"/>
            <w:vAlign w:val="bottom"/>
            <w:shd w:val="clear" w:color="auto" w:fill="D5D5D5"/>
          </w:tcPr>
          <w:p>
            <w:pPr>
              <w:spacing w:after="0"/>
              <w:rPr>
                <w:sz w:val="24"/>
                <w:szCs w:val="24"/>
                <w:color w:val="auto"/>
              </w:rPr>
            </w:pPr>
          </w:p>
        </w:tc>
        <w:tc>
          <w:tcPr>
            <w:tcW w:w="13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19,402</w:t>
            </w:r>
          </w:p>
        </w:tc>
      </w:tr>
      <w:tr>
        <w:trPr>
          <w:trHeight w:val="282"/>
        </w:trPr>
        <w:tc>
          <w:tcPr>
            <w:tcW w:w="81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2029</w:t>
            </w:r>
          </w:p>
        </w:tc>
        <w:tc>
          <w:tcPr>
            <w:tcW w:w="3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13,071</w:t>
            </w:r>
          </w:p>
        </w:tc>
      </w:tr>
      <w:tr>
        <w:trPr>
          <w:trHeight w:val="294"/>
        </w:trPr>
        <w:tc>
          <w:tcPr>
            <w:tcW w:w="810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2030</w:t>
            </w:r>
          </w:p>
        </w:tc>
        <w:tc>
          <w:tcPr>
            <w:tcW w:w="340" w:type="dxa"/>
            <w:vAlign w:val="bottom"/>
            <w:shd w:val="clear" w:color="auto" w:fill="D5D5D5"/>
          </w:tcPr>
          <w:p>
            <w:pPr>
              <w:spacing w:after="0"/>
              <w:rPr>
                <w:sz w:val="24"/>
                <w:szCs w:val="24"/>
                <w:color w:val="auto"/>
              </w:rPr>
            </w:pPr>
          </w:p>
        </w:tc>
        <w:tc>
          <w:tcPr>
            <w:tcW w:w="13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8,241</w:t>
            </w:r>
          </w:p>
        </w:tc>
      </w:tr>
      <w:tr>
        <w:trPr>
          <w:trHeight w:val="278"/>
        </w:trPr>
        <w:tc>
          <w:tcPr>
            <w:tcW w:w="8100" w:type="dxa"/>
            <w:vAlign w:val="bottom"/>
            <w:tcBorders>
              <w:bottom w:val="single" w:sz="8" w:color="D5D5D5"/>
            </w:tcBorders>
          </w:tcPr>
          <w:p>
            <w:pPr>
              <w:ind w:left="60"/>
              <w:spacing w:after="0"/>
              <w:rPr>
                <w:sz w:val="20"/>
                <w:szCs w:val="20"/>
                <w:color w:val="auto"/>
              </w:rPr>
            </w:pPr>
            <w:r>
              <w:rPr>
                <w:rFonts w:ascii="Times New Roman" w:cs="Times New Roman" w:eastAsia="Times New Roman" w:hAnsi="Times New Roman"/>
                <w:sz w:val="19"/>
                <w:szCs w:val="19"/>
                <w:color w:val="auto"/>
              </w:rPr>
              <w:t>Thereafter</w:t>
            </w: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25,223</w:t>
            </w:r>
          </w:p>
        </w:tc>
      </w:tr>
      <w:tr>
        <w:trPr>
          <w:trHeight w:val="278"/>
        </w:trPr>
        <w:tc>
          <w:tcPr>
            <w:tcW w:w="8100" w:type="dxa"/>
            <w:vAlign w:val="bottom"/>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Total lease payments</w:t>
            </w:r>
          </w:p>
        </w:tc>
        <w:tc>
          <w:tcPr>
            <w:tcW w:w="340" w:type="dxa"/>
            <w:vAlign w:val="bottom"/>
            <w:shd w:val="clear" w:color="auto" w:fill="D5D5D5"/>
          </w:tcPr>
          <w:p>
            <w:pPr>
              <w:spacing w:after="0"/>
              <w:rPr>
                <w:sz w:val="24"/>
                <w:szCs w:val="24"/>
                <w:color w:val="auto"/>
              </w:rPr>
            </w:pPr>
          </w:p>
        </w:tc>
        <w:tc>
          <w:tcPr>
            <w:tcW w:w="13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132,893</w:t>
            </w:r>
          </w:p>
        </w:tc>
      </w:tr>
      <w:tr>
        <w:trPr>
          <w:trHeight w:val="278"/>
        </w:trPr>
        <w:tc>
          <w:tcPr>
            <w:tcW w:w="8100" w:type="dxa"/>
            <w:vAlign w:val="bottom"/>
            <w:tcBorders>
              <w:bottom w:val="single" w:sz="8" w:color="D5D5D5"/>
            </w:tcBorders>
          </w:tcPr>
          <w:p>
            <w:pPr>
              <w:ind w:left="60"/>
              <w:spacing w:after="0"/>
              <w:rPr>
                <w:sz w:val="20"/>
                <w:szCs w:val="20"/>
                <w:color w:val="auto"/>
              </w:rPr>
            </w:pPr>
            <w:r>
              <w:rPr>
                <w:rFonts w:ascii="Times New Roman" w:cs="Times New Roman" w:eastAsia="Times New Roman" w:hAnsi="Times New Roman"/>
                <w:sz w:val="19"/>
                <w:szCs w:val="19"/>
                <w:color w:val="auto"/>
              </w:rPr>
              <w:t>Less: imputed interest</w:t>
            </w: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(20,142)</w:t>
            </w:r>
          </w:p>
        </w:tc>
      </w:tr>
      <w:tr>
        <w:trPr>
          <w:trHeight w:val="287"/>
        </w:trPr>
        <w:tc>
          <w:tcPr>
            <w:tcW w:w="8100" w:type="dxa"/>
            <w:vAlign w:val="bottom"/>
            <w:tcBorders>
              <w:bottom w:val="single" w:sz="8" w:color="D5D5D5"/>
            </w:tcBorders>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Total</w:t>
            </w:r>
          </w:p>
        </w:tc>
        <w:tc>
          <w:tcPr>
            <w:tcW w:w="340" w:type="dxa"/>
            <w:vAlign w:val="bottom"/>
            <w:tcBorders>
              <w:bottom w:val="single" w:sz="8" w:color="auto"/>
            </w:tcBorders>
            <w:shd w:val="clear" w:color="auto" w:fill="D5D5D5"/>
          </w:tcPr>
          <w:p>
            <w:pPr>
              <w:jc w:val="right"/>
              <w:ind w:right="104"/>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112,751</w:t>
            </w:r>
          </w:p>
        </w:tc>
      </w:tr>
    </w:tbl>
    <w:p>
      <w:pPr>
        <w:spacing w:after="0" w:line="256" w:lineRule="exact"/>
        <w:rPr>
          <w:sz w:val="20"/>
          <w:szCs w:val="20"/>
          <w:color w:val="auto"/>
        </w:rPr>
      </w:pPr>
    </w:p>
    <w:p>
      <w:pPr>
        <w:jc w:val="both"/>
        <w:ind w:right="80" w:firstLine="346"/>
        <w:spacing w:after="0" w:line="289" w:lineRule="auto"/>
        <w:rPr>
          <w:sz w:val="20"/>
          <w:szCs w:val="20"/>
          <w:color w:val="auto"/>
        </w:rPr>
      </w:pPr>
      <w:r>
        <w:rPr>
          <w:rFonts w:ascii="Times New Roman" w:cs="Times New Roman" w:eastAsia="Times New Roman" w:hAnsi="Times New Roman"/>
          <w:sz w:val="19"/>
          <w:szCs w:val="19"/>
          <w:color w:val="auto"/>
        </w:rPr>
        <w:t>As of January 25, 2025, the Company had additional operating leases with total lease costs of $1.2 million that have not yet commenced. These leases will commence in fiscal 2026.</w:t>
      </w:r>
    </w:p>
    <w:p>
      <w:pPr>
        <w:sectPr>
          <w:pgSz w:w="11880" w:h="15480" w:orient="portrait"/>
          <w:cols w:equalWidth="0" w:num="1">
            <w:col w:w="9900"/>
          </w:cols>
          <w:pgMar w:left="1000" w:top="115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254000</wp:posOffset>
            </wp:positionV>
            <wp:extent cx="76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1">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254000</wp:posOffset>
            </wp:positionV>
            <wp:extent cx="76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2">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900"/>
          </w:cols>
          <w:pgMar w:left="1000" w:top="1151" w:right="980" w:bottom="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56"/>
        </w:trPr>
        <w:tc>
          <w:tcPr>
            <w:tcW w:w="6180" w:type="dxa"/>
            <w:vAlign w:val="bottom"/>
          </w:tcPr>
          <w:p>
            <w:pPr>
              <w:spacing w:after="0"/>
              <w:rPr>
                <w:sz w:val="20"/>
                <w:szCs w:val="20"/>
                <w:color w:val="auto"/>
              </w:rPr>
            </w:pPr>
            <w:r>
              <w:rPr>
                <w:rFonts w:ascii="Times New Roman" w:cs="Times New Roman" w:eastAsia="Times New Roman" w:hAnsi="Times New Roman"/>
                <w:sz w:val="19"/>
                <w:szCs w:val="19"/>
                <w:b w:val="1"/>
                <w:bCs w:val="1"/>
                <w:i w:val="1"/>
                <w:iCs w:val="1"/>
                <w:color w:val="auto"/>
              </w:rPr>
              <w:t>13. Other Accrued Liabilities</w:t>
            </w:r>
          </w:p>
        </w:tc>
        <w:tc>
          <w:tcPr>
            <w:tcW w:w="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464"/>
        </w:trPr>
        <w:tc>
          <w:tcPr>
            <w:tcW w:w="618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Other accrued liabilities consisted of the following (dollars in thousands):</w:t>
            </w: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12"/>
        </w:trPr>
        <w:tc>
          <w:tcPr>
            <w:tcW w:w="6180" w:type="dxa"/>
            <w:vAlign w:val="bottom"/>
            <w:tcBorders>
              <w:bottom w:val="single" w:sz="8" w:color="D5D5D5"/>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60" w:type="dxa"/>
            <w:vAlign w:val="bottom"/>
            <w:tcBorders>
              <w:bottom w:val="single" w:sz="8" w:color="D5D5D5"/>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9"/>
                <w:szCs w:val="19"/>
                <w:b w:val="1"/>
                <w:bCs w:val="1"/>
                <w:color w:val="auto"/>
              </w:rPr>
              <w:t>January 27, 2024</w:t>
            </w:r>
          </w:p>
        </w:tc>
      </w:tr>
      <w:tr>
        <w:trPr>
          <w:trHeight w:val="269"/>
        </w:trPr>
        <w:tc>
          <w:tcPr>
            <w:tcW w:w="618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Accrued payroll and related taxes</w:t>
            </w:r>
          </w:p>
        </w:tc>
        <w:tc>
          <w:tcPr>
            <w:tcW w:w="1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35,543</w:t>
            </w:r>
          </w:p>
        </w:tc>
        <w:tc>
          <w:tcPr>
            <w:tcW w:w="24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32,370</w:t>
            </w:r>
          </w:p>
        </w:tc>
      </w:tr>
      <w:tr>
        <w:trPr>
          <w:trHeight w:val="282"/>
        </w:trPr>
        <w:tc>
          <w:tcPr>
            <w:tcW w:w="61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Accrued employee benefit and incentive plan costs</w:t>
            </w:r>
          </w:p>
        </w:tc>
        <w:tc>
          <w:tcPr>
            <w:tcW w:w="1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61,213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51,661</w:t>
            </w:r>
          </w:p>
        </w:tc>
      </w:tr>
      <w:tr>
        <w:trPr>
          <w:trHeight w:val="294"/>
        </w:trPr>
        <w:tc>
          <w:tcPr>
            <w:tcW w:w="618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Accrued construction costs</w:t>
            </w:r>
          </w:p>
        </w:tc>
        <w:tc>
          <w:tcPr>
            <w:tcW w:w="160" w:type="dxa"/>
            <w:vAlign w:val="bottom"/>
            <w:shd w:val="clear" w:color="auto" w:fill="D5D5D5"/>
          </w:tcPr>
          <w:p>
            <w:pPr>
              <w:spacing w:after="0"/>
              <w:rPr>
                <w:sz w:val="24"/>
                <w:szCs w:val="24"/>
                <w:color w:val="auto"/>
              </w:rPr>
            </w:pPr>
          </w:p>
        </w:tc>
        <w:tc>
          <w:tcPr>
            <w:tcW w:w="16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36,078</w:t>
            </w:r>
          </w:p>
        </w:tc>
        <w:tc>
          <w:tcPr>
            <w:tcW w:w="60" w:type="dxa"/>
            <w:vAlign w:val="bottom"/>
            <w:shd w:val="clear" w:color="auto" w:fill="D5D5D5"/>
          </w:tcPr>
          <w:p>
            <w:pPr>
              <w:spacing w:after="0"/>
              <w:rPr>
                <w:sz w:val="24"/>
                <w:szCs w:val="24"/>
                <w:color w:val="auto"/>
              </w:rPr>
            </w:pPr>
          </w:p>
        </w:tc>
        <w:tc>
          <w:tcPr>
            <w:tcW w:w="180" w:type="dxa"/>
            <w:vAlign w:val="bottom"/>
            <w:shd w:val="clear" w:color="auto" w:fill="D5D5D5"/>
          </w:tcPr>
          <w:p>
            <w:pPr>
              <w:spacing w:after="0"/>
              <w:rPr>
                <w:sz w:val="24"/>
                <w:szCs w:val="24"/>
                <w:color w:val="auto"/>
              </w:rPr>
            </w:pPr>
          </w:p>
        </w:tc>
        <w:tc>
          <w:tcPr>
            <w:tcW w:w="16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30,712</w:t>
            </w:r>
          </w:p>
        </w:tc>
      </w:tr>
      <w:tr>
        <w:trPr>
          <w:trHeight w:val="278"/>
        </w:trPr>
        <w:tc>
          <w:tcPr>
            <w:tcW w:w="6180" w:type="dxa"/>
            <w:vAlign w:val="bottom"/>
            <w:tcBorders>
              <w:bottom w:val="single" w:sz="8" w:color="D5D5D5"/>
            </w:tcBorders>
          </w:tcPr>
          <w:p>
            <w:pPr>
              <w:ind w:left="40"/>
              <w:spacing w:after="0"/>
              <w:rPr>
                <w:sz w:val="20"/>
                <w:szCs w:val="20"/>
                <w:color w:val="auto"/>
              </w:rPr>
            </w:pPr>
            <w:r>
              <w:rPr>
                <w:rFonts w:ascii="Times New Roman" w:cs="Times New Roman" w:eastAsia="Times New Roman" w:hAnsi="Times New Roman"/>
                <w:sz w:val="19"/>
                <w:szCs w:val="19"/>
                <w:color w:val="auto"/>
              </w:rPr>
              <w:t>Other current liabilities</w:t>
            </w: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34,136</w:t>
            </w:r>
          </w:p>
        </w:tc>
        <w:tc>
          <w:tcPr>
            <w:tcW w:w="60" w:type="dxa"/>
            <w:vAlign w:val="bottom"/>
            <w:tcBorders>
              <w:bottom w:val="single" w:sz="8" w:color="D5D5D5"/>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32,476</w:t>
            </w:r>
          </w:p>
        </w:tc>
      </w:tr>
      <w:tr>
        <w:trPr>
          <w:trHeight w:val="287"/>
        </w:trPr>
        <w:tc>
          <w:tcPr>
            <w:tcW w:w="6180" w:type="dxa"/>
            <w:vAlign w:val="bottom"/>
            <w:tcBorders>
              <w:bottom w:val="single" w:sz="8" w:color="D5D5D5"/>
            </w:tcBorders>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Other accrued liabilities</w:t>
            </w:r>
          </w:p>
        </w:tc>
        <w:tc>
          <w:tcPr>
            <w:tcW w:w="1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166,970</w:t>
            </w:r>
          </w:p>
        </w:tc>
        <w:tc>
          <w:tcPr>
            <w:tcW w:w="60" w:type="dxa"/>
            <w:vAlign w:val="bottom"/>
            <w:tcBorders>
              <w:bottom w:val="single" w:sz="8" w:color="D5D5D5"/>
            </w:tcBorders>
            <w:shd w:val="clear" w:color="auto" w:fill="D5D5D5"/>
          </w:tcPr>
          <w:p>
            <w:pPr>
              <w:spacing w:after="0"/>
              <w:rPr>
                <w:sz w:val="24"/>
                <w:szCs w:val="24"/>
                <w:color w:val="auto"/>
              </w:rPr>
            </w:pPr>
          </w:p>
        </w:tc>
        <w:tc>
          <w:tcPr>
            <w:tcW w:w="1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147,219</w:t>
            </w:r>
          </w:p>
        </w:tc>
      </w:tr>
    </w:tbl>
    <w:p>
      <w:pPr>
        <w:spacing w:after="0" w:line="2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b w:val="1"/>
          <w:bCs w:val="1"/>
          <w:i w:val="1"/>
          <w:iCs w:val="1"/>
          <w:color w:val="auto"/>
        </w:rPr>
        <w:t>14. Debt</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following table summarizes the net carrying value of our outstanding indebtedness (dollars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180" w:type="dxa"/>
            <w:vAlign w:val="bottom"/>
            <w:tcBorders>
              <w:bottom w:val="single" w:sz="8" w:color="D5D5D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60" w:type="dxa"/>
            <w:vAlign w:val="bottom"/>
            <w:tcBorders>
              <w:bottom w:val="single" w:sz="8" w:color="D5D5D5"/>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9"/>
                <w:szCs w:val="19"/>
                <w:b w:val="1"/>
                <w:bCs w:val="1"/>
                <w:color w:val="auto"/>
              </w:rPr>
              <w:t>January 27, 2024</w:t>
            </w:r>
          </w:p>
        </w:tc>
      </w:tr>
      <w:tr>
        <w:trPr>
          <w:trHeight w:val="269"/>
        </w:trPr>
        <w:tc>
          <w:tcPr>
            <w:tcW w:w="618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Credit Agreement - Revolving facility (matures January 2029)</w:t>
            </w:r>
          </w:p>
        </w:tc>
        <w:tc>
          <w:tcPr>
            <w:tcW w:w="1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40" w:type="dxa"/>
            <w:vAlign w:val="bottom"/>
            <w:gridSpan w:val="2"/>
            <w:shd w:val="clear" w:color="auto" w:fill="D5D5D5"/>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82"/>
        </w:trPr>
        <w:tc>
          <w:tcPr>
            <w:tcW w:w="61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Credit Agreement - Term loan facility (matures January 2029)</w:t>
            </w:r>
          </w:p>
        </w:tc>
        <w:tc>
          <w:tcPr>
            <w:tcW w:w="1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447,115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313,735</w:t>
            </w:r>
          </w:p>
        </w:tc>
      </w:tr>
      <w:tr>
        <w:trPr>
          <w:trHeight w:val="284"/>
        </w:trPr>
        <w:tc>
          <w:tcPr>
            <w:tcW w:w="6180" w:type="dxa"/>
            <w:vAlign w:val="bottom"/>
            <w:tcBorders>
              <w:bottom w:val="single" w:sz="8" w:color="D5D5D5"/>
            </w:tcBorders>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4.50% senior notes, net (mature April 2029)</w:t>
            </w:r>
          </w:p>
        </w:tc>
        <w:tc>
          <w:tcPr>
            <w:tcW w:w="160" w:type="dxa"/>
            <w:vAlign w:val="bottom"/>
            <w:tcBorders>
              <w:bottom w:val="single" w:sz="8" w:color="auto"/>
            </w:tcBorders>
            <w:shd w:val="clear" w:color="auto" w:fill="D5D5D5"/>
          </w:tcPr>
          <w:p>
            <w:pPr>
              <w:spacing w:after="0"/>
              <w:rPr>
                <w:sz w:val="24"/>
                <w:szCs w:val="24"/>
                <w:color w:val="auto"/>
              </w:rPr>
            </w:pPr>
          </w:p>
        </w:tc>
        <w:tc>
          <w:tcPr>
            <w:tcW w:w="16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496,097</w:t>
            </w:r>
          </w:p>
        </w:tc>
        <w:tc>
          <w:tcPr>
            <w:tcW w:w="60" w:type="dxa"/>
            <w:vAlign w:val="bottom"/>
            <w:tcBorders>
              <w:bottom w:val="single" w:sz="8" w:color="D5D5D5"/>
            </w:tcBorders>
            <w:shd w:val="clear" w:color="auto" w:fill="D5D5D5"/>
          </w:tcPr>
          <w:p>
            <w:pPr>
              <w:spacing w:after="0"/>
              <w:rPr>
                <w:sz w:val="24"/>
                <w:szCs w:val="24"/>
                <w:color w:val="auto"/>
              </w:rPr>
            </w:pPr>
          </w:p>
        </w:tc>
        <w:tc>
          <w:tcPr>
            <w:tcW w:w="180" w:type="dxa"/>
            <w:vAlign w:val="bottom"/>
            <w:tcBorders>
              <w:bottom w:val="single" w:sz="8" w:color="auto"/>
            </w:tcBorders>
            <w:shd w:val="clear" w:color="auto" w:fill="D5D5D5"/>
          </w:tcPr>
          <w:p>
            <w:pPr>
              <w:spacing w:after="0"/>
              <w:rPr>
                <w:sz w:val="24"/>
                <w:szCs w:val="24"/>
                <w:color w:val="auto"/>
              </w:rPr>
            </w:pPr>
          </w:p>
        </w:tc>
        <w:tc>
          <w:tcPr>
            <w:tcW w:w="16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495,180</w:t>
            </w:r>
          </w:p>
        </w:tc>
      </w:tr>
      <w:tr>
        <w:trPr>
          <w:trHeight w:val="272"/>
        </w:trPr>
        <w:tc>
          <w:tcPr>
            <w:tcW w:w="6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943,212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808,915</w:t>
            </w:r>
          </w:p>
        </w:tc>
      </w:tr>
      <w:tr>
        <w:trPr>
          <w:trHeight w:val="284"/>
        </w:trPr>
        <w:tc>
          <w:tcPr>
            <w:tcW w:w="6180" w:type="dxa"/>
            <w:vAlign w:val="bottom"/>
            <w:tcBorders>
              <w:bottom w:val="single" w:sz="8" w:color="D5D5D5"/>
            </w:tcBorders>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Less: current portion</w:t>
            </w:r>
          </w:p>
        </w:tc>
        <w:tc>
          <w:tcPr>
            <w:tcW w:w="160" w:type="dxa"/>
            <w:vAlign w:val="bottom"/>
            <w:tcBorders>
              <w:bottom w:val="single" w:sz="8" w:color="auto"/>
            </w:tcBorders>
            <w:shd w:val="clear" w:color="auto" w:fill="D5D5D5"/>
          </w:tcPr>
          <w:p>
            <w:pPr>
              <w:spacing w:after="0"/>
              <w:rPr>
                <w:sz w:val="24"/>
                <w:szCs w:val="24"/>
                <w:color w:val="auto"/>
              </w:rPr>
            </w:pPr>
          </w:p>
        </w:tc>
        <w:tc>
          <w:tcPr>
            <w:tcW w:w="16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(10,000)</w:t>
            </w:r>
          </w:p>
        </w:tc>
        <w:tc>
          <w:tcPr>
            <w:tcW w:w="60" w:type="dxa"/>
            <w:vAlign w:val="bottom"/>
            <w:tcBorders>
              <w:bottom w:val="single" w:sz="8" w:color="D5D5D5"/>
            </w:tcBorders>
            <w:shd w:val="clear" w:color="auto" w:fill="D5D5D5"/>
          </w:tcPr>
          <w:p>
            <w:pPr>
              <w:spacing w:after="0"/>
              <w:rPr>
                <w:sz w:val="24"/>
                <w:szCs w:val="24"/>
                <w:color w:val="auto"/>
              </w:rPr>
            </w:pPr>
          </w:p>
        </w:tc>
        <w:tc>
          <w:tcPr>
            <w:tcW w:w="180" w:type="dxa"/>
            <w:vAlign w:val="bottom"/>
            <w:tcBorders>
              <w:bottom w:val="single" w:sz="8" w:color="auto"/>
            </w:tcBorders>
            <w:shd w:val="clear" w:color="auto" w:fill="D5D5D5"/>
          </w:tcPr>
          <w:p>
            <w:pPr>
              <w:spacing w:after="0"/>
              <w:rPr>
                <w:sz w:val="24"/>
                <w:szCs w:val="24"/>
                <w:color w:val="auto"/>
              </w:rPr>
            </w:pPr>
          </w:p>
        </w:tc>
        <w:tc>
          <w:tcPr>
            <w:tcW w:w="16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(17,500)</w:t>
            </w:r>
          </w:p>
        </w:tc>
      </w:tr>
      <w:tr>
        <w:trPr>
          <w:trHeight w:val="250"/>
        </w:trPr>
        <w:tc>
          <w:tcPr>
            <w:tcW w:w="61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Long-term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933,212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791,415</w:t>
            </w:r>
          </w:p>
        </w:tc>
      </w:tr>
      <w:tr>
        <w:trPr>
          <w:trHeight w:val="20"/>
        </w:trPr>
        <w:tc>
          <w:tcPr>
            <w:tcW w:w="6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Credit Agreement</w:t>
      </w:r>
    </w:p>
    <w:p>
      <w:pPr>
        <w:spacing w:after="0" w:line="249" w:lineRule="exact"/>
        <w:rPr>
          <w:sz w:val="20"/>
          <w:szCs w:val="20"/>
          <w:color w:val="auto"/>
        </w:rPr>
      </w:pPr>
    </w:p>
    <w:p>
      <w:pPr>
        <w:ind w:right="40" w:firstLine="346"/>
        <w:spacing w:after="0" w:line="253" w:lineRule="auto"/>
        <w:rPr>
          <w:sz w:val="20"/>
          <w:szCs w:val="20"/>
          <w:color w:val="auto"/>
        </w:rPr>
      </w:pPr>
      <w:r>
        <w:rPr>
          <w:rFonts w:ascii="Times New Roman" w:cs="Times New Roman" w:eastAsia="Times New Roman" w:hAnsi="Times New Roman"/>
          <w:sz w:val="19"/>
          <w:szCs w:val="19"/>
          <w:color w:val="auto"/>
        </w:rPr>
        <w:t>The Company and certain of its subsidiaries are party to an amended and restated credit agreement, dated as of October 19, 2018, with the various lenders party thereto and Bank of America, N.A., as administrative agent (as amended on April 1, 2021, May 9, 2023, and May 15, 2024, the “Credit Agreement”). On May 15, 2024, we amended and restated the Credit Agreement to, among other things, increase the term loan facility and extend the maturity date. The Credit Agreement includes a revolving facility with a maximum revolver commitment of $650.0 million and a term loan facility in the principal amount of</w:t>
      </w:r>
    </w:p>
    <w:p>
      <w:pPr>
        <w:ind w:right="720"/>
        <w:spacing w:after="0" w:line="289" w:lineRule="auto"/>
        <w:rPr>
          <w:sz w:val="20"/>
          <w:szCs w:val="20"/>
          <w:color w:val="auto"/>
        </w:rPr>
      </w:pPr>
      <w:r>
        <w:rPr>
          <w:rFonts w:ascii="Times New Roman" w:cs="Times New Roman" w:eastAsia="Times New Roman" w:hAnsi="Times New Roman"/>
          <w:sz w:val="19"/>
          <w:szCs w:val="19"/>
          <w:color w:val="auto"/>
        </w:rPr>
        <w:t>$450.0 million. The Credit Agreement also includes a $200.0 million sublimit for the issuance of letters of credit and a $50.0 million sublimit for swingline loans. The maturity of the Credit Agreement is January 15, 2029.</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following table summarizes the net carrying value of the term loan (dollars in thousands):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6180" w:type="dxa"/>
            <w:vAlign w:val="bottom"/>
            <w:tcBorders>
              <w:bottom w:val="single" w:sz="8" w:color="D5D5D5"/>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60" w:type="dxa"/>
            <w:vAlign w:val="bottom"/>
            <w:tcBorders>
              <w:bottom w:val="single" w:sz="8" w:color="D5D5D5"/>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9"/>
                <w:szCs w:val="19"/>
                <w:b w:val="1"/>
                <w:bCs w:val="1"/>
                <w:color w:val="auto"/>
              </w:rPr>
              <w:t>January 27, 2024</w:t>
            </w:r>
          </w:p>
        </w:tc>
      </w:tr>
      <w:tr>
        <w:trPr>
          <w:trHeight w:val="274"/>
        </w:trPr>
        <w:tc>
          <w:tcPr>
            <w:tcW w:w="618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Principal amount of term loan</w:t>
            </w:r>
          </w:p>
        </w:tc>
        <w:tc>
          <w:tcPr>
            <w:tcW w:w="1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450,000</w:t>
            </w:r>
          </w:p>
        </w:tc>
        <w:tc>
          <w:tcPr>
            <w:tcW w:w="22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315,000</w:t>
            </w:r>
          </w:p>
        </w:tc>
      </w:tr>
      <w:tr>
        <w:trPr>
          <w:trHeight w:val="282"/>
        </w:trPr>
        <w:tc>
          <w:tcPr>
            <w:tcW w:w="6180" w:type="dxa"/>
            <w:vAlign w:val="bottom"/>
            <w:tcBorders>
              <w:bottom w:val="single" w:sz="8" w:color="D5D5D5"/>
            </w:tcBorders>
          </w:tcPr>
          <w:p>
            <w:pPr>
              <w:ind w:left="40"/>
              <w:spacing w:after="0"/>
              <w:rPr>
                <w:sz w:val="20"/>
                <w:szCs w:val="20"/>
                <w:color w:val="auto"/>
              </w:rPr>
            </w:pPr>
            <w:r>
              <w:rPr>
                <w:rFonts w:ascii="Times New Roman" w:cs="Times New Roman" w:eastAsia="Times New Roman" w:hAnsi="Times New Roman"/>
                <w:sz w:val="19"/>
                <w:szCs w:val="19"/>
                <w:color w:val="auto"/>
              </w:rPr>
              <w:t>Less: Debt issuance costs</w:t>
            </w: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(2,885)</w:t>
            </w:r>
          </w:p>
        </w:tc>
        <w:tc>
          <w:tcPr>
            <w:tcW w:w="60" w:type="dxa"/>
            <w:vAlign w:val="bottom"/>
            <w:tcBorders>
              <w:bottom w:val="single" w:sz="8" w:color="D5D5D5"/>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(1,265)</w:t>
            </w:r>
          </w:p>
        </w:tc>
      </w:tr>
      <w:tr>
        <w:trPr>
          <w:trHeight w:val="282"/>
        </w:trPr>
        <w:tc>
          <w:tcPr>
            <w:tcW w:w="6180" w:type="dxa"/>
            <w:vAlign w:val="bottom"/>
            <w:tcBorders>
              <w:bottom w:val="single" w:sz="8" w:color="D5D5D5"/>
            </w:tcBorders>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Net carrying amount of term loan</w:t>
            </w:r>
          </w:p>
        </w:tc>
        <w:tc>
          <w:tcPr>
            <w:tcW w:w="1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447,115</w:t>
            </w:r>
          </w:p>
        </w:tc>
        <w:tc>
          <w:tcPr>
            <w:tcW w:w="60" w:type="dxa"/>
            <w:vAlign w:val="bottom"/>
            <w:tcBorders>
              <w:bottom w:val="single" w:sz="8" w:color="D5D5D5"/>
            </w:tcBorders>
            <w:shd w:val="clear" w:color="auto" w:fill="D5D5D5"/>
          </w:tcPr>
          <w:p>
            <w:pPr>
              <w:spacing w:after="0"/>
              <w:rPr>
                <w:sz w:val="24"/>
                <w:szCs w:val="24"/>
                <w:color w:val="auto"/>
              </w:rPr>
            </w:pPr>
          </w:p>
        </w:tc>
        <w:tc>
          <w:tcPr>
            <w:tcW w:w="1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313,735</w:t>
            </w:r>
          </w:p>
        </w:tc>
      </w:tr>
    </w:tbl>
    <w:p>
      <w:pPr>
        <w:spacing w:after="0" w:line="237" w:lineRule="exact"/>
        <w:rPr>
          <w:sz w:val="20"/>
          <w:szCs w:val="20"/>
          <w:color w:val="auto"/>
        </w:rPr>
      </w:pPr>
    </w:p>
    <w:p>
      <w:pPr>
        <w:ind w:right="140" w:firstLine="346"/>
        <w:spacing w:after="0" w:line="256" w:lineRule="auto"/>
        <w:rPr>
          <w:sz w:val="20"/>
          <w:szCs w:val="20"/>
          <w:color w:val="auto"/>
        </w:rPr>
      </w:pPr>
      <w:r>
        <w:rPr>
          <w:rFonts w:ascii="Times New Roman" w:cs="Times New Roman" w:eastAsia="Times New Roman" w:hAnsi="Times New Roman"/>
          <w:sz w:val="19"/>
          <w:szCs w:val="19"/>
          <w:color w:val="auto"/>
        </w:rPr>
        <w:t>Subject to certain conditions, the Credit Agreement provides us with the ability to enter into one or more incremental facilities either by increasing the revolving commitments under the Credit Agreement and/or by establishing one or more additional term loans, up to the sum of (i) $350.0 million and (ii) an aggregate amount such that, after giving effect to such incremental facilities on a pro forma basis (assuming that the amount of the incremental commitments are fully drawn and funded), the consolidated senior secured net leverage ratio does not exceed 2.25 to 1.00. The consolidated senior secured net leverage ratio is the ratio of our consolidated senior secured indebtedness reduced by unrestricted cash and equivalents in excess of $25.0 million to our trailing four-quarter consolidated earnings before interest, taxes, depreciation, and amortization (“EBITDA”), as defined by the Credit Agreement. Borrowings under the Credit Agreement are guaranteed by substantially all of our domestic subsidiaries and secured by 100% of the equity interests of our direct and indirect domestic subsidiaries and 65% of the voting equity interests and 100% of the non-voting interests of our first-tier foreign subsidiaries (subject to customary exceptions).</w:t>
      </w:r>
    </w:p>
    <w:p>
      <w:pPr>
        <w:spacing w:after="0" w:line="201" w:lineRule="exact"/>
        <w:rPr>
          <w:sz w:val="20"/>
          <w:szCs w:val="20"/>
          <w:color w:val="auto"/>
        </w:rPr>
      </w:pPr>
    </w:p>
    <w:p>
      <w:pPr>
        <w:ind w:right="40" w:firstLine="346"/>
        <w:spacing w:after="0" w:line="271" w:lineRule="auto"/>
        <w:rPr>
          <w:sz w:val="20"/>
          <w:szCs w:val="20"/>
          <w:color w:val="auto"/>
        </w:rPr>
      </w:pPr>
      <w:r>
        <w:rPr>
          <w:rFonts w:ascii="Times New Roman" w:cs="Times New Roman" w:eastAsia="Times New Roman" w:hAnsi="Times New Roman"/>
          <w:sz w:val="19"/>
          <w:szCs w:val="19"/>
          <w:color w:val="auto"/>
        </w:rPr>
        <w:t>Under our Credit Agreement, borrowings bear interest at the rates described below based upon our consolidated net leverage ratio, which is the ratio of our consolidated total funded debt reduced by unrestricted cash and equivalents in excess of $25.0 million to our trailing four-quarter consolidated EBITDA, as defined by our Credit Agreement. In addition, we incur</w:t>
      </w:r>
    </w:p>
    <w:p>
      <w:pPr>
        <w:sectPr>
          <w:pgSz w:w="11880" w:h="15480" w:orient="portrait"/>
          <w:cols w:equalWidth="0" w:num="1">
            <w:col w:w="9820"/>
          </w:cols>
          <w:pgMar w:left="1000" w:top="889"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254000</wp:posOffset>
            </wp:positionV>
            <wp:extent cx="76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5">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254000</wp:posOffset>
            </wp:positionV>
            <wp:extent cx="76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6">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20"/>
          </w:cols>
          <w:pgMar w:left="1000" w:top="889" w:right="1060" w:bottom="0" w:gutter="0" w:footer="0" w:header="0"/>
          <w:type w:val="continuous"/>
        </w:sectPr>
      </w:pPr>
    </w:p>
    <w:bookmarkStart w:id="70" w:name="page71"/>
    <w:bookmarkEnd w:id="70"/>
    <w:p>
      <w:pPr>
        <w:ind w:left="5" w:right="60"/>
        <w:spacing w:after="0" w:line="289"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t>certain fees for unused balances and letters of credit at the rates described below, also based upon our consolidated net leverage ratio.</w:t>
      </w:r>
    </w:p>
    <w:p>
      <w:pPr>
        <w:spacing w:after="0" w:line="225" w:lineRule="exact"/>
        <w:rPr>
          <w:sz w:val="20"/>
          <w:szCs w:val="20"/>
          <w:color w:val="auto"/>
        </w:rPr>
      </w:pPr>
    </w:p>
    <w:tbl>
      <w:tblPr>
        <w:tblLayout w:type="fixed"/>
        <w:tblInd w:w="5" w:type="dxa"/>
        <w:tblCellMar>
          <w:top w:w="0" w:type="dxa"/>
          <w:left w:w="0" w:type="dxa"/>
          <w:bottom w:w="0" w:type="dxa"/>
          <w:right w:w="0" w:type="dxa"/>
        </w:tblCellMar>
      </w:tblPr>
      <w:tr>
        <w:trPr>
          <w:trHeight w:val="288"/>
        </w:trPr>
        <w:tc>
          <w:tcPr>
            <w:tcW w:w="40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Borrowings - Term SOFR Loans</w:t>
            </w:r>
          </w:p>
        </w:tc>
        <w:tc>
          <w:tcPr>
            <w:tcW w:w="5840" w:type="dxa"/>
            <w:vAlign w:val="bottom"/>
            <w:gridSpan w:val="2"/>
            <w:shd w:val="clear" w:color="auto" w:fill="D5D5D5"/>
          </w:tcPr>
          <w:p>
            <w:pPr>
              <w:ind w:left="1440"/>
              <w:spacing w:after="0"/>
              <w:rPr>
                <w:sz w:val="20"/>
                <w:szCs w:val="20"/>
                <w:color w:val="auto"/>
              </w:rPr>
            </w:pPr>
            <w:r>
              <w:rPr>
                <w:rFonts w:ascii="Times New Roman" w:cs="Times New Roman" w:eastAsia="Times New Roman" w:hAnsi="Times New Roman"/>
                <w:sz w:val="19"/>
                <w:szCs w:val="19"/>
                <w:color w:val="auto"/>
              </w:rPr>
              <w:t>1.375%- 2.00% plus Term SOFR</w:t>
            </w:r>
          </w:p>
        </w:tc>
      </w:tr>
      <w:tr>
        <w:trPr>
          <w:trHeight w:val="288"/>
        </w:trPr>
        <w:tc>
          <w:tcPr>
            <w:tcW w:w="40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Borrowings - Base Rate Loans</w:t>
            </w:r>
          </w:p>
        </w:tc>
        <w:tc>
          <w:tcPr>
            <w:tcW w:w="206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0.375%</w:t>
            </w:r>
          </w:p>
        </w:tc>
        <w:tc>
          <w:tcPr>
            <w:tcW w:w="3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- 1.00% plus Base rate</w:t>
            </w:r>
            <w:r>
              <w:rPr>
                <w:rFonts w:ascii="Times New Roman" w:cs="Times New Roman" w:eastAsia="Times New Roman" w:hAnsi="Times New Roman"/>
                <w:sz w:val="24"/>
                <w:szCs w:val="24"/>
                <w:color w:val="auto"/>
                <w:vertAlign w:val="superscript"/>
              </w:rPr>
              <w:t>(1)</w:t>
            </w:r>
          </w:p>
        </w:tc>
      </w:tr>
      <w:tr>
        <w:trPr>
          <w:trHeight w:val="288"/>
        </w:trPr>
        <w:tc>
          <w:tcPr>
            <w:tcW w:w="40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Unused Revolver Commitment</w:t>
            </w:r>
          </w:p>
        </w:tc>
        <w:tc>
          <w:tcPr>
            <w:tcW w:w="5840" w:type="dxa"/>
            <w:vAlign w:val="bottom"/>
            <w:gridSpan w:val="2"/>
            <w:shd w:val="clear" w:color="auto" w:fill="D5D5D5"/>
          </w:tcPr>
          <w:p>
            <w:pPr>
              <w:ind w:left="1440"/>
              <w:spacing w:after="0"/>
              <w:rPr>
                <w:sz w:val="20"/>
                <w:szCs w:val="20"/>
                <w:color w:val="auto"/>
              </w:rPr>
            </w:pPr>
            <w:r>
              <w:rPr>
                <w:rFonts w:ascii="Times New Roman" w:cs="Times New Roman" w:eastAsia="Times New Roman" w:hAnsi="Times New Roman"/>
                <w:sz w:val="19"/>
                <w:szCs w:val="19"/>
                <w:color w:val="auto"/>
              </w:rPr>
              <w:t>0.20% - 0.40%</w:t>
            </w:r>
          </w:p>
        </w:tc>
      </w:tr>
      <w:tr>
        <w:trPr>
          <w:trHeight w:val="282"/>
        </w:trPr>
        <w:tc>
          <w:tcPr>
            <w:tcW w:w="40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Standby Letters of Credit</w:t>
            </w:r>
          </w:p>
        </w:tc>
        <w:tc>
          <w:tcPr>
            <w:tcW w:w="206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1.375%</w:t>
            </w:r>
          </w:p>
        </w:tc>
        <w:tc>
          <w:tcPr>
            <w:tcW w:w="37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- 2.00%</w:t>
            </w:r>
          </w:p>
        </w:tc>
      </w:tr>
      <w:tr>
        <w:trPr>
          <w:trHeight w:val="294"/>
        </w:trPr>
        <w:tc>
          <w:tcPr>
            <w:tcW w:w="40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Commercial Letters of Credit</w:t>
            </w:r>
          </w:p>
        </w:tc>
        <w:tc>
          <w:tcPr>
            <w:tcW w:w="5840" w:type="dxa"/>
            <w:vAlign w:val="bottom"/>
            <w:gridSpan w:val="2"/>
            <w:shd w:val="clear" w:color="auto" w:fill="D5D5D5"/>
          </w:tcPr>
          <w:p>
            <w:pPr>
              <w:ind w:left="1440"/>
              <w:spacing w:after="0"/>
              <w:rPr>
                <w:sz w:val="20"/>
                <w:szCs w:val="20"/>
                <w:color w:val="auto"/>
              </w:rPr>
            </w:pPr>
            <w:r>
              <w:rPr>
                <w:rFonts w:ascii="Times New Roman" w:cs="Times New Roman" w:eastAsia="Times New Roman" w:hAnsi="Times New Roman"/>
                <w:sz w:val="19"/>
                <w:szCs w:val="19"/>
                <w:color w:val="auto"/>
              </w:rPr>
              <w:t>0.6875% -1.00%</w:t>
            </w:r>
          </w:p>
        </w:tc>
      </w:tr>
    </w:tbl>
    <w:p>
      <w:pPr>
        <w:spacing w:after="0" w:line="266" w:lineRule="exact"/>
        <w:rPr>
          <w:sz w:val="20"/>
          <w:szCs w:val="20"/>
          <w:color w:val="auto"/>
        </w:rPr>
      </w:pPr>
    </w:p>
    <w:p>
      <w:pPr>
        <w:ind w:left="5" w:right="40" w:hanging="5"/>
        <w:spacing w:after="0" w:line="260" w:lineRule="auto"/>
        <w:tabs>
          <w:tab w:leader="none" w:pos="181"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 rate is described in the Credit Agreement as the highest of (i) the Federal Funds Rate plus 0.50%, (ii) the administrative agent’s prime rate, and (iii) the Term Secured Overnight Financing Rate (“SOFR”) plus 1.00% and, if such rate is less than zero, such rate shall be deemed zero. “Term SOFR” will be the published forward-looking SOFR rate for the applicable interest period plus a 0.10% spread adjustment and if such rate is less than zero, such rate shall be deemed zero.</w:t>
      </w:r>
    </w:p>
    <w:p>
      <w:pPr>
        <w:spacing w:after="0" w:line="193" w:lineRule="exact"/>
        <w:rPr>
          <w:sz w:val="20"/>
          <w:szCs w:val="20"/>
          <w:color w:val="auto"/>
        </w:rPr>
      </w:pPr>
    </w:p>
    <w:p>
      <w:pPr>
        <w:ind w:left="5" w:right="200" w:firstLine="345"/>
        <w:spacing w:after="0" w:line="289" w:lineRule="auto"/>
        <w:rPr>
          <w:sz w:val="20"/>
          <w:szCs w:val="20"/>
          <w:color w:val="auto"/>
        </w:rPr>
      </w:pPr>
      <w:r>
        <w:rPr>
          <w:rFonts w:ascii="Times New Roman" w:cs="Times New Roman" w:eastAsia="Times New Roman" w:hAnsi="Times New Roman"/>
          <w:sz w:val="19"/>
          <w:szCs w:val="19"/>
          <w:color w:val="auto"/>
        </w:rPr>
        <w:t>Standby letters of credit of approximately $47.5 million, issued as part of our insurance program, were outstanding under our Credit Agreement as of both January 25, 2025 and January 27, 2024.</w:t>
      </w:r>
    </w:p>
    <w:p>
      <w:pPr>
        <w:spacing w:after="0" w:line="165" w:lineRule="exact"/>
        <w:rPr>
          <w:sz w:val="20"/>
          <w:szCs w:val="20"/>
          <w:color w:val="auto"/>
        </w:rPr>
      </w:pPr>
    </w:p>
    <w:p>
      <w:pPr>
        <w:ind w:left="345"/>
        <w:spacing w:after="0"/>
        <w:rPr>
          <w:sz w:val="20"/>
          <w:szCs w:val="20"/>
          <w:color w:val="auto"/>
        </w:rPr>
      </w:pPr>
      <w:r>
        <w:rPr>
          <w:rFonts w:ascii="Times New Roman" w:cs="Times New Roman" w:eastAsia="Times New Roman" w:hAnsi="Times New Roman"/>
          <w:sz w:val="19"/>
          <w:szCs w:val="19"/>
          <w:color w:val="auto"/>
        </w:rPr>
        <w:t>The weighted average interest rates and fees for balances under our Credit Agreement as of January 25, 2025 and</w:t>
      </w:r>
    </w:p>
    <w:p>
      <w:pPr>
        <w:spacing w:after="0" w:line="1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color w:val="auto"/>
        </w:rPr>
        <w:t>January 27, 2024 were as follows:</w:t>
      </w:r>
    </w:p>
    <w:p>
      <w:pPr>
        <w:spacing w:after="0" w:line="79" w:lineRule="exact"/>
        <w:rPr>
          <w:sz w:val="20"/>
          <w:szCs w:val="20"/>
          <w:color w:val="auto"/>
        </w:rPr>
      </w:pPr>
    </w:p>
    <w:tbl>
      <w:tblPr>
        <w:tblLayout w:type="fixed"/>
        <w:tblInd w:w="5" w:type="dxa"/>
        <w:tblCellMar>
          <w:top w:w="0" w:type="dxa"/>
          <w:left w:w="0" w:type="dxa"/>
          <w:bottom w:w="0" w:type="dxa"/>
          <w:right w:w="0" w:type="dxa"/>
        </w:tblCellMar>
      </w:tblPr>
      <w:tr>
        <w:trPr>
          <w:trHeight w:val="266"/>
        </w:trPr>
        <w:tc>
          <w:tcPr>
            <w:tcW w:w="6180" w:type="dxa"/>
            <w:vAlign w:val="bottom"/>
          </w:tcPr>
          <w:p>
            <w:pPr>
              <w:spacing w:after="0"/>
              <w:rPr>
                <w:sz w:val="23"/>
                <w:szCs w:val="23"/>
                <w:color w:val="auto"/>
              </w:rPr>
            </w:pPr>
          </w:p>
        </w:tc>
        <w:tc>
          <w:tcPr>
            <w:tcW w:w="3660" w:type="dxa"/>
            <w:vAlign w:val="bottom"/>
            <w:gridSpan w:val="4"/>
          </w:tcPr>
          <w:p>
            <w:pPr>
              <w:ind w:left="260"/>
              <w:spacing w:after="0"/>
              <w:rPr>
                <w:sz w:val="20"/>
                <w:szCs w:val="20"/>
                <w:color w:val="auto"/>
              </w:rPr>
            </w:pPr>
            <w:r>
              <w:rPr>
                <w:rFonts w:ascii="Times New Roman" w:cs="Times New Roman" w:eastAsia="Times New Roman" w:hAnsi="Times New Roman"/>
                <w:sz w:val="19"/>
                <w:szCs w:val="19"/>
                <w:b w:val="1"/>
                <w:bCs w:val="1"/>
                <w:color w:val="auto"/>
              </w:rPr>
              <w:t>Weighted Average Rate End of Period</w:t>
            </w:r>
          </w:p>
        </w:tc>
      </w:tr>
      <w:tr>
        <w:trPr>
          <w:trHeight w:val="254"/>
        </w:trPr>
        <w:tc>
          <w:tcPr>
            <w:tcW w:w="6180" w:type="dxa"/>
            <w:vAlign w:val="bottom"/>
            <w:tcBorders>
              <w:bottom w:val="single" w:sz="8" w:color="D5D5D5"/>
            </w:tcBorders>
          </w:tcPr>
          <w:p>
            <w:pPr>
              <w:spacing w:after="0"/>
              <w:rPr>
                <w:sz w:val="22"/>
                <w:szCs w:val="22"/>
                <w:color w:val="auto"/>
              </w:rPr>
            </w:pPr>
          </w:p>
        </w:tc>
        <w:tc>
          <w:tcPr>
            <w:tcW w:w="18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60" w:type="dxa"/>
            <w:vAlign w:val="bottom"/>
            <w:tcBorders>
              <w:top w:val="single" w:sz="8" w:color="auto"/>
              <w:bottom w:val="single" w:sz="8" w:color="D5D5D5"/>
            </w:tcBorders>
          </w:tcPr>
          <w:p>
            <w:pPr>
              <w:spacing w:after="0"/>
              <w:rPr>
                <w:sz w:val="22"/>
                <w:szCs w:val="22"/>
                <w:color w:val="auto"/>
              </w:rPr>
            </w:pPr>
          </w:p>
        </w:tc>
        <w:tc>
          <w:tcPr>
            <w:tcW w:w="17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9"/>
                <w:szCs w:val="19"/>
                <w:b w:val="1"/>
                <w:bCs w:val="1"/>
                <w:color w:val="auto"/>
              </w:rPr>
              <w:t>January 27, 2024</w:t>
            </w:r>
          </w:p>
        </w:tc>
        <w:tc>
          <w:tcPr>
            <w:tcW w:w="20" w:type="dxa"/>
            <w:vAlign w:val="bottom"/>
            <w:tcBorders>
              <w:bottom w:val="single" w:sz="8" w:color="D5D5D5"/>
            </w:tcBorders>
          </w:tcPr>
          <w:p>
            <w:pPr>
              <w:spacing w:after="0"/>
              <w:rPr>
                <w:sz w:val="22"/>
                <w:szCs w:val="22"/>
                <w:color w:val="auto"/>
              </w:rPr>
            </w:pPr>
          </w:p>
        </w:tc>
      </w:tr>
      <w:tr>
        <w:trPr>
          <w:trHeight w:val="269"/>
        </w:trPr>
        <w:tc>
          <w:tcPr>
            <w:tcW w:w="61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Borrowings - Term loan facility</w:t>
            </w:r>
          </w:p>
        </w:tc>
        <w:tc>
          <w:tcPr>
            <w:tcW w:w="1800" w:type="dxa"/>
            <w:vAlign w:val="bottom"/>
            <w:shd w:val="clear" w:color="auto" w:fill="D5D5D5"/>
          </w:tcPr>
          <w:p>
            <w:pPr>
              <w:jc w:val="center"/>
              <w:spacing w:after="0"/>
              <w:rPr>
                <w:sz w:val="20"/>
                <w:szCs w:val="20"/>
                <w:color w:val="auto"/>
              </w:rPr>
            </w:pPr>
            <w:r>
              <w:rPr>
                <w:rFonts w:ascii="Times New Roman" w:cs="Times New Roman" w:eastAsia="Times New Roman" w:hAnsi="Times New Roman"/>
                <w:sz w:val="19"/>
                <w:szCs w:val="19"/>
                <w:color w:val="auto"/>
              </w:rPr>
              <w:t>6.02%</w:t>
            </w:r>
          </w:p>
        </w:tc>
        <w:tc>
          <w:tcPr>
            <w:tcW w:w="1840" w:type="dxa"/>
            <w:vAlign w:val="bottom"/>
            <w:gridSpan w:val="2"/>
            <w:shd w:val="clear" w:color="auto" w:fill="D5D5D5"/>
          </w:tcPr>
          <w:p>
            <w:pPr>
              <w:jc w:val="center"/>
              <w:ind w:left="4"/>
              <w:spacing w:after="0"/>
              <w:rPr>
                <w:sz w:val="20"/>
                <w:szCs w:val="20"/>
                <w:color w:val="auto"/>
              </w:rPr>
            </w:pPr>
            <w:r>
              <w:rPr>
                <w:rFonts w:ascii="Times New Roman" w:cs="Times New Roman" w:eastAsia="Times New Roman" w:hAnsi="Times New Roman"/>
                <w:sz w:val="19"/>
                <w:szCs w:val="19"/>
                <w:color w:val="auto"/>
              </w:rPr>
              <w:t>7.06%</w:t>
            </w:r>
          </w:p>
        </w:tc>
        <w:tc>
          <w:tcPr>
            <w:tcW w:w="20" w:type="dxa"/>
            <w:vAlign w:val="bottom"/>
            <w:shd w:val="clear" w:color="auto" w:fill="D5D5D5"/>
          </w:tcPr>
          <w:p>
            <w:pPr>
              <w:spacing w:after="0"/>
              <w:rPr>
                <w:sz w:val="23"/>
                <w:szCs w:val="23"/>
                <w:color w:val="auto"/>
              </w:rPr>
            </w:pPr>
          </w:p>
        </w:tc>
      </w:tr>
      <w:tr>
        <w:trPr>
          <w:trHeight w:val="288"/>
        </w:trPr>
        <w:tc>
          <w:tcPr>
            <w:tcW w:w="6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Borrowings - Revolving facility</w:t>
            </w:r>
            <w:r>
              <w:rPr>
                <w:rFonts w:ascii="Times New Roman" w:cs="Times New Roman" w:eastAsia="Times New Roman" w:hAnsi="Times New Roman"/>
                <w:sz w:val="24"/>
                <w:szCs w:val="24"/>
                <w:color w:val="auto"/>
                <w:vertAlign w:val="superscript"/>
              </w:rPr>
              <w:t>(1)</w:t>
            </w:r>
          </w:p>
        </w:tc>
        <w:tc>
          <w:tcPr>
            <w:tcW w:w="1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w:t>
            </w:r>
          </w:p>
        </w:tc>
      </w:tr>
      <w:tr>
        <w:trPr>
          <w:trHeight w:val="288"/>
        </w:trPr>
        <w:tc>
          <w:tcPr>
            <w:tcW w:w="618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Standby Letters of Credit</w:t>
            </w:r>
          </w:p>
        </w:tc>
        <w:tc>
          <w:tcPr>
            <w:tcW w:w="1800" w:type="dxa"/>
            <w:vAlign w:val="bottom"/>
            <w:shd w:val="clear" w:color="auto" w:fill="D5D5D5"/>
          </w:tcPr>
          <w:p>
            <w:pPr>
              <w:jc w:val="center"/>
              <w:spacing w:after="0"/>
              <w:rPr>
                <w:sz w:val="20"/>
                <w:szCs w:val="20"/>
                <w:color w:val="auto"/>
              </w:rPr>
            </w:pPr>
            <w:r>
              <w:rPr>
                <w:rFonts w:ascii="Times New Roman" w:cs="Times New Roman" w:eastAsia="Times New Roman" w:hAnsi="Times New Roman"/>
                <w:sz w:val="19"/>
                <w:szCs w:val="19"/>
                <w:color w:val="auto"/>
              </w:rPr>
              <w:t>1.63%</w:t>
            </w:r>
          </w:p>
        </w:tc>
        <w:tc>
          <w:tcPr>
            <w:tcW w:w="1840" w:type="dxa"/>
            <w:vAlign w:val="bottom"/>
            <w:gridSpan w:val="2"/>
            <w:shd w:val="clear" w:color="auto" w:fill="D5D5D5"/>
          </w:tcPr>
          <w:p>
            <w:pPr>
              <w:jc w:val="center"/>
              <w:ind w:left="4"/>
              <w:spacing w:after="0"/>
              <w:rPr>
                <w:sz w:val="20"/>
                <w:szCs w:val="20"/>
                <w:color w:val="auto"/>
              </w:rPr>
            </w:pPr>
            <w:r>
              <w:rPr>
                <w:rFonts w:ascii="Times New Roman" w:cs="Times New Roman" w:eastAsia="Times New Roman" w:hAnsi="Times New Roman"/>
                <w:sz w:val="19"/>
                <w:szCs w:val="19"/>
                <w:color w:val="auto"/>
              </w:rPr>
              <w:t>1.63%</w:t>
            </w:r>
          </w:p>
        </w:tc>
        <w:tc>
          <w:tcPr>
            <w:tcW w:w="20" w:type="dxa"/>
            <w:vAlign w:val="bottom"/>
            <w:shd w:val="clear" w:color="auto" w:fill="D5D5D5"/>
          </w:tcPr>
          <w:p>
            <w:pPr>
              <w:spacing w:after="0"/>
              <w:rPr>
                <w:sz w:val="24"/>
                <w:szCs w:val="24"/>
                <w:color w:val="auto"/>
              </w:rPr>
            </w:pPr>
          </w:p>
        </w:tc>
      </w:tr>
      <w:tr>
        <w:trPr>
          <w:trHeight w:val="276"/>
        </w:trPr>
        <w:tc>
          <w:tcPr>
            <w:tcW w:w="6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Unused Revolver Commitment</w:t>
            </w:r>
          </w:p>
        </w:tc>
        <w:tc>
          <w:tcPr>
            <w:tcW w:w="1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0.30%</w:t>
            </w:r>
          </w:p>
        </w:tc>
        <w:tc>
          <w:tcPr>
            <w:tcW w:w="1840" w:type="dxa"/>
            <w:vAlign w:val="bottom"/>
            <w:gridSpan w:val="2"/>
          </w:tcPr>
          <w:p>
            <w:pPr>
              <w:jc w:val="center"/>
              <w:ind w:left="4"/>
              <w:spacing w:after="0"/>
              <w:rPr>
                <w:sz w:val="20"/>
                <w:szCs w:val="20"/>
                <w:color w:val="auto"/>
              </w:rPr>
            </w:pPr>
            <w:r>
              <w:rPr>
                <w:rFonts w:ascii="Times New Roman" w:cs="Times New Roman" w:eastAsia="Times New Roman" w:hAnsi="Times New Roman"/>
                <w:sz w:val="19"/>
                <w:szCs w:val="19"/>
                <w:color w:val="auto"/>
              </w:rPr>
              <w:t>0.30%</w:t>
            </w:r>
          </w:p>
        </w:tc>
        <w:tc>
          <w:tcPr>
            <w:tcW w:w="20" w:type="dxa"/>
            <w:vAlign w:val="bottom"/>
          </w:tcPr>
          <w:p>
            <w:pPr>
              <w:spacing w:after="0"/>
              <w:rPr>
                <w:sz w:val="23"/>
                <w:szCs w:val="23"/>
                <w:color w:val="auto"/>
              </w:rPr>
            </w:pPr>
          </w:p>
        </w:tc>
      </w:tr>
    </w:tbl>
    <w:p>
      <w:pPr>
        <w:spacing w:after="0" w:line="265" w:lineRule="exact"/>
        <w:rPr>
          <w:sz w:val="20"/>
          <w:szCs w:val="20"/>
          <w:color w:val="auto"/>
        </w:rPr>
      </w:pPr>
    </w:p>
    <w:p>
      <w:pPr>
        <w:ind w:left="185" w:hanging="185"/>
        <w:spacing w:after="0"/>
        <w:tabs>
          <w:tab w:leader="none" w:pos="185"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There were no outstanding borrowings under our revolving facility as of January 25, 2025 and January 27, 2024.</w:t>
      </w:r>
    </w:p>
    <w:p>
      <w:pPr>
        <w:spacing w:after="0" w:line="209" w:lineRule="exact"/>
        <w:rPr>
          <w:sz w:val="20"/>
          <w:szCs w:val="20"/>
          <w:color w:val="auto"/>
        </w:rPr>
      </w:pPr>
    </w:p>
    <w:p>
      <w:pPr>
        <w:ind w:left="5" w:firstLine="345"/>
        <w:spacing w:after="0" w:line="253" w:lineRule="auto"/>
        <w:rPr>
          <w:sz w:val="20"/>
          <w:szCs w:val="20"/>
          <w:color w:val="auto"/>
        </w:rPr>
      </w:pPr>
      <w:r>
        <w:rPr>
          <w:rFonts w:ascii="Times New Roman" w:cs="Times New Roman" w:eastAsia="Times New Roman" w:hAnsi="Times New Roman"/>
          <w:sz w:val="19"/>
          <w:szCs w:val="19"/>
          <w:color w:val="auto"/>
        </w:rPr>
        <w:t>Our Credit Agreement contains a financial covenant that requires us to maintain a consolidated net leverage ratio of not greater than 3.50 to 1.00, as measured at the end of each fiscal quarter, and provides for certain increases to this ratio in connection with permitted acquisitions. The consolidated net leverage ratio is the ratio of our consolidated indebtedness reduced by unrestricted cash and cash equivalents in excess of $25.0 million to our trailing four-quarter consolidated earnings before interest, taxes, depreciation, and amortization as defined by our Credit Agreement. The agreement also contains a financial covenant that requires us to maintain a consolidated interest coverage ratio, which is the ratio of our trailing four-quarter consolidated EBITDA to our consolidated interest expense, each as defined by our Credit Agreement, of not less than 3.00 to</w:t>
      </w:r>
    </w:p>
    <w:p>
      <w:pPr>
        <w:spacing w:after="0" w:line="1" w:lineRule="exact"/>
        <w:rPr>
          <w:sz w:val="20"/>
          <w:szCs w:val="20"/>
          <w:color w:val="auto"/>
        </w:rPr>
      </w:pPr>
    </w:p>
    <w:p>
      <w:pPr>
        <w:ind w:left="5" w:right="40"/>
        <w:spacing w:after="0" w:line="265" w:lineRule="auto"/>
        <w:rPr>
          <w:sz w:val="20"/>
          <w:szCs w:val="20"/>
          <w:color w:val="auto"/>
        </w:rPr>
      </w:pPr>
      <w:r>
        <w:rPr>
          <w:rFonts w:ascii="Times New Roman" w:cs="Times New Roman" w:eastAsia="Times New Roman" w:hAnsi="Times New Roman"/>
          <w:sz w:val="19"/>
          <w:szCs w:val="19"/>
          <w:color w:val="auto"/>
        </w:rPr>
        <w:t>1.00, as measured at the end of each fiscal quarter. At January 25, 2025 and January 27, 2024, we were in compliance with the financial covenants of our Credit Agreement and had borrowing availability under our revolving facility of $602.5 million, as determined by the most restrictive covenant. For calculation purposes, applicable cash on hand is netted against the funded debt amount as permitted in the Credit Agreement.</w:t>
      </w:r>
    </w:p>
    <w:p>
      <w:pPr>
        <w:sectPr>
          <w:pgSz w:w="11880" w:h="15480" w:orient="portrait"/>
          <w:cols w:equalWidth="0" w:num="1">
            <w:col w:w="9845"/>
          </w:cols>
          <w:pgMar w:left="995" w:top="89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84"/>
        <w:spacing w:after="0"/>
        <w:rPr>
          <w:sz w:val="20"/>
          <w:szCs w:val="20"/>
          <w:color w:val="auto"/>
        </w:rPr>
      </w:pPr>
      <w:r>
        <w:rPr>
          <w:rFonts w:ascii="Times New Roman" w:cs="Times New Roman" w:eastAsia="Times New Roman" w:hAnsi="Times New Roman"/>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254000</wp:posOffset>
            </wp:positionV>
            <wp:extent cx="76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9">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6903720</wp:posOffset>
            </wp:positionH>
            <wp:positionV relativeFrom="paragraph">
              <wp:posOffset>254000</wp:posOffset>
            </wp:positionV>
            <wp:extent cx="76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0">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45"/>
          </w:cols>
          <w:pgMar w:left="995" w:top="897" w:right="1040" w:bottom="0" w:gutter="0" w:footer="0" w:header="0"/>
          <w:type w:val="continuous"/>
        </w:sectPr>
      </w:pPr>
    </w:p>
    <w:bookmarkStart w:id="71" w:name="page72"/>
    <w:bookmarkEnd w:id="71"/>
    <w:p>
      <w:pPr>
        <w:ind w:left="34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t>4.50% Senior Notes due 2029</w:t>
      </w:r>
    </w:p>
    <w:p>
      <w:pPr>
        <w:spacing w:after="0" w:line="249" w:lineRule="exact"/>
        <w:rPr>
          <w:sz w:val="20"/>
          <w:szCs w:val="20"/>
          <w:color w:val="auto"/>
        </w:rPr>
      </w:pPr>
    </w:p>
    <w:p>
      <w:pPr>
        <w:ind w:right="220" w:firstLine="346"/>
        <w:spacing w:after="0" w:line="271" w:lineRule="auto"/>
        <w:rPr>
          <w:sz w:val="20"/>
          <w:szCs w:val="20"/>
          <w:color w:val="auto"/>
        </w:rPr>
      </w:pPr>
      <w:r>
        <w:rPr>
          <w:rFonts w:ascii="Times New Roman" w:cs="Times New Roman" w:eastAsia="Times New Roman" w:hAnsi="Times New Roman"/>
          <w:sz w:val="19"/>
          <w:szCs w:val="19"/>
          <w:color w:val="auto"/>
        </w:rPr>
        <w:t>On April 1, 2021, we issued $500.0 million aggregate principal amount of 4.50% senior notes due 2029 (the “2029 Notes”). The 2029 Notes are guaranteed on a senior unsecured basis, jointly and severally, by all of our domestic subsidiaries that guarantee the Credit Agreement.</w:t>
      </w:r>
    </w:p>
    <w:p>
      <w:pPr>
        <w:spacing w:after="0" w:line="181" w:lineRule="exact"/>
        <w:rPr>
          <w:sz w:val="20"/>
          <w:szCs w:val="20"/>
          <w:color w:val="auto"/>
        </w:rPr>
      </w:pPr>
    </w:p>
    <w:p>
      <w:pPr>
        <w:ind w:right="40" w:firstLine="346"/>
        <w:spacing w:after="0" w:line="258" w:lineRule="auto"/>
        <w:rPr>
          <w:sz w:val="20"/>
          <w:szCs w:val="20"/>
          <w:color w:val="auto"/>
        </w:rPr>
      </w:pPr>
      <w:r>
        <w:rPr>
          <w:rFonts w:ascii="Times New Roman" w:cs="Times New Roman" w:eastAsia="Times New Roman" w:hAnsi="Times New Roman"/>
          <w:sz w:val="19"/>
          <w:szCs w:val="19"/>
          <w:color w:val="auto"/>
        </w:rPr>
        <w:t>The indenture governing the 2029 Notes contains certain covenants that limit, among other things, our ability and the ability of certain of our subsidiaries to (i) incur additional debt and issue certain preferred stock, (ii) pay certain dividends on, repurchase, or make distributions in respect of, our and our subsidiaries’ capital stock or make other payments restricted by the indenture, (iii) enter into agreements that place limitations on distributions made from certain of our subsidiaries, (iv) guarantee certain debt, (v) make certain investments, (vi) sell or exchange certain assets, (vii) enter into transactions with affiliates, (viii) create certain liens, and (ix) consolidate, merge or transfer all or substantially all of our or our Subsidiaries’ assets. These covenants are subject to a number of exceptions, limitations and qualifications as set forth in the indenture governing the 2029 Notes.</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following table summarizes the net carrying value of the 2029 Notes (dollars in thousands):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6160" w:type="dxa"/>
            <w:vAlign w:val="bottom"/>
            <w:tcBorders>
              <w:bottom w:val="single" w:sz="8" w:color="D5D5D5"/>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60" w:type="dxa"/>
            <w:vAlign w:val="bottom"/>
            <w:tcBorders>
              <w:bottom w:val="single" w:sz="8" w:color="D5D5D5"/>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9"/>
                <w:szCs w:val="19"/>
                <w:b w:val="1"/>
                <w:bCs w:val="1"/>
                <w:color w:val="auto"/>
              </w:rPr>
              <w:t>January 27, 2024</w:t>
            </w:r>
          </w:p>
        </w:tc>
      </w:tr>
      <w:tr>
        <w:trPr>
          <w:trHeight w:val="274"/>
        </w:trPr>
        <w:tc>
          <w:tcPr>
            <w:tcW w:w="616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Principal amount of 2029 Notes</w:t>
            </w:r>
          </w:p>
        </w:tc>
        <w:tc>
          <w:tcPr>
            <w:tcW w:w="1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500,000</w:t>
            </w:r>
          </w:p>
        </w:tc>
        <w:tc>
          <w:tcPr>
            <w:tcW w:w="24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500,000</w:t>
            </w:r>
          </w:p>
        </w:tc>
      </w:tr>
      <w:tr>
        <w:trPr>
          <w:trHeight w:val="278"/>
        </w:trPr>
        <w:tc>
          <w:tcPr>
            <w:tcW w:w="6160" w:type="dxa"/>
            <w:vAlign w:val="bottom"/>
            <w:tcBorders>
              <w:bottom w:val="single" w:sz="8" w:color="D5D5D5"/>
            </w:tcBorders>
          </w:tcPr>
          <w:p>
            <w:pPr>
              <w:ind w:left="40"/>
              <w:spacing w:after="0"/>
              <w:rPr>
                <w:sz w:val="20"/>
                <w:szCs w:val="20"/>
                <w:color w:val="auto"/>
              </w:rPr>
            </w:pPr>
            <w:r>
              <w:rPr>
                <w:rFonts w:ascii="Times New Roman" w:cs="Times New Roman" w:eastAsia="Times New Roman" w:hAnsi="Times New Roman"/>
                <w:sz w:val="19"/>
                <w:szCs w:val="19"/>
                <w:color w:val="auto"/>
              </w:rPr>
              <w:t>Less: Debt issuance costs</w:t>
            </w: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(3,903)</w:t>
            </w:r>
          </w:p>
        </w:tc>
        <w:tc>
          <w:tcPr>
            <w:tcW w:w="60" w:type="dxa"/>
            <w:vAlign w:val="bottom"/>
            <w:tcBorders>
              <w:bottom w:val="single" w:sz="8" w:color="D5D5D5"/>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(4,820)</w:t>
            </w:r>
          </w:p>
        </w:tc>
      </w:tr>
      <w:tr>
        <w:trPr>
          <w:trHeight w:val="287"/>
        </w:trPr>
        <w:tc>
          <w:tcPr>
            <w:tcW w:w="6160" w:type="dxa"/>
            <w:vAlign w:val="bottom"/>
            <w:tcBorders>
              <w:bottom w:val="single" w:sz="8" w:color="D5D5D5"/>
            </w:tcBorders>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Net carrying amount of 2029 Notes</w:t>
            </w:r>
          </w:p>
        </w:tc>
        <w:tc>
          <w:tcPr>
            <w:tcW w:w="1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496,097</w:t>
            </w:r>
          </w:p>
        </w:tc>
        <w:tc>
          <w:tcPr>
            <w:tcW w:w="60" w:type="dxa"/>
            <w:vAlign w:val="bottom"/>
            <w:tcBorders>
              <w:bottom w:val="single" w:sz="8" w:color="D5D5D5"/>
            </w:tcBorders>
            <w:shd w:val="clear" w:color="auto" w:fill="D5D5D5"/>
          </w:tcPr>
          <w:p>
            <w:pPr>
              <w:spacing w:after="0"/>
              <w:rPr>
                <w:sz w:val="24"/>
                <w:szCs w:val="24"/>
                <w:color w:val="auto"/>
              </w:rPr>
            </w:pPr>
          </w:p>
        </w:tc>
        <w:tc>
          <w:tcPr>
            <w:tcW w:w="1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495,180</w:t>
            </w:r>
          </w:p>
        </w:tc>
      </w:tr>
    </w:tbl>
    <w:p>
      <w:pPr>
        <w:spacing w:after="0" w:line="237" w:lineRule="exact"/>
        <w:rPr>
          <w:sz w:val="20"/>
          <w:szCs w:val="20"/>
          <w:color w:val="auto"/>
        </w:rPr>
      </w:pPr>
    </w:p>
    <w:p>
      <w:pPr>
        <w:ind w:right="60" w:firstLine="346"/>
        <w:spacing w:after="0" w:line="271" w:lineRule="auto"/>
        <w:rPr>
          <w:sz w:val="20"/>
          <w:szCs w:val="20"/>
          <w:color w:val="auto"/>
        </w:rPr>
      </w:pPr>
      <w:r>
        <w:rPr>
          <w:rFonts w:ascii="Times New Roman" w:cs="Times New Roman" w:eastAsia="Times New Roman" w:hAnsi="Times New Roman"/>
          <w:sz w:val="19"/>
          <w:szCs w:val="19"/>
          <w:color w:val="auto"/>
        </w:rPr>
        <w:t>The following table summarizes the fair value of the 2029 Notes, net of debt issuance costs. The fair value of the 2029 Notes is based on the closing trading price per $100 of the 2029 Notes as of the last day of trading (Level 2), which was $94.65 and $92.49 as of January 25, 2025 and January 27, 2024, respectively (dollars in thousands):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6160" w:type="dxa"/>
            <w:vAlign w:val="bottom"/>
            <w:tcBorders>
              <w:bottom w:val="single" w:sz="8" w:color="D5D5D5"/>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60" w:type="dxa"/>
            <w:vAlign w:val="bottom"/>
            <w:tcBorders>
              <w:bottom w:val="single" w:sz="8" w:color="D5D5D5"/>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9"/>
                <w:szCs w:val="19"/>
                <w:b w:val="1"/>
                <w:bCs w:val="1"/>
                <w:color w:val="auto"/>
              </w:rPr>
              <w:t>January 27, 2024</w:t>
            </w:r>
          </w:p>
        </w:tc>
      </w:tr>
      <w:tr>
        <w:trPr>
          <w:trHeight w:val="274"/>
        </w:trPr>
        <w:tc>
          <w:tcPr>
            <w:tcW w:w="616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Fair value of principal amount of 2029 Notes</w:t>
            </w:r>
          </w:p>
        </w:tc>
        <w:tc>
          <w:tcPr>
            <w:tcW w:w="1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473,250</w:t>
            </w:r>
          </w:p>
        </w:tc>
        <w:tc>
          <w:tcPr>
            <w:tcW w:w="24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462,450</w:t>
            </w:r>
          </w:p>
        </w:tc>
      </w:tr>
      <w:tr>
        <w:trPr>
          <w:trHeight w:val="282"/>
        </w:trPr>
        <w:tc>
          <w:tcPr>
            <w:tcW w:w="6160" w:type="dxa"/>
            <w:vAlign w:val="bottom"/>
            <w:tcBorders>
              <w:bottom w:val="single" w:sz="8" w:color="D5D5D5"/>
            </w:tcBorders>
          </w:tcPr>
          <w:p>
            <w:pPr>
              <w:ind w:left="40"/>
              <w:spacing w:after="0"/>
              <w:rPr>
                <w:sz w:val="20"/>
                <w:szCs w:val="20"/>
                <w:color w:val="auto"/>
              </w:rPr>
            </w:pPr>
            <w:r>
              <w:rPr>
                <w:rFonts w:ascii="Times New Roman" w:cs="Times New Roman" w:eastAsia="Times New Roman" w:hAnsi="Times New Roman"/>
                <w:sz w:val="19"/>
                <w:szCs w:val="19"/>
                <w:color w:val="auto"/>
              </w:rPr>
              <w:t>Less: Debt issuance costs</w:t>
            </w: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(3,903)</w:t>
            </w:r>
          </w:p>
        </w:tc>
        <w:tc>
          <w:tcPr>
            <w:tcW w:w="60" w:type="dxa"/>
            <w:vAlign w:val="bottom"/>
            <w:tcBorders>
              <w:bottom w:val="single" w:sz="8" w:color="D5D5D5"/>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(4,820)</w:t>
            </w:r>
          </w:p>
        </w:tc>
      </w:tr>
      <w:tr>
        <w:trPr>
          <w:trHeight w:val="282"/>
        </w:trPr>
        <w:tc>
          <w:tcPr>
            <w:tcW w:w="6160" w:type="dxa"/>
            <w:vAlign w:val="bottom"/>
            <w:tcBorders>
              <w:bottom w:val="single" w:sz="8" w:color="D5D5D5"/>
            </w:tcBorders>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Fair value of 2029 Notes</w:t>
            </w:r>
          </w:p>
        </w:tc>
        <w:tc>
          <w:tcPr>
            <w:tcW w:w="1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469,347</w:t>
            </w:r>
          </w:p>
        </w:tc>
        <w:tc>
          <w:tcPr>
            <w:tcW w:w="60" w:type="dxa"/>
            <w:vAlign w:val="bottom"/>
            <w:tcBorders>
              <w:bottom w:val="single" w:sz="8" w:color="D5D5D5"/>
            </w:tcBorders>
            <w:shd w:val="clear" w:color="auto" w:fill="D5D5D5"/>
          </w:tcPr>
          <w:p>
            <w:pPr>
              <w:spacing w:after="0"/>
              <w:rPr>
                <w:sz w:val="24"/>
                <w:szCs w:val="24"/>
                <w:color w:val="auto"/>
              </w:rPr>
            </w:pPr>
          </w:p>
        </w:tc>
        <w:tc>
          <w:tcPr>
            <w:tcW w:w="1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457,630</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15. Income Taxes</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components of the provision for income taxes were as follows (dollars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00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Fiscal Year Ended</w:t>
            </w:r>
          </w:p>
        </w:tc>
        <w:tc>
          <w:tcPr>
            <w:tcW w:w="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254"/>
        </w:trPr>
        <w:tc>
          <w:tcPr>
            <w:tcW w:w="5000" w:type="dxa"/>
            <w:vAlign w:val="bottom"/>
          </w:tcPr>
          <w:p>
            <w:pPr>
              <w:spacing w:after="0"/>
              <w:rPr>
                <w:sz w:val="22"/>
                <w:szCs w:val="22"/>
                <w:color w:val="auto"/>
              </w:rPr>
            </w:pPr>
          </w:p>
        </w:tc>
        <w:tc>
          <w:tcPr>
            <w:tcW w:w="15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80" w:type="dxa"/>
            <w:vAlign w:val="bottom"/>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January 27, 2024</w:t>
            </w:r>
          </w:p>
        </w:tc>
        <w:tc>
          <w:tcPr>
            <w:tcW w:w="80" w:type="dxa"/>
            <w:vAlign w:val="bottom"/>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January 28, 2023</w:t>
            </w:r>
          </w:p>
        </w:tc>
        <w:tc>
          <w:tcPr>
            <w:tcW w:w="60" w:type="dxa"/>
            <w:vAlign w:val="bottom"/>
          </w:tcPr>
          <w:p>
            <w:pPr>
              <w:spacing w:after="0"/>
              <w:rPr>
                <w:sz w:val="22"/>
                <w:szCs w:val="22"/>
                <w:color w:val="auto"/>
              </w:rPr>
            </w:pPr>
          </w:p>
        </w:tc>
      </w:tr>
      <w:tr>
        <w:trPr>
          <w:trHeight w:val="263"/>
        </w:trPr>
        <w:tc>
          <w:tcPr>
            <w:tcW w:w="50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Current:</w:t>
            </w:r>
          </w:p>
        </w:tc>
        <w:tc>
          <w:tcPr>
            <w:tcW w:w="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94"/>
        </w:trPr>
        <w:tc>
          <w:tcPr>
            <w:tcW w:w="5000" w:type="dxa"/>
            <w:vAlign w:val="bottom"/>
            <w:shd w:val="clear" w:color="auto" w:fill="D5D5D5"/>
          </w:tcPr>
          <w:p>
            <w:pPr>
              <w:ind w:left="260"/>
              <w:spacing w:after="0"/>
              <w:rPr>
                <w:sz w:val="20"/>
                <w:szCs w:val="20"/>
                <w:color w:val="auto"/>
              </w:rPr>
            </w:pPr>
            <w:r>
              <w:rPr>
                <w:rFonts w:ascii="Times New Roman" w:cs="Times New Roman" w:eastAsia="Times New Roman" w:hAnsi="Times New Roman"/>
                <w:sz w:val="19"/>
                <w:szCs w:val="19"/>
                <w:color w:val="auto"/>
              </w:rPr>
              <w:t>Federal</w:t>
            </w:r>
          </w:p>
        </w:tc>
        <w:tc>
          <w:tcPr>
            <w:tcW w:w="52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73,398</w:t>
            </w:r>
          </w:p>
        </w:tc>
        <w:tc>
          <w:tcPr>
            <w:tcW w:w="580" w:type="dxa"/>
            <w:vAlign w:val="bottom"/>
            <w:gridSpan w:val="2"/>
            <w:shd w:val="clear" w:color="auto" w:fill="D5D5D5"/>
          </w:tcPr>
          <w:p>
            <w:pPr>
              <w:ind w:left="14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65,540</w:t>
            </w:r>
          </w:p>
        </w:tc>
        <w:tc>
          <w:tcPr>
            <w:tcW w:w="62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24,917</w:t>
            </w:r>
          </w:p>
        </w:tc>
        <w:tc>
          <w:tcPr>
            <w:tcW w:w="60" w:type="dxa"/>
            <w:vAlign w:val="bottom"/>
            <w:shd w:val="clear" w:color="auto" w:fill="D5D5D5"/>
          </w:tcPr>
          <w:p>
            <w:pPr>
              <w:spacing w:after="0"/>
              <w:rPr>
                <w:sz w:val="24"/>
                <w:szCs w:val="24"/>
                <w:color w:val="auto"/>
              </w:rPr>
            </w:pPr>
          </w:p>
        </w:tc>
      </w:tr>
      <w:tr>
        <w:trPr>
          <w:trHeight w:val="282"/>
        </w:trPr>
        <w:tc>
          <w:tcPr>
            <w:tcW w:w="50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Foreign</w:t>
            </w: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r>
      <w:tr>
        <w:trPr>
          <w:trHeight w:val="284"/>
        </w:trPr>
        <w:tc>
          <w:tcPr>
            <w:tcW w:w="5000" w:type="dxa"/>
            <w:vAlign w:val="bottom"/>
            <w:tcBorders>
              <w:bottom w:val="single" w:sz="8" w:color="D5D5D5"/>
            </w:tcBorders>
            <w:shd w:val="clear" w:color="auto" w:fill="D5D5D5"/>
          </w:tcPr>
          <w:p>
            <w:pPr>
              <w:ind w:left="260"/>
              <w:spacing w:after="0"/>
              <w:rPr>
                <w:sz w:val="20"/>
                <w:szCs w:val="20"/>
                <w:color w:val="auto"/>
              </w:rPr>
            </w:pPr>
            <w:r>
              <w:rPr>
                <w:rFonts w:ascii="Times New Roman" w:cs="Times New Roman" w:eastAsia="Times New Roman" w:hAnsi="Times New Roman"/>
                <w:sz w:val="19"/>
                <w:szCs w:val="19"/>
                <w:color w:val="auto"/>
              </w:rPr>
              <w:t>State</w:t>
            </w:r>
          </w:p>
        </w:tc>
        <w:tc>
          <w:tcPr>
            <w:tcW w:w="520" w:type="dxa"/>
            <w:vAlign w:val="bottom"/>
            <w:tcBorders>
              <w:bottom w:val="single" w:sz="8" w:color="auto"/>
            </w:tcBorders>
            <w:shd w:val="clear" w:color="auto" w:fill="D5D5D5"/>
          </w:tcPr>
          <w:p>
            <w:pPr>
              <w:spacing w:after="0"/>
              <w:rPr>
                <w:sz w:val="24"/>
                <w:szCs w:val="24"/>
                <w:color w:val="auto"/>
              </w:rPr>
            </w:pPr>
          </w:p>
        </w:tc>
        <w:tc>
          <w:tcPr>
            <w:tcW w:w="10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18,369</w:t>
            </w:r>
          </w:p>
        </w:tc>
        <w:tc>
          <w:tcPr>
            <w:tcW w:w="80" w:type="dxa"/>
            <w:vAlign w:val="bottom"/>
            <w:tcBorders>
              <w:bottom w:val="single" w:sz="8" w:color="D5D5D5"/>
            </w:tcBorders>
            <w:shd w:val="clear" w:color="auto" w:fill="D5D5D5"/>
          </w:tcPr>
          <w:p>
            <w:pPr>
              <w:spacing w:after="0"/>
              <w:rPr>
                <w:sz w:val="24"/>
                <w:szCs w:val="24"/>
                <w:color w:val="auto"/>
              </w:rPr>
            </w:pPr>
          </w:p>
        </w:tc>
        <w:tc>
          <w:tcPr>
            <w:tcW w:w="500" w:type="dxa"/>
            <w:vAlign w:val="bottom"/>
            <w:tcBorders>
              <w:bottom w:val="single" w:sz="8" w:color="auto"/>
            </w:tcBorders>
            <w:shd w:val="clear" w:color="auto" w:fill="D5D5D5"/>
          </w:tcPr>
          <w:p>
            <w:pPr>
              <w:spacing w:after="0"/>
              <w:rPr>
                <w:sz w:val="24"/>
                <w:szCs w:val="24"/>
                <w:color w:val="auto"/>
              </w:rPr>
            </w:pPr>
          </w:p>
        </w:tc>
        <w:tc>
          <w:tcPr>
            <w:tcW w:w="104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18,166</w:t>
            </w:r>
          </w:p>
        </w:tc>
        <w:tc>
          <w:tcPr>
            <w:tcW w:w="80" w:type="dxa"/>
            <w:vAlign w:val="bottom"/>
            <w:tcBorders>
              <w:bottom w:val="single" w:sz="8" w:color="D5D5D5"/>
            </w:tcBorders>
            <w:shd w:val="clear" w:color="auto" w:fill="D5D5D5"/>
          </w:tcPr>
          <w:p>
            <w:pPr>
              <w:spacing w:after="0"/>
              <w:rPr>
                <w:sz w:val="24"/>
                <w:szCs w:val="24"/>
                <w:color w:val="auto"/>
              </w:rPr>
            </w:pPr>
          </w:p>
        </w:tc>
        <w:tc>
          <w:tcPr>
            <w:tcW w:w="540" w:type="dxa"/>
            <w:vAlign w:val="bottom"/>
            <w:tcBorders>
              <w:bottom w:val="single" w:sz="8" w:color="auto"/>
            </w:tcBorders>
            <w:shd w:val="clear" w:color="auto" w:fill="D5D5D5"/>
          </w:tcPr>
          <w:p>
            <w:pPr>
              <w:spacing w:after="0"/>
              <w:rPr>
                <w:sz w:val="24"/>
                <w:szCs w:val="24"/>
                <w:color w:val="auto"/>
              </w:rPr>
            </w:pPr>
          </w:p>
        </w:tc>
        <w:tc>
          <w:tcPr>
            <w:tcW w:w="10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8,460</w:t>
            </w:r>
          </w:p>
        </w:tc>
        <w:tc>
          <w:tcPr>
            <w:tcW w:w="60" w:type="dxa"/>
            <w:vAlign w:val="bottom"/>
            <w:tcBorders>
              <w:bottom w:val="single" w:sz="8" w:color="D5D5D5"/>
            </w:tcBorders>
            <w:shd w:val="clear" w:color="auto" w:fill="D5D5D5"/>
          </w:tcPr>
          <w:p>
            <w:pPr>
              <w:spacing w:after="0"/>
              <w:rPr>
                <w:sz w:val="24"/>
                <w:szCs w:val="24"/>
                <w:color w:val="auto"/>
              </w:rPr>
            </w:pPr>
          </w:p>
        </w:tc>
      </w:tr>
      <w:tr>
        <w:trPr>
          <w:trHeight w:val="268"/>
        </w:trPr>
        <w:tc>
          <w:tcPr>
            <w:tcW w:w="500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91,767</w:t>
            </w:r>
          </w:p>
        </w:tc>
        <w:tc>
          <w:tcPr>
            <w:tcW w:w="8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83,719</w:t>
            </w:r>
          </w:p>
        </w:tc>
        <w:tc>
          <w:tcPr>
            <w:tcW w:w="8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33,377</w:t>
            </w:r>
          </w:p>
        </w:tc>
        <w:tc>
          <w:tcPr>
            <w:tcW w:w="60" w:type="dxa"/>
            <w:vAlign w:val="bottom"/>
          </w:tcPr>
          <w:p>
            <w:pPr>
              <w:spacing w:after="0"/>
              <w:rPr>
                <w:sz w:val="23"/>
                <w:szCs w:val="23"/>
                <w:color w:val="auto"/>
              </w:rPr>
            </w:pPr>
          </w:p>
        </w:tc>
      </w:tr>
      <w:tr>
        <w:trPr>
          <w:trHeight w:val="272"/>
        </w:trPr>
        <w:tc>
          <w:tcPr>
            <w:tcW w:w="50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Deferred:</w:t>
            </w:r>
          </w:p>
        </w:tc>
        <w:tc>
          <w:tcPr>
            <w:tcW w:w="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94"/>
        </w:trPr>
        <w:tc>
          <w:tcPr>
            <w:tcW w:w="5000" w:type="dxa"/>
            <w:vAlign w:val="bottom"/>
            <w:shd w:val="clear" w:color="auto" w:fill="D5D5D5"/>
          </w:tcPr>
          <w:p>
            <w:pPr>
              <w:ind w:left="260"/>
              <w:spacing w:after="0"/>
              <w:rPr>
                <w:sz w:val="20"/>
                <w:szCs w:val="20"/>
                <w:color w:val="auto"/>
              </w:rPr>
            </w:pPr>
            <w:r>
              <w:rPr>
                <w:rFonts w:ascii="Times New Roman" w:cs="Times New Roman" w:eastAsia="Times New Roman" w:hAnsi="Times New Roman"/>
                <w:sz w:val="19"/>
                <w:szCs w:val="19"/>
                <w:color w:val="auto"/>
              </w:rPr>
              <w:t>Federal</w:t>
            </w:r>
          </w:p>
        </w:tc>
        <w:tc>
          <w:tcPr>
            <w:tcW w:w="520" w:type="dxa"/>
            <w:vAlign w:val="bottom"/>
            <w:shd w:val="clear" w:color="auto" w:fill="D5D5D5"/>
          </w:tcPr>
          <w:p>
            <w:pPr>
              <w:spacing w:after="0"/>
              <w:rPr>
                <w:sz w:val="24"/>
                <w:szCs w:val="24"/>
                <w:color w:val="auto"/>
              </w:rPr>
            </w:pPr>
          </w:p>
        </w:tc>
        <w:tc>
          <w:tcPr>
            <w:tcW w:w="10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(15,411)</w:t>
            </w:r>
          </w:p>
        </w:tc>
        <w:tc>
          <w:tcPr>
            <w:tcW w:w="80" w:type="dxa"/>
            <w:vAlign w:val="bottom"/>
            <w:shd w:val="clear" w:color="auto" w:fill="D5D5D5"/>
          </w:tcPr>
          <w:p>
            <w:pPr>
              <w:spacing w:after="0"/>
              <w:rPr>
                <w:sz w:val="24"/>
                <w:szCs w:val="24"/>
                <w:color w:val="auto"/>
              </w:rPr>
            </w:pPr>
          </w:p>
        </w:tc>
        <w:tc>
          <w:tcPr>
            <w:tcW w:w="500" w:type="dxa"/>
            <w:vAlign w:val="bottom"/>
            <w:shd w:val="clear" w:color="auto" w:fill="D5D5D5"/>
          </w:tcPr>
          <w:p>
            <w:pPr>
              <w:spacing w:after="0"/>
              <w:rPr>
                <w:sz w:val="24"/>
                <w:szCs w:val="24"/>
                <w:color w:val="auto"/>
              </w:rPr>
            </w:pPr>
          </w:p>
        </w:tc>
        <w:tc>
          <w:tcPr>
            <w:tcW w:w="10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(10,000)</w:t>
            </w:r>
          </w:p>
        </w:tc>
        <w:tc>
          <w:tcPr>
            <w:tcW w:w="80" w:type="dxa"/>
            <w:vAlign w:val="bottom"/>
            <w:shd w:val="clear" w:color="auto" w:fill="D5D5D5"/>
          </w:tcPr>
          <w:p>
            <w:pPr>
              <w:spacing w:after="0"/>
              <w:rPr>
                <w:sz w:val="24"/>
                <w:szCs w:val="24"/>
                <w:color w:val="auto"/>
              </w:rPr>
            </w:pPr>
          </w:p>
        </w:tc>
        <w:tc>
          <w:tcPr>
            <w:tcW w:w="540" w:type="dxa"/>
            <w:vAlign w:val="bottom"/>
            <w:shd w:val="clear" w:color="auto" w:fill="D5D5D5"/>
          </w:tcPr>
          <w:p>
            <w:pPr>
              <w:spacing w:after="0"/>
              <w:rPr>
                <w:sz w:val="24"/>
                <w:szCs w:val="24"/>
                <w:color w:val="auto"/>
              </w:rPr>
            </w:pPr>
          </w:p>
        </w:tc>
        <w:tc>
          <w:tcPr>
            <w:tcW w:w="10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6,094</w:t>
            </w:r>
          </w:p>
        </w:tc>
        <w:tc>
          <w:tcPr>
            <w:tcW w:w="60" w:type="dxa"/>
            <w:vAlign w:val="bottom"/>
            <w:shd w:val="clear" w:color="auto" w:fill="D5D5D5"/>
          </w:tcPr>
          <w:p>
            <w:pPr>
              <w:spacing w:after="0"/>
              <w:rPr>
                <w:sz w:val="24"/>
                <w:szCs w:val="24"/>
                <w:color w:val="auto"/>
              </w:rPr>
            </w:pPr>
          </w:p>
        </w:tc>
      </w:tr>
      <w:tr>
        <w:trPr>
          <w:trHeight w:val="282"/>
        </w:trPr>
        <w:tc>
          <w:tcPr>
            <w:tcW w:w="50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Foreign</w:t>
            </w: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r>
      <w:tr>
        <w:trPr>
          <w:trHeight w:val="284"/>
        </w:trPr>
        <w:tc>
          <w:tcPr>
            <w:tcW w:w="5000" w:type="dxa"/>
            <w:vAlign w:val="bottom"/>
            <w:tcBorders>
              <w:bottom w:val="single" w:sz="8" w:color="D5D5D5"/>
            </w:tcBorders>
            <w:shd w:val="clear" w:color="auto" w:fill="D5D5D5"/>
          </w:tcPr>
          <w:p>
            <w:pPr>
              <w:ind w:left="260"/>
              <w:spacing w:after="0"/>
              <w:rPr>
                <w:sz w:val="20"/>
                <w:szCs w:val="20"/>
                <w:color w:val="auto"/>
              </w:rPr>
            </w:pPr>
            <w:r>
              <w:rPr>
                <w:rFonts w:ascii="Times New Roman" w:cs="Times New Roman" w:eastAsia="Times New Roman" w:hAnsi="Times New Roman"/>
                <w:sz w:val="19"/>
                <w:szCs w:val="19"/>
                <w:color w:val="auto"/>
              </w:rPr>
              <w:t>State</w:t>
            </w:r>
          </w:p>
        </w:tc>
        <w:tc>
          <w:tcPr>
            <w:tcW w:w="520" w:type="dxa"/>
            <w:vAlign w:val="bottom"/>
            <w:tcBorders>
              <w:bottom w:val="single" w:sz="8" w:color="auto"/>
            </w:tcBorders>
            <w:shd w:val="clear" w:color="auto" w:fill="D5D5D5"/>
          </w:tcPr>
          <w:p>
            <w:pPr>
              <w:spacing w:after="0"/>
              <w:rPr>
                <w:sz w:val="24"/>
                <w:szCs w:val="24"/>
                <w:color w:val="auto"/>
              </w:rPr>
            </w:pPr>
          </w:p>
        </w:tc>
        <w:tc>
          <w:tcPr>
            <w:tcW w:w="10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(1,979)</w:t>
            </w:r>
          </w:p>
        </w:tc>
        <w:tc>
          <w:tcPr>
            <w:tcW w:w="80" w:type="dxa"/>
            <w:vAlign w:val="bottom"/>
            <w:tcBorders>
              <w:bottom w:val="single" w:sz="8" w:color="D5D5D5"/>
            </w:tcBorders>
            <w:shd w:val="clear" w:color="auto" w:fill="D5D5D5"/>
          </w:tcPr>
          <w:p>
            <w:pPr>
              <w:spacing w:after="0"/>
              <w:rPr>
                <w:sz w:val="24"/>
                <w:szCs w:val="24"/>
                <w:color w:val="auto"/>
              </w:rPr>
            </w:pPr>
          </w:p>
        </w:tc>
        <w:tc>
          <w:tcPr>
            <w:tcW w:w="500" w:type="dxa"/>
            <w:vAlign w:val="bottom"/>
            <w:tcBorders>
              <w:bottom w:val="single" w:sz="8" w:color="auto"/>
            </w:tcBorders>
            <w:shd w:val="clear" w:color="auto" w:fill="D5D5D5"/>
          </w:tcPr>
          <w:p>
            <w:pPr>
              <w:spacing w:after="0"/>
              <w:rPr>
                <w:sz w:val="24"/>
                <w:szCs w:val="24"/>
                <w:color w:val="auto"/>
              </w:rPr>
            </w:pPr>
          </w:p>
        </w:tc>
        <w:tc>
          <w:tcPr>
            <w:tcW w:w="104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(643)</w:t>
            </w:r>
          </w:p>
        </w:tc>
        <w:tc>
          <w:tcPr>
            <w:tcW w:w="80" w:type="dxa"/>
            <w:vAlign w:val="bottom"/>
            <w:tcBorders>
              <w:bottom w:val="single" w:sz="8" w:color="D5D5D5"/>
            </w:tcBorders>
            <w:shd w:val="clear" w:color="auto" w:fill="D5D5D5"/>
          </w:tcPr>
          <w:p>
            <w:pPr>
              <w:spacing w:after="0"/>
              <w:rPr>
                <w:sz w:val="24"/>
                <w:szCs w:val="24"/>
                <w:color w:val="auto"/>
              </w:rPr>
            </w:pPr>
          </w:p>
        </w:tc>
        <w:tc>
          <w:tcPr>
            <w:tcW w:w="540" w:type="dxa"/>
            <w:vAlign w:val="bottom"/>
            <w:tcBorders>
              <w:bottom w:val="single" w:sz="8" w:color="auto"/>
            </w:tcBorders>
            <w:shd w:val="clear" w:color="auto" w:fill="D5D5D5"/>
          </w:tcPr>
          <w:p>
            <w:pPr>
              <w:spacing w:after="0"/>
              <w:rPr>
                <w:sz w:val="24"/>
                <w:szCs w:val="24"/>
                <w:color w:val="auto"/>
              </w:rPr>
            </w:pPr>
          </w:p>
        </w:tc>
        <w:tc>
          <w:tcPr>
            <w:tcW w:w="10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(1,562)</w:t>
            </w:r>
          </w:p>
        </w:tc>
        <w:tc>
          <w:tcPr>
            <w:tcW w:w="60" w:type="dxa"/>
            <w:vAlign w:val="bottom"/>
            <w:tcBorders>
              <w:bottom w:val="single" w:sz="8" w:color="D5D5D5"/>
            </w:tcBorders>
            <w:shd w:val="clear" w:color="auto" w:fill="D5D5D5"/>
          </w:tcPr>
          <w:p>
            <w:pPr>
              <w:spacing w:after="0"/>
              <w:rPr>
                <w:sz w:val="24"/>
                <w:szCs w:val="24"/>
                <w:color w:val="auto"/>
              </w:rPr>
            </w:pPr>
          </w:p>
        </w:tc>
      </w:tr>
      <w:tr>
        <w:trPr>
          <w:trHeight w:val="268"/>
        </w:trPr>
        <w:tc>
          <w:tcPr>
            <w:tcW w:w="5000" w:type="dxa"/>
            <w:vAlign w:val="bottom"/>
            <w:tcBorders>
              <w:bottom w:val="single" w:sz="8" w:color="D5D5D5"/>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(17,390)</w:t>
            </w:r>
          </w:p>
        </w:tc>
        <w:tc>
          <w:tcPr>
            <w:tcW w:w="80" w:type="dxa"/>
            <w:vAlign w:val="bottom"/>
            <w:tcBorders>
              <w:bottom w:val="single" w:sz="8" w:color="D5D5D5"/>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(10,643)</w:t>
            </w:r>
          </w:p>
        </w:tc>
        <w:tc>
          <w:tcPr>
            <w:tcW w:w="80" w:type="dxa"/>
            <w:vAlign w:val="bottom"/>
            <w:tcBorders>
              <w:bottom w:val="single" w:sz="8" w:color="D5D5D5"/>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4,532</w:t>
            </w:r>
          </w:p>
        </w:tc>
        <w:tc>
          <w:tcPr>
            <w:tcW w:w="60" w:type="dxa"/>
            <w:vAlign w:val="bottom"/>
            <w:tcBorders>
              <w:bottom w:val="single" w:sz="8" w:color="D5D5D5"/>
            </w:tcBorders>
          </w:tcPr>
          <w:p>
            <w:pPr>
              <w:spacing w:after="0"/>
              <w:rPr>
                <w:sz w:val="23"/>
                <w:szCs w:val="23"/>
                <w:color w:val="auto"/>
              </w:rPr>
            </w:pPr>
          </w:p>
        </w:tc>
      </w:tr>
      <w:tr>
        <w:trPr>
          <w:trHeight w:val="287"/>
        </w:trPr>
        <w:tc>
          <w:tcPr>
            <w:tcW w:w="5000" w:type="dxa"/>
            <w:vAlign w:val="bottom"/>
            <w:tcBorders>
              <w:bottom w:val="single" w:sz="8" w:color="D5D5D5"/>
            </w:tcBorders>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Provision for income taxes</w:t>
            </w:r>
          </w:p>
        </w:tc>
        <w:tc>
          <w:tcPr>
            <w:tcW w:w="520" w:type="dxa"/>
            <w:vAlign w:val="bottom"/>
            <w:tcBorders>
              <w:bottom w:val="single" w:sz="8" w:color="auto"/>
            </w:tcBorders>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74,377</w:t>
            </w:r>
          </w:p>
        </w:tc>
        <w:tc>
          <w:tcPr>
            <w:tcW w:w="80" w:type="dxa"/>
            <w:vAlign w:val="bottom"/>
            <w:tcBorders>
              <w:bottom w:val="single" w:sz="8" w:color="D5D5D5"/>
            </w:tcBorders>
            <w:shd w:val="clear" w:color="auto" w:fill="D5D5D5"/>
          </w:tcPr>
          <w:p>
            <w:pPr>
              <w:spacing w:after="0"/>
              <w:rPr>
                <w:sz w:val="24"/>
                <w:szCs w:val="24"/>
                <w:color w:val="auto"/>
              </w:rPr>
            </w:pPr>
          </w:p>
        </w:tc>
        <w:tc>
          <w:tcPr>
            <w:tcW w:w="500" w:type="dxa"/>
            <w:vAlign w:val="bottom"/>
            <w:tcBorders>
              <w:bottom w:val="single" w:sz="8" w:color="auto"/>
            </w:tcBorders>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73,076</w:t>
            </w:r>
          </w:p>
        </w:tc>
        <w:tc>
          <w:tcPr>
            <w:tcW w:w="80" w:type="dxa"/>
            <w:vAlign w:val="bottom"/>
            <w:tcBorders>
              <w:bottom w:val="single" w:sz="8" w:color="D5D5D5"/>
            </w:tcBorders>
            <w:shd w:val="clear" w:color="auto" w:fill="D5D5D5"/>
          </w:tcPr>
          <w:p>
            <w:pPr>
              <w:spacing w:after="0"/>
              <w:rPr>
                <w:sz w:val="24"/>
                <w:szCs w:val="24"/>
                <w:color w:val="auto"/>
              </w:rPr>
            </w:pPr>
          </w:p>
        </w:tc>
        <w:tc>
          <w:tcPr>
            <w:tcW w:w="540" w:type="dxa"/>
            <w:vAlign w:val="bottom"/>
            <w:tcBorders>
              <w:bottom w:val="single" w:sz="8" w:color="auto"/>
            </w:tcBorders>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37,909</w:t>
            </w:r>
          </w:p>
        </w:tc>
        <w:tc>
          <w:tcPr>
            <w:tcW w:w="60" w:type="dxa"/>
            <w:vAlign w:val="bottom"/>
            <w:tcBorders>
              <w:bottom w:val="single" w:sz="8" w:color="D5D5D5"/>
            </w:tcBorders>
            <w:shd w:val="clear" w:color="auto" w:fill="D5D5D5"/>
          </w:tcPr>
          <w:p>
            <w:pPr>
              <w:spacing w:after="0"/>
              <w:rPr>
                <w:sz w:val="24"/>
                <w:szCs w:val="24"/>
                <w:color w:val="auto"/>
              </w:rPr>
            </w:pPr>
          </w:p>
        </w:tc>
      </w:tr>
    </w:tbl>
    <w:p>
      <w:pPr>
        <w:spacing w:after="0" w:line="256" w:lineRule="exact"/>
        <w:rPr>
          <w:sz w:val="20"/>
          <w:szCs w:val="20"/>
          <w:color w:val="auto"/>
        </w:rPr>
      </w:pPr>
    </w:p>
    <w:p>
      <w:pPr>
        <w:ind w:right="40" w:firstLine="346"/>
        <w:spacing w:after="0" w:line="254" w:lineRule="auto"/>
        <w:rPr>
          <w:sz w:val="20"/>
          <w:szCs w:val="20"/>
          <w:color w:val="auto"/>
        </w:rPr>
      </w:pPr>
      <w:r>
        <w:rPr>
          <w:rFonts w:ascii="Times New Roman" w:cs="Times New Roman" w:eastAsia="Times New Roman" w:hAnsi="Times New Roman"/>
          <w:sz w:val="19"/>
          <w:szCs w:val="19"/>
          <w:color w:val="auto"/>
        </w:rPr>
        <w:t>Our effective income tax rate differs from the statutory rate primarily due to the difference in income tax rates from state to state where work was performed, non-deductible and non-taxable items, tax credits recognized, the tax effects of the vesting and exercise of share-based awards, impacts of tax filings for prior years, and changes in unrecognized tax benefits.</w:t>
      </w:r>
    </w:p>
    <w:p>
      <w:pPr>
        <w:spacing w:after="0" w:line="166" w:lineRule="exact"/>
        <w:rPr>
          <w:sz w:val="20"/>
          <w:szCs w:val="20"/>
          <w:color w:val="auto"/>
        </w:rPr>
      </w:pPr>
    </w:p>
    <w:p>
      <w:pPr>
        <w:ind w:firstLine="346"/>
        <w:spacing w:after="0" w:line="261" w:lineRule="auto"/>
        <w:rPr>
          <w:sz w:val="20"/>
          <w:szCs w:val="20"/>
          <w:color w:val="auto"/>
        </w:rPr>
      </w:pPr>
      <w:r>
        <w:rPr>
          <w:rFonts w:ascii="Times New Roman" w:cs="Times New Roman" w:eastAsia="Times New Roman" w:hAnsi="Times New Roman"/>
          <w:sz w:val="19"/>
          <w:szCs w:val="19"/>
          <w:color w:val="auto"/>
        </w:rPr>
        <w:t>We are currently under IRS audit for fiscal year 2020. We believe our provision for income taxes is adequate; however, any assessment may affect our results of operations and cash flows.</w:t>
      </w:r>
    </w:p>
    <w:p>
      <w:pPr>
        <w:sectPr>
          <w:pgSz w:w="11880" w:h="15480" w:orient="portrait"/>
          <w:cols w:equalWidth="0" w:num="1">
            <w:col w:w="9840"/>
          </w:cols>
          <w:pgMar w:left="1000" w:top="891" w:right="1040" w:bottom="0" w:gutter="0" w:footer="0" w:header="0"/>
        </w:sectPr>
      </w:pP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254000</wp:posOffset>
            </wp:positionV>
            <wp:extent cx="76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3">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254000</wp:posOffset>
            </wp:positionV>
            <wp:extent cx="76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4">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40"/>
          </w:cols>
          <w:pgMar w:left="1000" w:top="891" w:right="1040" w:bottom="0" w:gutter="0" w:footer="0" w:header="0"/>
          <w:type w:val="continuous"/>
        </w:sectPr>
      </w:pPr>
    </w:p>
    <w:bookmarkStart w:id="72" w:name="page73"/>
    <w:bookmarkEnd w:id="72"/>
    <w:tbl>
      <w:tblPr>
        <w:tblLayout w:type="fixed"/>
        <w:tblInd w:w="40" w:type="dxa"/>
        <w:tblCellMar>
          <w:top w:w="0" w:type="dxa"/>
          <w:left w:w="0" w:type="dxa"/>
          <w:bottom w:w="0" w:type="dxa"/>
          <w:right w:w="0" w:type="dxa"/>
        </w:tblCellMar>
      </w:tblPr>
      <w:tr>
        <w:trPr>
          <w:trHeight w:val="266"/>
        </w:trPr>
        <w:tc>
          <w:tcPr>
            <w:tcW w:w="6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gridSpan w:val="6"/>
          </w:tcPr>
          <w:p>
            <w:pPr>
              <w:jc w:val="center"/>
              <w:ind w:left="504"/>
              <w:spacing w:after="0"/>
              <w:rPr>
                <w:sz w:val="20"/>
                <w:szCs w:val="20"/>
                <w:color w:val="auto"/>
              </w:rPr>
            </w:pPr>
            <w:r>
              <w:rPr>
                <w:rFonts w:ascii="Times New Roman" w:cs="Times New Roman" w:eastAsia="Times New Roman" w:hAnsi="Times New Roman"/>
                <w:sz w:val="19"/>
                <w:szCs w:val="19"/>
                <w:b w:val="1"/>
                <w:bCs w:val="1"/>
                <w:color w:val="auto"/>
              </w:rPr>
              <w:t>Fiscal Year Ended</w:t>
            </w:r>
          </w:p>
        </w:tc>
        <w:tc>
          <w:tcPr>
            <w:tcW w:w="860" w:type="dxa"/>
            <w:vAlign w:val="bottom"/>
            <w:tcBorders>
              <w:bottom w:val="single" w:sz="8" w:color="auto"/>
            </w:tcBorders>
          </w:tcPr>
          <w:p>
            <w:pPr>
              <w:spacing w:after="0"/>
              <w:rPr>
                <w:sz w:val="23"/>
                <w:szCs w:val="23"/>
                <w:color w:val="auto"/>
              </w:rPr>
            </w:pPr>
          </w:p>
        </w:tc>
      </w:tr>
      <w:tr>
        <w:trPr>
          <w:trHeight w:val="194"/>
        </w:trPr>
        <w:tc>
          <w:tcPr>
            <w:tcW w:w="6220" w:type="dxa"/>
            <w:vAlign w:val="bottom"/>
          </w:tcPr>
          <w:p>
            <w:pPr>
              <w:spacing w:after="0"/>
              <w:rPr>
                <w:sz w:val="16"/>
                <w:szCs w:val="16"/>
                <w:color w:val="auto"/>
              </w:rPr>
            </w:pP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9"/>
                <w:szCs w:val="19"/>
                <w:b w:val="1"/>
                <w:bCs w:val="1"/>
                <w:color w:val="auto"/>
              </w:rPr>
              <w:t>January 25,</w:t>
            </w:r>
          </w:p>
        </w:tc>
        <w:tc>
          <w:tcPr>
            <w:tcW w:w="80" w:type="dxa"/>
            <w:vAlign w:val="bottom"/>
          </w:tcPr>
          <w:p>
            <w:pPr>
              <w:spacing w:after="0"/>
              <w:rPr>
                <w:sz w:val="16"/>
                <w:szCs w:val="16"/>
                <w:color w:val="auto"/>
              </w:rPr>
            </w:pPr>
          </w:p>
        </w:tc>
        <w:tc>
          <w:tcPr>
            <w:tcW w:w="114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rPr>
              <w:t>January 27,</w:t>
            </w:r>
          </w:p>
        </w:tc>
        <w:tc>
          <w:tcPr>
            <w:tcW w:w="80" w:type="dxa"/>
            <w:vAlign w:val="bottom"/>
          </w:tcPr>
          <w:p>
            <w:pPr>
              <w:spacing w:after="0"/>
              <w:rPr>
                <w:sz w:val="16"/>
                <w:szCs w:val="16"/>
                <w:color w:val="auto"/>
              </w:rPr>
            </w:pP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9"/>
                <w:szCs w:val="19"/>
                <w:b w:val="1"/>
                <w:bCs w:val="1"/>
                <w:color w:val="auto"/>
              </w:rPr>
              <w:t>January 28,</w:t>
            </w:r>
          </w:p>
        </w:tc>
      </w:tr>
      <w:tr>
        <w:trPr>
          <w:trHeight w:val="261"/>
        </w:trPr>
        <w:tc>
          <w:tcPr>
            <w:tcW w:w="6220" w:type="dxa"/>
            <w:vAlign w:val="bottom"/>
            <w:tcBorders>
              <w:bottom w:val="single" w:sz="8" w:color="D5D5D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Borders>
              <w:bottom w:val="single" w:sz="8" w:color="D5D5D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9"/>
                <w:szCs w:val="19"/>
                <w:b w:val="1"/>
                <w:bCs w:val="1"/>
                <w:color w:val="auto"/>
                <w:w w:val="99"/>
              </w:rPr>
              <w:t>2024</w:t>
            </w:r>
          </w:p>
        </w:tc>
        <w:tc>
          <w:tcPr>
            <w:tcW w:w="80" w:type="dxa"/>
            <w:vAlign w:val="bottom"/>
            <w:tcBorders>
              <w:bottom w:val="single" w:sz="8" w:color="D5D5D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9"/>
                <w:szCs w:val="19"/>
                <w:b w:val="1"/>
                <w:bCs w:val="1"/>
                <w:color w:val="auto"/>
              </w:rPr>
              <w:t>2023</w:t>
            </w:r>
          </w:p>
        </w:tc>
      </w:tr>
      <w:tr>
        <w:trPr>
          <w:trHeight w:val="269"/>
        </w:trPr>
        <w:tc>
          <w:tcPr>
            <w:tcW w:w="622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Statutory rate applied to pre-tax income</w:t>
            </w:r>
          </w:p>
        </w:tc>
        <w:tc>
          <w:tcPr>
            <w:tcW w:w="260" w:type="dxa"/>
            <w:vAlign w:val="bottom"/>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64,636</w:t>
            </w:r>
          </w:p>
        </w:tc>
        <w:tc>
          <w:tcPr>
            <w:tcW w:w="340" w:type="dxa"/>
            <w:vAlign w:val="bottom"/>
            <w:gridSpan w:val="2"/>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61,320</w:t>
            </w:r>
          </w:p>
        </w:tc>
        <w:tc>
          <w:tcPr>
            <w:tcW w:w="340" w:type="dxa"/>
            <w:vAlign w:val="bottom"/>
            <w:gridSpan w:val="2"/>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37,826</w:t>
            </w:r>
          </w:p>
        </w:tc>
      </w:tr>
      <w:tr>
        <w:trPr>
          <w:trHeight w:val="282"/>
        </w:trPr>
        <w:tc>
          <w:tcPr>
            <w:tcW w:w="62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State taxes, net of federal tax benefit</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12,021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13,466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5,325</w:t>
            </w:r>
          </w:p>
        </w:tc>
      </w:tr>
      <w:tr>
        <w:trPr>
          <w:trHeight w:val="294"/>
        </w:trPr>
        <w:tc>
          <w:tcPr>
            <w:tcW w:w="622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Change in accruals for uncertain tax positions</w:t>
            </w:r>
          </w:p>
        </w:tc>
        <w:tc>
          <w:tcPr>
            <w:tcW w:w="260" w:type="dxa"/>
            <w:vAlign w:val="bottom"/>
            <w:shd w:val="clear" w:color="auto" w:fill="D5D5D5"/>
          </w:tcPr>
          <w:p>
            <w:pPr>
              <w:spacing w:after="0"/>
              <w:rPr>
                <w:sz w:val="24"/>
                <w:szCs w:val="24"/>
                <w:color w:val="auto"/>
              </w:rPr>
            </w:pPr>
          </w:p>
        </w:tc>
        <w:tc>
          <w:tcPr>
            <w:tcW w:w="8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3,797</w:t>
            </w:r>
          </w:p>
        </w:tc>
        <w:tc>
          <w:tcPr>
            <w:tcW w:w="80" w:type="dxa"/>
            <w:vAlign w:val="bottom"/>
            <w:shd w:val="clear" w:color="auto" w:fill="D5D5D5"/>
          </w:tcPr>
          <w:p>
            <w:pPr>
              <w:spacing w:after="0"/>
              <w:rPr>
                <w:sz w:val="24"/>
                <w:szCs w:val="24"/>
                <w:color w:val="auto"/>
              </w:rPr>
            </w:pPr>
          </w:p>
        </w:tc>
        <w:tc>
          <w:tcPr>
            <w:tcW w:w="260" w:type="dxa"/>
            <w:vAlign w:val="bottom"/>
            <w:shd w:val="clear" w:color="auto" w:fill="D5D5D5"/>
          </w:tcPr>
          <w:p>
            <w:pPr>
              <w:spacing w:after="0"/>
              <w:rPr>
                <w:sz w:val="24"/>
                <w:szCs w:val="24"/>
                <w:color w:val="auto"/>
              </w:rPr>
            </w:pPr>
          </w:p>
        </w:tc>
        <w:tc>
          <w:tcPr>
            <w:tcW w:w="8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2,331</w:t>
            </w:r>
          </w:p>
        </w:tc>
        <w:tc>
          <w:tcPr>
            <w:tcW w:w="80" w:type="dxa"/>
            <w:vAlign w:val="bottom"/>
            <w:shd w:val="clear" w:color="auto" w:fill="D5D5D5"/>
          </w:tcPr>
          <w:p>
            <w:pPr>
              <w:spacing w:after="0"/>
              <w:rPr>
                <w:sz w:val="24"/>
                <w:szCs w:val="24"/>
                <w:color w:val="auto"/>
              </w:rPr>
            </w:pPr>
          </w:p>
        </w:tc>
        <w:tc>
          <w:tcPr>
            <w:tcW w:w="260" w:type="dxa"/>
            <w:vAlign w:val="bottom"/>
            <w:shd w:val="clear" w:color="auto" w:fill="D5D5D5"/>
          </w:tcPr>
          <w:p>
            <w:pPr>
              <w:spacing w:after="0"/>
              <w:rPr>
                <w:sz w:val="24"/>
                <w:szCs w:val="24"/>
                <w:color w:val="auto"/>
              </w:rPr>
            </w:pPr>
          </w:p>
        </w:tc>
        <w:tc>
          <w:tcPr>
            <w:tcW w:w="8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3,833</w:t>
            </w:r>
          </w:p>
        </w:tc>
      </w:tr>
      <w:tr>
        <w:trPr>
          <w:trHeight w:val="282"/>
        </w:trPr>
        <w:tc>
          <w:tcPr>
            <w:tcW w:w="62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Compensation limitation</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9,890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2,788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3,959</w:t>
            </w:r>
          </w:p>
        </w:tc>
      </w:tr>
      <w:tr>
        <w:trPr>
          <w:trHeight w:val="294"/>
        </w:trPr>
        <w:tc>
          <w:tcPr>
            <w:tcW w:w="622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Tax filings for prior periods</w:t>
            </w:r>
          </w:p>
        </w:tc>
        <w:tc>
          <w:tcPr>
            <w:tcW w:w="260" w:type="dxa"/>
            <w:vAlign w:val="bottom"/>
            <w:shd w:val="clear" w:color="auto" w:fill="D5D5D5"/>
          </w:tcPr>
          <w:p>
            <w:pPr>
              <w:spacing w:after="0"/>
              <w:rPr>
                <w:sz w:val="24"/>
                <w:szCs w:val="24"/>
                <w:color w:val="auto"/>
              </w:rPr>
            </w:pPr>
          </w:p>
        </w:tc>
        <w:tc>
          <w:tcPr>
            <w:tcW w:w="8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shd w:val="clear" w:color="auto" w:fill="D5D5D5"/>
          </w:tcPr>
          <w:p>
            <w:pPr>
              <w:spacing w:after="0"/>
              <w:rPr>
                <w:sz w:val="24"/>
                <w:szCs w:val="24"/>
                <w:color w:val="auto"/>
              </w:rPr>
            </w:pPr>
          </w:p>
        </w:tc>
        <w:tc>
          <w:tcPr>
            <w:tcW w:w="260" w:type="dxa"/>
            <w:vAlign w:val="bottom"/>
            <w:shd w:val="clear" w:color="auto" w:fill="D5D5D5"/>
          </w:tcPr>
          <w:p>
            <w:pPr>
              <w:spacing w:after="0"/>
              <w:rPr>
                <w:sz w:val="24"/>
                <w:szCs w:val="24"/>
                <w:color w:val="auto"/>
              </w:rPr>
            </w:pPr>
          </w:p>
        </w:tc>
        <w:tc>
          <w:tcPr>
            <w:tcW w:w="8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shd w:val="clear" w:color="auto" w:fill="D5D5D5"/>
          </w:tcPr>
          <w:p>
            <w:pPr>
              <w:spacing w:after="0"/>
              <w:rPr>
                <w:sz w:val="24"/>
                <w:szCs w:val="24"/>
                <w:color w:val="auto"/>
              </w:rPr>
            </w:pPr>
          </w:p>
        </w:tc>
        <w:tc>
          <w:tcPr>
            <w:tcW w:w="260" w:type="dxa"/>
            <w:vAlign w:val="bottom"/>
            <w:shd w:val="clear" w:color="auto" w:fill="D5D5D5"/>
          </w:tcPr>
          <w:p>
            <w:pPr>
              <w:spacing w:after="0"/>
              <w:rPr>
                <w:sz w:val="24"/>
                <w:szCs w:val="24"/>
                <w:color w:val="auto"/>
              </w:rPr>
            </w:pPr>
          </w:p>
        </w:tc>
        <w:tc>
          <w:tcPr>
            <w:tcW w:w="8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(2,505)</w:t>
            </w:r>
          </w:p>
        </w:tc>
      </w:tr>
      <w:tr>
        <w:trPr>
          <w:trHeight w:val="282"/>
        </w:trPr>
        <w:tc>
          <w:tcPr>
            <w:tcW w:w="62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Tax credits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(6,558)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(4,453)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(5,056)</w:t>
            </w:r>
          </w:p>
        </w:tc>
      </w:tr>
      <w:tr>
        <w:trPr>
          <w:trHeight w:val="294"/>
        </w:trPr>
        <w:tc>
          <w:tcPr>
            <w:tcW w:w="622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Federal benefit of vesting and exercise of share-based awards</w:t>
            </w:r>
          </w:p>
        </w:tc>
        <w:tc>
          <w:tcPr>
            <w:tcW w:w="260" w:type="dxa"/>
            <w:vAlign w:val="bottom"/>
            <w:shd w:val="clear" w:color="auto" w:fill="D5D5D5"/>
          </w:tcPr>
          <w:p>
            <w:pPr>
              <w:spacing w:after="0"/>
              <w:rPr>
                <w:sz w:val="24"/>
                <w:szCs w:val="24"/>
                <w:color w:val="auto"/>
              </w:rPr>
            </w:pPr>
          </w:p>
        </w:tc>
        <w:tc>
          <w:tcPr>
            <w:tcW w:w="8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(8,410)</w:t>
            </w:r>
          </w:p>
        </w:tc>
        <w:tc>
          <w:tcPr>
            <w:tcW w:w="80" w:type="dxa"/>
            <w:vAlign w:val="bottom"/>
            <w:shd w:val="clear" w:color="auto" w:fill="D5D5D5"/>
          </w:tcPr>
          <w:p>
            <w:pPr>
              <w:spacing w:after="0"/>
              <w:rPr>
                <w:sz w:val="24"/>
                <w:szCs w:val="24"/>
                <w:color w:val="auto"/>
              </w:rPr>
            </w:pPr>
          </w:p>
        </w:tc>
        <w:tc>
          <w:tcPr>
            <w:tcW w:w="260" w:type="dxa"/>
            <w:vAlign w:val="bottom"/>
            <w:shd w:val="clear" w:color="auto" w:fill="D5D5D5"/>
          </w:tcPr>
          <w:p>
            <w:pPr>
              <w:spacing w:after="0"/>
              <w:rPr>
                <w:sz w:val="24"/>
                <w:szCs w:val="24"/>
                <w:color w:val="auto"/>
              </w:rPr>
            </w:pPr>
          </w:p>
        </w:tc>
        <w:tc>
          <w:tcPr>
            <w:tcW w:w="8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(2,413)</w:t>
            </w:r>
          </w:p>
        </w:tc>
        <w:tc>
          <w:tcPr>
            <w:tcW w:w="80" w:type="dxa"/>
            <w:vAlign w:val="bottom"/>
            <w:shd w:val="clear" w:color="auto" w:fill="D5D5D5"/>
          </w:tcPr>
          <w:p>
            <w:pPr>
              <w:spacing w:after="0"/>
              <w:rPr>
                <w:sz w:val="24"/>
                <w:szCs w:val="24"/>
                <w:color w:val="auto"/>
              </w:rPr>
            </w:pPr>
          </w:p>
        </w:tc>
        <w:tc>
          <w:tcPr>
            <w:tcW w:w="260" w:type="dxa"/>
            <w:vAlign w:val="bottom"/>
            <w:shd w:val="clear" w:color="auto" w:fill="D5D5D5"/>
          </w:tcPr>
          <w:p>
            <w:pPr>
              <w:spacing w:after="0"/>
              <w:rPr>
                <w:sz w:val="24"/>
                <w:szCs w:val="24"/>
                <w:color w:val="auto"/>
              </w:rPr>
            </w:pPr>
          </w:p>
        </w:tc>
        <w:tc>
          <w:tcPr>
            <w:tcW w:w="8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(3,515)</w:t>
            </w:r>
          </w:p>
        </w:tc>
      </w:tr>
      <w:tr>
        <w:trPr>
          <w:trHeight w:val="282"/>
        </w:trPr>
        <w:tc>
          <w:tcPr>
            <w:tcW w:w="62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Deferred tax remeasurements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371</w:t>
            </w:r>
          </w:p>
        </w:tc>
      </w:tr>
      <w:tr>
        <w:trPr>
          <w:trHeight w:val="294"/>
        </w:trPr>
        <w:tc>
          <w:tcPr>
            <w:tcW w:w="622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Effect of rates other than statutory</w:t>
            </w:r>
          </w:p>
        </w:tc>
        <w:tc>
          <w:tcPr>
            <w:tcW w:w="260" w:type="dxa"/>
            <w:vAlign w:val="bottom"/>
            <w:shd w:val="clear" w:color="auto" w:fill="D5D5D5"/>
          </w:tcPr>
          <w:p>
            <w:pPr>
              <w:spacing w:after="0"/>
              <w:rPr>
                <w:sz w:val="24"/>
                <w:szCs w:val="24"/>
                <w:color w:val="auto"/>
              </w:rPr>
            </w:pPr>
          </w:p>
        </w:tc>
        <w:tc>
          <w:tcPr>
            <w:tcW w:w="8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511</w:t>
            </w:r>
          </w:p>
        </w:tc>
        <w:tc>
          <w:tcPr>
            <w:tcW w:w="80" w:type="dxa"/>
            <w:vAlign w:val="bottom"/>
            <w:shd w:val="clear" w:color="auto" w:fill="D5D5D5"/>
          </w:tcPr>
          <w:p>
            <w:pPr>
              <w:spacing w:after="0"/>
              <w:rPr>
                <w:sz w:val="24"/>
                <w:szCs w:val="24"/>
                <w:color w:val="auto"/>
              </w:rPr>
            </w:pPr>
          </w:p>
        </w:tc>
        <w:tc>
          <w:tcPr>
            <w:tcW w:w="260" w:type="dxa"/>
            <w:vAlign w:val="bottom"/>
            <w:shd w:val="clear" w:color="auto" w:fill="D5D5D5"/>
          </w:tcPr>
          <w:p>
            <w:pPr>
              <w:spacing w:after="0"/>
              <w:rPr>
                <w:sz w:val="24"/>
                <w:szCs w:val="24"/>
                <w:color w:val="auto"/>
              </w:rPr>
            </w:pPr>
          </w:p>
        </w:tc>
        <w:tc>
          <w:tcPr>
            <w:tcW w:w="8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241</w:t>
            </w:r>
          </w:p>
        </w:tc>
        <w:tc>
          <w:tcPr>
            <w:tcW w:w="80" w:type="dxa"/>
            <w:vAlign w:val="bottom"/>
            <w:shd w:val="clear" w:color="auto" w:fill="D5D5D5"/>
          </w:tcPr>
          <w:p>
            <w:pPr>
              <w:spacing w:after="0"/>
              <w:rPr>
                <w:sz w:val="24"/>
                <w:szCs w:val="24"/>
                <w:color w:val="auto"/>
              </w:rPr>
            </w:pPr>
          </w:p>
        </w:tc>
        <w:tc>
          <w:tcPr>
            <w:tcW w:w="260" w:type="dxa"/>
            <w:vAlign w:val="bottom"/>
            <w:shd w:val="clear" w:color="auto" w:fill="D5D5D5"/>
          </w:tcPr>
          <w:p>
            <w:pPr>
              <w:spacing w:after="0"/>
              <w:rPr>
                <w:sz w:val="24"/>
                <w:szCs w:val="24"/>
                <w:color w:val="auto"/>
              </w:rPr>
            </w:pPr>
          </w:p>
        </w:tc>
        <w:tc>
          <w:tcPr>
            <w:tcW w:w="8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(203)</w:t>
            </w:r>
          </w:p>
        </w:tc>
      </w:tr>
      <w:tr>
        <w:trPr>
          <w:trHeight w:val="282"/>
        </w:trPr>
        <w:tc>
          <w:tcPr>
            <w:tcW w:w="62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Non-deductible and non-taxable items, net</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1,446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215</w:t>
            </w:r>
          </w:p>
        </w:tc>
      </w:tr>
      <w:tr>
        <w:trPr>
          <w:trHeight w:val="294"/>
        </w:trPr>
        <w:tc>
          <w:tcPr>
            <w:tcW w:w="622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Change in valuation allowance</w:t>
            </w:r>
          </w:p>
        </w:tc>
        <w:tc>
          <w:tcPr>
            <w:tcW w:w="260" w:type="dxa"/>
            <w:vAlign w:val="bottom"/>
            <w:shd w:val="clear" w:color="auto" w:fill="D5D5D5"/>
          </w:tcPr>
          <w:p>
            <w:pPr>
              <w:spacing w:after="0"/>
              <w:rPr>
                <w:sz w:val="24"/>
                <w:szCs w:val="24"/>
                <w:color w:val="auto"/>
              </w:rPr>
            </w:pPr>
          </w:p>
        </w:tc>
        <w:tc>
          <w:tcPr>
            <w:tcW w:w="8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shd w:val="clear" w:color="auto" w:fill="D5D5D5"/>
          </w:tcPr>
          <w:p>
            <w:pPr>
              <w:spacing w:after="0"/>
              <w:rPr>
                <w:sz w:val="24"/>
                <w:szCs w:val="24"/>
                <w:color w:val="auto"/>
              </w:rPr>
            </w:pPr>
          </w:p>
        </w:tc>
        <w:tc>
          <w:tcPr>
            <w:tcW w:w="260" w:type="dxa"/>
            <w:vAlign w:val="bottom"/>
            <w:shd w:val="clear" w:color="auto" w:fill="D5D5D5"/>
          </w:tcPr>
          <w:p>
            <w:pPr>
              <w:spacing w:after="0"/>
              <w:rPr>
                <w:sz w:val="24"/>
                <w:szCs w:val="24"/>
                <w:color w:val="auto"/>
              </w:rPr>
            </w:pPr>
          </w:p>
        </w:tc>
        <w:tc>
          <w:tcPr>
            <w:tcW w:w="8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(546)</w:t>
            </w:r>
          </w:p>
        </w:tc>
        <w:tc>
          <w:tcPr>
            <w:tcW w:w="80" w:type="dxa"/>
            <w:vAlign w:val="bottom"/>
            <w:shd w:val="clear" w:color="auto" w:fill="D5D5D5"/>
          </w:tcPr>
          <w:p>
            <w:pPr>
              <w:spacing w:after="0"/>
              <w:rPr>
                <w:sz w:val="24"/>
                <w:szCs w:val="24"/>
                <w:color w:val="auto"/>
              </w:rPr>
            </w:pPr>
          </w:p>
        </w:tc>
        <w:tc>
          <w:tcPr>
            <w:tcW w:w="260" w:type="dxa"/>
            <w:vAlign w:val="bottom"/>
            <w:shd w:val="clear" w:color="auto" w:fill="D5D5D5"/>
          </w:tcPr>
          <w:p>
            <w:pPr>
              <w:spacing w:after="0"/>
              <w:rPr>
                <w:sz w:val="24"/>
                <w:szCs w:val="24"/>
                <w:color w:val="auto"/>
              </w:rPr>
            </w:pPr>
          </w:p>
        </w:tc>
        <w:tc>
          <w:tcPr>
            <w:tcW w:w="8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(376)</w:t>
            </w:r>
          </w:p>
        </w:tc>
      </w:tr>
      <w:tr>
        <w:trPr>
          <w:trHeight w:val="278"/>
        </w:trPr>
        <w:tc>
          <w:tcPr>
            <w:tcW w:w="6220" w:type="dxa"/>
            <w:vAlign w:val="bottom"/>
            <w:tcBorders>
              <w:bottom w:val="single" w:sz="8" w:color="D5D5D5"/>
            </w:tcBorders>
          </w:tcPr>
          <w:p>
            <w:pPr>
              <w:ind w:left="40"/>
              <w:spacing w:after="0"/>
              <w:rPr>
                <w:sz w:val="20"/>
                <w:szCs w:val="20"/>
                <w:color w:val="auto"/>
              </w:rPr>
            </w:pPr>
            <w:r>
              <w:rPr>
                <w:rFonts w:ascii="Times New Roman" w:cs="Times New Roman" w:eastAsia="Times New Roman" w:hAnsi="Times New Roman"/>
                <w:sz w:val="19"/>
                <w:szCs w:val="19"/>
                <w:color w:val="auto"/>
              </w:rPr>
              <w:t>Other items, net</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(2,956)</w:t>
            </w:r>
          </w:p>
        </w:tc>
        <w:tc>
          <w:tcPr>
            <w:tcW w:w="80" w:type="dxa"/>
            <w:vAlign w:val="bottom"/>
            <w:tcBorders>
              <w:bottom w:val="single" w:sz="8" w:color="D5D5D5"/>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(748)</w:t>
            </w:r>
          </w:p>
        </w:tc>
        <w:tc>
          <w:tcPr>
            <w:tcW w:w="80" w:type="dxa"/>
            <w:vAlign w:val="bottom"/>
            <w:tcBorders>
              <w:bottom w:val="single" w:sz="8" w:color="D5D5D5"/>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(1,965)</w:t>
            </w:r>
          </w:p>
        </w:tc>
      </w:tr>
      <w:tr>
        <w:trPr>
          <w:trHeight w:val="287"/>
        </w:trPr>
        <w:tc>
          <w:tcPr>
            <w:tcW w:w="6220" w:type="dxa"/>
            <w:vAlign w:val="bottom"/>
            <w:tcBorders>
              <w:bottom w:val="single" w:sz="8" w:color="D5D5D5"/>
            </w:tcBorders>
            <w:shd w:val="clear" w:color="auto" w:fill="D5D5D5"/>
          </w:tcPr>
          <w:p>
            <w:pPr>
              <w:ind w:left="260"/>
              <w:spacing w:after="0"/>
              <w:rPr>
                <w:sz w:val="20"/>
                <w:szCs w:val="20"/>
                <w:color w:val="auto"/>
              </w:rPr>
            </w:pPr>
            <w:r>
              <w:rPr>
                <w:rFonts w:ascii="Times New Roman" w:cs="Times New Roman" w:eastAsia="Times New Roman" w:hAnsi="Times New Roman"/>
                <w:sz w:val="19"/>
                <w:szCs w:val="19"/>
                <w:color w:val="auto"/>
              </w:rPr>
              <w:t>Provision for income taxes</w:t>
            </w:r>
          </w:p>
        </w:tc>
        <w:tc>
          <w:tcPr>
            <w:tcW w:w="260" w:type="dxa"/>
            <w:vAlign w:val="bottom"/>
            <w:tcBorders>
              <w:bottom w:val="single" w:sz="8" w:color="auto"/>
            </w:tcBorders>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74,377</w:t>
            </w:r>
          </w:p>
        </w:tc>
        <w:tc>
          <w:tcPr>
            <w:tcW w:w="80" w:type="dxa"/>
            <w:vAlign w:val="bottom"/>
            <w:tcBorders>
              <w:bottom w:val="single" w:sz="8" w:color="D5D5D5"/>
            </w:tcBorders>
            <w:shd w:val="clear" w:color="auto" w:fill="D5D5D5"/>
          </w:tcPr>
          <w:p>
            <w:pPr>
              <w:spacing w:after="0"/>
              <w:rPr>
                <w:sz w:val="24"/>
                <w:szCs w:val="24"/>
                <w:color w:val="auto"/>
              </w:rPr>
            </w:pPr>
          </w:p>
        </w:tc>
        <w:tc>
          <w:tcPr>
            <w:tcW w:w="260" w:type="dxa"/>
            <w:vAlign w:val="bottom"/>
            <w:tcBorders>
              <w:bottom w:val="single" w:sz="8" w:color="auto"/>
            </w:tcBorders>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73,076</w:t>
            </w:r>
          </w:p>
        </w:tc>
        <w:tc>
          <w:tcPr>
            <w:tcW w:w="80" w:type="dxa"/>
            <w:vAlign w:val="bottom"/>
            <w:tcBorders>
              <w:bottom w:val="single" w:sz="8" w:color="D5D5D5"/>
            </w:tcBorders>
            <w:shd w:val="clear" w:color="auto" w:fill="D5D5D5"/>
          </w:tcPr>
          <w:p>
            <w:pPr>
              <w:spacing w:after="0"/>
              <w:rPr>
                <w:sz w:val="24"/>
                <w:szCs w:val="24"/>
                <w:color w:val="auto"/>
              </w:rPr>
            </w:pPr>
          </w:p>
        </w:tc>
        <w:tc>
          <w:tcPr>
            <w:tcW w:w="260" w:type="dxa"/>
            <w:vAlign w:val="bottom"/>
            <w:tcBorders>
              <w:bottom w:val="single" w:sz="8" w:color="auto"/>
            </w:tcBorders>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37,909</w:t>
            </w:r>
          </w:p>
        </w:tc>
      </w:tr>
    </w:tbl>
    <w:p>
      <w:pPr>
        <w:spacing w:after="0" w:line="2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9"/>
          <w:szCs w:val="19"/>
          <w:b w:val="1"/>
          <w:bCs w:val="1"/>
          <w:color w:val="auto"/>
        </w:rPr>
        <w:t>Deferred Income Taxes</w:t>
      </w:r>
    </w:p>
    <w:p>
      <w:pPr>
        <w:spacing w:after="0" w:line="224" w:lineRule="exact"/>
        <w:rPr>
          <w:sz w:val="20"/>
          <w:szCs w:val="20"/>
          <w:color w:val="auto"/>
        </w:rPr>
      </w:pPr>
    </w:p>
    <w:p>
      <w:pPr>
        <w:ind w:right="500" w:firstLine="345"/>
        <w:spacing w:after="0" w:line="271" w:lineRule="auto"/>
        <w:rPr>
          <w:sz w:val="20"/>
          <w:szCs w:val="20"/>
          <w:color w:val="auto"/>
        </w:rPr>
      </w:pPr>
      <w:r>
        <w:rPr>
          <w:rFonts w:ascii="Times New Roman" w:cs="Times New Roman" w:eastAsia="Times New Roman" w:hAnsi="Times New Roman"/>
          <w:sz w:val="19"/>
          <w:szCs w:val="19"/>
          <w:color w:val="auto"/>
        </w:rPr>
        <w:t>The deferred tax provision represents the change in the deferred tax assets and the liabilities representing the tax consequences of changes in the amount of temporary differences and changes in tax rates during the year. The significant components of deferred tax assets and liabilities consisted of the following (dollars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1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9"/>
                <w:szCs w:val="19"/>
                <w:b w:val="1"/>
                <w:bCs w:val="1"/>
                <w:color w:val="auto"/>
              </w:rPr>
              <w:t>January 27, 2024</w:t>
            </w:r>
          </w:p>
        </w:tc>
      </w:tr>
      <w:tr>
        <w:trPr>
          <w:trHeight w:val="263"/>
        </w:trPr>
        <w:tc>
          <w:tcPr>
            <w:tcW w:w="6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Deferred tax assets:</w:t>
            </w: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94"/>
        </w:trPr>
        <w:tc>
          <w:tcPr>
            <w:tcW w:w="6180" w:type="dxa"/>
            <w:vAlign w:val="bottom"/>
            <w:shd w:val="clear" w:color="auto" w:fill="D5D5D5"/>
          </w:tcPr>
          <w:p>
            <w:pPr>
              <w:ind w:left="280"/>
              <w:spacing w:after="0"/>
              <w:rPr>
                <w:sz w:val="20"/>
                <w:szCs w:val="20"/>
                <w:color w:val="auto"/>
              </w:rPr>
            </w:pPr>
            <w:r>
              <w:rPr>
                <w:rFonts w:ascii="Times New Roman" w:cs="Times New Roman" w:eastAsia="Times New Roman" w:hAnsi="Times New Roman"/>
                <w:sz w:val="19"/>
                <w:szCs w:val="19"/>
                <w:color w:val="auto"/>
              </w:rPr>
              <w:t>Capitalized research expenditures (IRC Section 174)</w:t>
            </w:r>
          </w:p>
        </w:tc>
        <w:tc>
          <w:tcPr>
            <w:tcW w:w="1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65,763</w:t>
            </w:r>
          </w:p>
        </w:tc>
        <w:tc>
          <w:tcPr>
            <w:tcW w:w="24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38,689</w:t>
            </w:r>
          </w:p>
        </w:tc>
      </w:tr>
      <w:tr>
        <w:trPr>
          <w:trHeight w:val="282"/>
        </w:trPr>
        <w:tc>
          <w:tcPr>
            <w:tcW w:w="61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Insurance and other reserves</w:t>
            </w: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22,251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25,865</w:t>
            </w:r>
          </w:p>
        </w:tc>
      </w:tr>
      <w:tr>
        <w:trPr>
          <w:trHeight w:val="294"/>
        </w:trPr>
        <w:tc>
          <w:tcPr>
            <w:tcW w:w="6180" w:type="dxa"/>
            <w:vAlign w:val="bottom"/>
            <w:shd w:val="clear" w:color="auto" w:fill="D5D5D5"/>
          </w:tcPr>
          <w:p>
            <w:pPr>
              <w:ind w:left="280"/>
              <w:spacing w:after="0"/>
              <w:rPr>
                <w:sz w:val="20"/>
                <w:szCs w:val="20"/>
                <w:color w:val="auto"/>
              </w:rPr>
            </w:pPr>
            <w:r>
              <w:rPr>
                <w:rFonts w:ascii="Times New Roman" w:cs="Times New Roman" w:eastAsia="Times New Roman" w:hAnsi="Times New Roman"/>
                <w:sz w:val="19"/>
                <w:szCs w:val="19"/>
                <w:color w:val="auto"/>
              </w:rPr>
              <w:t>Leases</w:t>
            </w:r>
          </w:p>
        </w:tc>
        <w:tc>
          <w:tcPr>
            <w:tcW w:w="180" w:type="dxa"/>
            <w:vAlign w:val="bottom"/>
            <w:shd w:val="clear" w:color="auto" w:fill="D5D5D5"/>
          </w:tcPr>
          <w:p>
            <w:pPr>
              <w:spacing w:after="0"/>
              <w:rPr>
                <w:sz w:val="24"/>
                <w:szCs w:val="24"/>
                <w:color w:val="auto"/>
              </w:rPr>
            </w:pPr>
          </w:p>
        </w:tc>
        <w:tc>
          <w:tcPr>
            <w:tcW w:w="16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28,088</w:t>
            </w:r>
          </w:p>
        </w:tc>
        <w:tc>
          <w:tcPr>
            <w:tcW w:w="60" w:type="dxa"/>
            <w:vAlign w:val="bottom"/>
            <w:shd w:val="clear" w:color="auto" w:fill="D5D5D5"/>
          </w:tcPr>
          <w:p>
            <w:pPr>
              <w:spacing w:after="0"/>
              <w:rPr>
                <w:sz w:val="24"/>
                <w:szCs w:val="24"/>
                <w:color w:val="auto"/>
              </w:rPr>
            </w:pPr>
          </w:p>
        </w:tc>
        <w:tc>
          <w:tcPr>
            <w:tcW w:w="180" w:type="dxa"/>
            <w:vAlign w:val="bottom"/>
            <w:shd w:val="clear" w:color="auto" w:fill="D5D5D5"/>
          </w:tcPr>
          <w:p>
            <w:pPr>
              <w:spacing w:after="0"/>
              <w:rPr>
                <w:sz w:val="24"/>
                <w:szCs w:val="24"/>
                <w:color w:val="auto"/>
              </w:rPr>
            </w:pPr>
          </w:p>
        </w:tc>
        <w:tc>
          <w:tcPr>
            <w:tcW w:w="16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19,380</w:t>
            </w:r>
          </w:p>
        </w:tc>
      </w:tr>
      <w:tr>
        <w:trPr>
          <w:trHeight w:val="282"/>
        </w:trPr>
        <w:tc>
          <w:tcPr>
            <w:tcW w:w="61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Stock-based compensation</w:t>
            </w: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4,635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4,722</w:t>
            </w:r>
          </w:p>
        </w:tc>
      </w:tr>
      <w:tr>
        <w:trPr>
          <w:trHeight w:val="294"/>
        </w:trPr>
        <w:tc>
          <w:tcPr>
            <w:tcW w:w="6180" w:type="dxa"/>
            <w:vAlign w:val="bottom"/>
            <w:shd w:val="clear" w:color="auto" w:fill="D5D5D5"/>
          </w:tcPr>
          <w:p>
            <w:pPr>
              <w:ind w:left="280"/>
              <w:spacing w:after="0"/>
              <w:rPr>
                <w:sz w:val="20"/>
                <w:szCs w:val="20"/>
                <w:color w:val="auto"/>
              </w:rPr>
            </w:pPr>
            <w:r>
              <w:rPr>
                <w:rFonts w:ascii="Times New Roman" w:cs="Times New Roman" w:eastAsia="Times New Roman" w:hAnsi="Times New Roman"/>
                <w:sz w:val="19"/>
                <w:szCs w:val="19"/>
                <w:color w:val="auto"/>
              </w:rPr>
              <w:t>Allowance for credit losses accounts and reserves</w:t>
            </w:r>
          </w:p>
        </w:tc>
        <w:tc>
          <w:tcPr>
            <w:tcW w:w="180" w:type="dxa"/>
            <w:vAlign w:val="bottom"/>
            <w:shd w:val="clear" w:color="auto" w:fill="D5D5D5"/>
          </w:tcPr>
          <w:p>
            <w:pPr>
              <w:spacing w:after="0"/>
              <w:rPr>
                <w:sz w:val="24"/>
                <w:szCs w:val="24"/>
                <w:color w:val="auto"/>
              </w:rPr>
            </w:pPr>
          </w:p>
        </w:tc>
        <w:tc>
          <w:tcPr>
            <w:tcW w:w="16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5,970</w:t>
            </w:r>
          </w:p>
        </w:tc>
        <w:tc>
          <w:tcPr>
            <w:tcW w:w="60" w:type="dxa"/>
            <w:vAlign w:val="bottom"/>
            <w:shd w:val="clear" w:color="auto" w:fill="D5D5D5"/>
          </w:tcPr>
          <w:p>
            <w:pPr>
              <w:spacing w:after="0"/>
              <w:rPr>
                <w:sz w:val="24"/>
                <w:szCs w:val="24"/>
                <w:color w:val="auto"/>
              </w:rPr>
            </w:pPr>
          </w:p>
        </w:tc>
        <w:tc>
          <w:tcPr>
            <w:tcW w:w="180" w:type="dxa"/>
            <w:vAlign w:val="bottom"/>
            <w:shd w:val="clear" w:color="auto" w:fill="D5D5D5"/>
          </w:tcPr>
          <w:p>
            <w:pPr>
              <w:spacing w:after="0"/>
              <w:rPr>
                <w:sz w:val="24"/>
                <w:szCs w:val="24"/>
                <w:color w:val="auto"/>
              </w:rPr>
            </w:pPr>
          </w:p>
        </w:tc>
        <w:tc>
          <w:tcPr>
            <w:tcW w:w="16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3,203</w:t>
            </w:r>
          </w:p>
        </w:tc>
      </w:tr>
      <w:tr>
        <w:trPr>
          <w:trHeight w:val="282"/>
        </w:trPr>
        <w:tc>
          <w:tcPr>
            <w:tcW w:w="61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Net operating loss carryforwards</w:t>
            </w: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238</w:t>
            </w:r>
          </w:p>
        </w:tc>
      </w:tr>
      <w:tr>
        <w:trPr>
          <w:trHeight w:val="284"/>
        </w:trPr>
        <w:tc>
          <w:tcPr>
            <w:tcW w:w="6180" w:type="dxa"/>
            <w:vAlign w:val="bottom"/>
            <w:tcBorders>
              <w:bottom w:val="single" w:sz="8" w:color="D5D5D5"/>
            </w:tcBorders>
            <w:shd w:val="clear" w:color="auto" w:fill="D5D5D5"/>
          </w:tcPr>
          <w:p>
            <w:pPr>
              <w:ind w:left="280"/>
              <w:spacing w:after="0"/>
              <w:rPr>
                <w:sz w:val="20"/>
                <w:szCs w:val="20"/>
                <w:color w:val="auto"/>
              </w:rPr>
            </w:pPr>
            <w:r>
              <w:rPr>
                <w:rFonts w:ascii="Times New Roman" w:cs="Times New Roman" w:eastAsia="Times New Roman" w:hAnsi="Times New Roman"/>
                <w:sz w:val="19"/>
                <w:szCs w:val="19"/>
                <w:color w:val="auto"/>
              </w:rPr>
              <w:t>Other</w:t>
            </w:r>
          </w:p>
        </w:tc>
        <w:tc>
          <w:tcPr>
            <w:tcW w:w="180" w:type="dxa"/>
            <w:vAlign w:val="bottom"/>
            <w:tcBorders>
              <w:bottom w:val="single" w:sz="8" w:color="auto"/>
            </w:tcBorders>
            <w:shd w:val="clear" w:color="auto" w:fill="D5D5D5"/>
          </w:tcPr>
          <w:p>
            <w:pPr>
              <w:spacing w:after="0"/>
              <w:rPr>
                <w:sz w:val="24"/>
                <w:szCs w:val="24"/>
                <w:color w:val="auto"/>
              </w:rPr>
            </w:pPr>
          </w:p>
        </w:tc>
        <w:tc>
          <w:tcPr>
            <w:tcW w:w="16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4,315</w:t>
            </w:r>
          </w:p>
        </w:tc>
        <w:tc>
          <w:tcPr>
            <w:tcW w:w="60" w:type="dxa"/>
            <w:vAlign w:val="bottom"/>
            <w:tcBorders>
              <w:bottom w:val="single" w:sz="8" w:color="D5D5D5"/>
            </w:tcBorders>
            <w:shd w:val="clear" w:color="auto" w:fill="D5D5D5"/>
          </w:tcPr>
          <w:p>
            <w:pPr>
              <w:spacing w:after="0"/>
              <w:rPr>
                <w:sz w:val="24"/>
                <w:szCs w:val="24"/>
                <w:color w:val="auto"/>
              </w:rPr>
            </w:pPr>
          </w:p>
        </w:tc>
        <w:tc>
          <w:tcPr>
            <w:tcW w:w="180" w:type="dxa"/>
            <w:vAlign w:val="bottom"/>
            <w:tcBorders>
              <w:bottom w:val="single" w:sz="8" w:color="auto"/>
            </w:tcBorders>
            <w:shd w:val="clear" w:color="auto" w:fill="D5D5D5"/>
          </w:tcPr>
          <w:p>
            <w:pPr>
              <w:spacing w:after="0"/>
              <w:rPr>
                <w:sz w:val="24"/>
                <w:szCs w:val="24"/>
                <w:color w:val="auto"/>
              </w:rPr>
            </w:pPr>
          </w:p>
        </w:tc>
        <w:tc>
          <w:tcPr>
            <w:tcW w:w="16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3,686</w:t>
            </w:r>
          </w:p>
        </w:tc>
      </w:tr>
      <w:tr>
        <w:trPr>
          <w:trHeight w:val="272"/>
        </w:trPr>
        <w:tc>
          <w:tcPr>
            <w:tcW w:w="61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Total deferred tax assets</w:t>
            </w: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131,136</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95,783</w:t>
            </w:r>
          </w:p>
        </w:tc>
      </w:tr>
      <w:tr>
        <w:trPr>
          <w:trHeight w:val="284"/>
        </w:trPr>
        <w:tc>
          <w:tcPr>
            <w:tcW w:w="6180" w:type="dxa"/>
            <w:vAlign w:val="bottom"/>
            <w:tcBorders>
              <w:bottom w:val="single" w:sz="8" w:color="D5D5D5"/>
            </w:tcBorders>
            <w:shd w:val="clear" w:color="auto" w:fill="D5D5D5"/>
          </w:tcPr>
          <w:p>
            <w:pPr>
              <w:ind w:left="280"/>
              <w:spacing w:after="0"/>
              <w:rPr>
                <w:sz w:val="20"/>
                <w:szCs w:val="20"/>
                <w:color w:val="auto"/>
              </w:rPr>
            </w:pPr>
            <w:r>
              <w:rPr>
                <w:rFonts w:ascii="Times New Roman" w:cs="Times New Roman" w:eastAsia="Times New Roman" w:hAnsi="Times New Roman"/>
                <w:sz w:val="19"/>
                <w:szCs w:val="19"/>
                <w:color w:val="auto"/>
              </w:rPr>
              <w:t>Valuation allowance</w:t>
            </w:r>
          </w:p>
        </w:tc>
        <w:tc>
          <w:tcPr>
            <w:tcW w:w="180" w:type="dxa"/>
            <w:vAlign w:val="bottom"/>
            <w:tcBorders>
              <w:bottom w:val="single" w:sz="8" w:color="auto"/>
            </w:tcBorders>
            <w:shd w:val="clear" w:color="auto" w:fill="D5D5D5"/>
          </w:tcPr>
          <w:p>
            <w:pPr>
              <w:spacing w:after="0"/>
              <w:rPr>
                <w:sz w:val="24"/>
                <w:szCs w:val="24"/>
                <w:color w:val="auto"/>
              </w:rPr>
            </w:pPr>
          </w:p>
        </w:tc>
        <w:tc>
          <w:tcPr>
            <w:tcW w:w="16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(77)</w:t>
            </w:r>
          </w:p>
        </w:tc>
        <w:tc>
          <w:tcPr>
            <w:tcW w:w="60" w:type="dxa"/>
            <w:vAlign w:val="bottom"/>
            <w:tcBorders>
              <w:bottom w:val="single" w:sz="8" w:color="D5D5D5"/>
            </w:tcBorders>
            <w:shd w:val="clear" w:color="auto" w:fill="D5D5D5"/>
          </w:tcPr>
          <w:p>
            <w:pPr>
              <w:spacing w:after="0"/>
              <w:rPr>
                <w:sz w:val="24"/>
                <w:szCs w:val="24"/>
                <w:color w:val="auto"/>
              </w:rPr>
            </w:pPr>
          </w:p>
        </w:tc>
        <w:tc>
          <w:tcPr>
            <w:tcW w:w="180" w:type="dxa"/>
            <w:vAlign w:val="bottom"/>
            <w:tcBorders>
              <w:bottom w:val="single" w:sz="8" w:color="auto"/>
            </w:tcBorders>
            <w:shd w:val="clear" w:color="auto" w:fill="D5D5D5"/>
          </w:tcPr>
          <w:p>
            <w:pPr>
              <w:spacing w:after="0"/>
              <w:rPr>
                <w:sz w:val="24"/>
                <w:szCs w:val="24"/>
                <w:color w:val="auto"/>
              </w:rPr>
            </w:pPr>
          </w:p>
        </w:tc>
        <w:tc>
          <w:tcPr>
            <w:tcW w:w="16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(79)</w:t>
            </w:r>
          </w:p>
        </w:tc>
      </w:tr>
      <w:tr>
        <w:trPr>
          <w:trHeight w:val="287"/>
        </w:trPr>
        <w:tc>
          <w:tcPr>
            <w:tcW w:w="61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Deferred tax assets, net of valuation allowance</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131,059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95,704</w:t>
            </w:r>
          </w:p>
        </w:tc>
      </w:tr>
      <w:tr>
        <w:trPr>
          <w:trHeight w:val="259"/>
        </w:trPr>
        <w:tc>
          <w:tcPr>
            <w:tcW w:w="6180" w:type="dxa"/>
            <w:vAlign w:val="bottom"/>
            <w:tcBorders>
              <w:top w:val="single" w:sz="8" w:color="D5D5D5"/>
            </w:tcBorders>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Deferred tax liabilities:</w:t>
            </w:r>
          </w:p>
        </w:tc>
        <w:tc>
          <w:tcPr>
            <w:tcW w:w="180" w:type="dxa"/>
            <w:vAlign w:val="bottom"/>
            <w:tcBorders>
              <w:top w:val="single" w:sz="8" w:color="auto"/>
            </w:tcBorders>
            <w:shd w:val="clear" w:color="auto" w:fill="D5D5D5"/>
          </w:tcPr>
          <w:p>
            <w:pPr>
              <w:spacing w:after="0"/>
              <w:rPr>
                <w:sz w:val="22"/>
                <w:szCs w:val="22"/>
                <w:color w:val="auto"/>
              </w:rPr>
            </w:pPr>
          </w:p>
        </w:tc>
        <w:tc>
          <w:tcPr>
            <w:tcW w:w="1620" w:type="dxa"/>
            <w:vAlign w:val="bottom"/>
            <w:tcBorders>
              <w:top w:val="single" w:sz="8" w:color="auto"/>
            </w:tcBorders>
            <w:shd w:val="clear" w:color="auto" w:fill="D5D5D5"/>
          </w:tcPr>
          <w:p>
            <w:pPr>
              <w:spacing w:after="0"/>
              <w:rPr>
                <w:sz w:val="22"/>
                <w:szCs w:val="22"/>
                <w:color w:val="auto"/>
              </w:rPr>
            </w:pPr>
          </w:p>
        </w:tc>
        <w:tc>
          <w:tcPr>
            <w:tcW w:w="60" w:type="dxa"/>
            <w:vAlign w:val="bottom"/>
            <w:tcBorders>
              <w:top w:val="single" w:sz="8" w:color="D5D5D5"/>
            </w:tcBorders>
            <w:shd w:val="clear" w:color="auto" w:fill="D5D5D5"/>
          </w:tcPr>
          <w:p>
            <w:pPr>
              <w:spacing w:after="0"/>
              <w:rPr>
                <w:sz w:val="22"/>
                <w:szCs w:val="22"/>
                <w:color w:val="auto"/>
              </w:rPr>
            </w:pPr>
          </w:p>
        </w:tc>
        <w:tc>
          <w:tcPr>
            <w:tcW w:w="180" w:type="dxa"/>
            <w:vAlign w:val="bottom"/>
            <w:tcBorders>
              <w:top w:val="single" w:sz="8" w:color="auto"/>
            </w:tcBorders>
            <w:shd w:val="clear" w:color="auto" w:fill="D5D5D5"/>
          </w:tcPr>
          <w:p>
            <w:pPr>
              <w:spacing w:after="0"/>
              <w:rPr>
                <w:sz w:val="22"/>
                <w:szCs w:val="22"/>
                <w:color w:val="auto"/>
              </w:rPr>
            </w:pPr>
          </w:p>
        </w:tc>
        <w:tc>
          <w:tcPr>
            <w:tcW w:w="1600" w:type="dxa"/>
            <w:vAlign w:val="bottom"/>
            <w:tcBorders>
              <w:top w:val="single" w:sz="8" w:color="auto"/>
            </w:tcBorders>
            <w:shd w:val="clear" w:color="auto" w:fill="D5D5D5"/>
          </w:tcPr>
          <w:p>
            <w:pPr>
              <w:spacing w:after="0"/>
              <w:rPr>
                <w:sz w:val="22"/>
                <w:szCs w:val="22"/>
                <w:color w:val="auto"/>
              </w:rPr>
            </w:pPr>
          </w:p>
        </w:tc>
      </w:tr>
      <w:tr>
        <w:trPr>
          <w:trHeight w:val="282"/>
        </w:trPr>
        <w:tc>
          <w:tcPr>
            <w:tcW w:w="61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Property and equipment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89,295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86,105</w:t>
            </w:r>
          </w:p>
        </w:tc>
      </w:tr>
      <w:tr>
        <w:trPr>
          <w:trHeight w:val="294"/>
        </w:trPr>
        <w:tc>
          <w:tcPr>
            <w:tcW w:w="6180" w:type="dxa"/>
            <w:vAlign w:val="bottom"/>
            <w:shd w:val="clear" w:color="auto" w:fill="D5D5D5"/>
          </w:tcPr>
          <w:p>
            <w:pPr>
              <w:ind w:left="280"/>
              <w:spacing w:after="0"/>
              <w:rPr>
                <w:sz w:val="20"/>
                <w:szCs w:val="20"/>
                <w:color w:val="auto"/>
              </w:rPr>
            </w:pPr>
            <w:r>
              <w:rPr>
                <w:rFonts w:ascii="Times New Roman" w:cs="Times New Roman" w:eastAsia="Times New Roman" w:hAnsi="Times New Roman"/>
                <w:sz w:val="19"/>
                <w:szCs w:val="19"/>
                <w:color w:val="auto"/>
              </w:rPr>
              <w:t>Goodwill and intangibles</w:t>
            </w:r>
          </w:p>
        </w:tc>
        <w:tc>
          <w:tcPr>
            <w:tcW w:w="180" w:type="dxa"/>
            <w:vAlign w:val="bottom"/>
            <w:shd w:val="clear" w:color="auto" w:fill="D5D5D5"/>
          </w:tcPr>
          <w:p>
            <w:pPr>
              <w:spacing w:after="0"/>
              <w:rPr>
                <w:sz w:val="24"/>
                <w:szCs w:val="24"/>
                <w:color w:val="auto"/>
              </w:rPr>
            </w:pPr>
          </w:p>
        </w:tc>
        <w:tc>
          <w:tcPr>
            <w:tcW w:w="16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39,106</w:t>
            </w:r>
          </w:p>
        </w:tc>
        <w:tc>
          <w:tcPr>
            <w:tcW w:w="60" w:type="dxa"/>
            <w:vAlign w:val="bottom"/>
            <w:shd w:val="clear" w:color="auto" w:fill="D5D5D5"/>
          </w:tcPr>
          <w:p>
            <w:pPr>
              <w:spacing w:after="0"/>
              <w:rPr>
                <w:sz w:val="24"/>
                <w:szCs w:val="24"/>
                <w:color w:val="auto"/>
              </w:rPr>
            </w:pPr>
          </w:p>
        </w:tc>
        <w:tc>
          <w:tcPr>
            <w:tcW w:w="180" w:type="dxa"/>
            <w:vAlign w:val="bottom"/>
            <w:shd w:val="clear" w:color="auto" w:fill="D5D5D5"/>
          </w:tcPr>
          <w:p>
            <w:pPr>
              <w:spacing w:after="0"/>
              <w:rPr>
                <w:sz w:val="24"/>
                <w:szCs w:val="24"/>
                <w:color w:val="auto"/>
              </w:rPr>
            </w:pPr>
          </w:p>
        </w:tc>
        <w:tc>
          <w:tcPr>
            <w:tcW w:w="16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38,381</w:t>
            </w:r>
          </w:p>
        </w:tc>
      </w:tr>
      <w:tr>
        <w:trPr>
          <w:trHeight w:val="282"/>
        </w:trPr>
        <w:tc>
          <w:tcPr>
            <w:tcW w:w="61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Leases</w:t>
            </w: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27,951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19,439</w:t>
            </w:r>
          </w:p>
        </w:tc>
      </w:tr>
      <w:tr>
        <w:trPr>
          <w:trHeight w:val="294"/>
        </w:trPr>
        <w:tc>
          <w:tcPr>
            <w:tcW w:w="6180" w:type="dxa"/>
            <w:vAlign w:val="bottom"/>
            <w:shd w:val="clear" w:color="auto" w:fill="D5D5D5"/>
          </w:tcPr>
          <w:p>
            <w:pPr>
              <w:ind w:left="280"/>
              <w:spacing w:after="0"/>
              <w:rPr>
                <w:sz w:val="20"/>
                <w:szCs w:val="20"/>
                <w:color w:val="auto"/>
              </w:rPr>
            </w:pPr>
            <w:r>
              <w:rPr>
                <w:rFonts w:ascii="Times New Roman" w:cs="Times New Roman" w:eastAsia="Times New Roman" w:hAnsi="Times New Roman"/>
                <w:sz w:val="19"/>
                <w:szCs w:val="19"/>
                <w:color w:val="auto"/>
              </w:rPr>
              <w:t>Capitalized costs</w:t>
            </w:r>
          </w:p>
        </w:tc>
        <w:tc>
          <w:tcPr>
            <w:tcW w:w="180" w:type="dxa"/>
            <w:vAlign w:val="bottom"/>
            <w:shd w:val="clear" w:color="auto" w:fill="D5D5D5"/>
          </w:tcPr>
          <w:p>
            <w:pPr>
              <w:spacing w:after="0"/>
              <w:rPr>
                <w:sz w:val="24"/>
                <w:szCs w:val="24"/>
                <w:color w:val="auto"/>
              </w:rPr>
            </w:pPr>
          </w:p>
        </w:tc>
        <w:tc>
          <w:tcPr>
            <w:tcW w:w="16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5,843</w:t>
            </w:r>
          </w:p>
        </w:tc>
        <w:tc>
          <w:tcPr>
            <w:tcW w:w="60" w:type="dxa"/>
            <w:vAlign w:val="bottom"/>
            <w:shd w:val="clear" w:color="auto" w:fill="D5D5D5"/>
          </w:tcPr>
          <w:p>
            <w:pPr>
              <w:spacing w:after="0"/>
              <w:rPr>
                <w:sz w:val="24"/>
                <w:szCs w:val="24"/>
                <w:color w:val="auto"/>
              </w:rPr>
            </w:pPr>
          </w:p>
        </w:tc>
        <w:tc>
          <w:tcPr>
            <w:tcW w:w="180" w:type="dxa"/>
            <w:vAlign w:val="bottom"/>
            <w:shd w:val="clear" w:color="auto" w:fill="D5D5D5"/>
          </w:tcPr>
          <w:p>
            <w:pPr>
              <w:spacing w:after="0"/>
              <w:rPr>
                <w:sz w:val="24"/>
                <w:szCs w:val="24"/>
                <w:color w:val="auto"/>
              </w:rPr>
            </w:pPr>
          </w:p>
        </w:tc>
        <w:tc>
          <w:tcPr>
            <w:tcW w:w="16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78"/>
        </w:trPr>
        <w:tc>
          <w:tcPr>
            <w:tcW w:w="6180" w:type="dxa"/>
            <w:vAlign w:val="bottom"/>
            <w:tcBorders>
              <w:bottom w:val="single" w:sz="8" w:color="D5D5D5"/>
            </w:tcBorders>
          </w:tcPr>
          <w:p>
            <w:pPr>
              <w:ind w:left="280"/>
              <w:spacing w:after="0"/>
              <w:rPr>
                <w:sz w:val="20"/>
                <w:szCs w:val="20"/>
                <w:color w:val="auto"/>
              </w:rPr>
            </w:pPr>
            <w:r>
              <w:rPr>
                <w:rFonts w:ascii="Times New Roman" w:cs="Times New Roman" w:eastAsia="Times New Roman" w:hAnsi="Times New Roman"/>
                <w:sz w:val="19"/>
                <w:szCs w:val="19"/>
                <w:color w:val="auto"/>
              </w:rPr>
              <w:t>Other</w:t>
            </w: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1,036</w:t>
            </w:r>
          </w:p>
        </w:tc>
        <w:tc>
          <w:tcPr>
            <w:tcW w:w="60" w:type="dxa"/>
            <w:vAlign w:val="bottom"/>
            <w:tcBorders>
              <w:bottom w:val="single" w:sz="8" w:color="D5D5D5"/>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1,341</w:t>
            </w:r>
          </w:p>
        </w:tc>
      </w:tr>
      <w:tr>
        <w:trPr>
          <w:trHeight w:val="287"/>
        </w:trPr>
        <w:tc>
          <w:tcPr>
            <w:tcW w:w="6180" w:type="dxa"/>
            <w:vAlign w:val="bottom"/>
            <w:shd w:val="clear" w:color="auto" w:fill="D5D5D5"/>
          </w:tcPr>
          <w:p>
            <w:pPr>
              <w:ind w:left="280"/>
              <w:spacing w:after="0"/>
              <w:rPr>
                <w:sz w:val="20"/>
                <w:szCs w:val="20"/>
                <w:color w:val="auto"/>
              </w:rPr>
            </w:pPr>
            <w:r>
              <w:rPr>
                <w:rFonts w:ascii="Times New Roman" w:cs="Times New Roman" w:eastAsia="Times New Roman" w:hAnsi="Times New Roman"/>
                <w:sz w:val="19"/>
                <w:szCs w:val="19"/>
                <w:color w:val="auto"/>
              </w:rPr>
              <w:t>Deferred tax liabilities</w:t>
            </w:r>
          </w:p>
        </w:tc>
        <w:tc>
          <w:tcPr>
            <w:tcW w:w="1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163,231</w:t>
            </w:r>
          </w:p>
        </w:tc>
        <w:tc>
          <w:tcPr>
            <w:tcW w:w="24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145,266</w:t>
            </w:r>
          </w:p>
        </w:tc>
      </w:tr>
      <w:tr>
        <w:trPr>
          <w:trHeight w:val="250"/>
        </w:trPr>
        <w:tc>
          <w:tcPr>
            <w:tcW w:w="6180" w:type="dxa"/>
            <w:vAlign w:val="bottom"/>
            <w:tcBorders>
              <w:top w:val="single" w:sz="8" w:color="D5D5D5"/>
              <w:bottom w:val="single" w:sz="8" w:color="D5D5D5"/>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D5D5D5"/>
              <w:bottom w:val="single" w:sz="8" w:color="D5D5D5"/>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tcPr>
          <w:p>
            <w:pPr>
              <w:spacing w:after="0"/>
              <w:rPr>
                <w:sz w:val="21"/>
                <w:szCs w:val="21"/>
                <w:color w:val="auto"/>
              </w:rPr>
            </w:pPr>
          </w:p>
        </w:tc>
      </w:tr>
      <w:tr>
        <w:trPr>
          <w:trHeight w:val="286"/>
        </w:trPr>
        <w:tc>
          <w:tcPr>
            <w:tcW w:w="6180" w:type="dxa"/>
            <w:vAlign w:val="bottom"/>
            <w:tcBorders>
              <w:bottom w:val="single" w:sz="8" w:color="D5D5D5"/>
            </w:tcBorders>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Net deferred tax liabilities</w:t>
            </w:r>
          </w:p>
        </w:tc>
        <w:tc>
          <w:tcPr>
            <w:tcW w:w="1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32,172</w:t>
            </w:r>
          </w:p>
        </w:tc>
        <w:tc>
          <w:tcPr>
            <w:tcW w:w="60" w:type="dxa"/>
            <w:vAlign w:val="bottom"/>
            <w:tcBorders>
              <w:bottom w:val="single" w:sz="8" w:color="D5D5D5"/>
            </w:tcBorders>
            <w:shd w:val="clear" w:color="auto" w:fill="D5D5D5"/>
          </w:tcPr>
          <w:p>
            <w:pPr>
              <w:spacing w:after="0"/>
              <w:rPr>
                <w:sz w:val="24"/>
                <w:szCs w:val="24"/>
                <w:color w:val="auto"/>
              </w:rPr>
            </w:pPr>
          </w:p>
        </w:tc>
        <w:tc>
          <w:tcPr>
            <w:tcW w:w="1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49,562</w:t>
            </w:r>
          </w:p>
        </w:tc>
      </w:tr>
    </w:tbl>
    <w:p>
      <w:pPr>
        <w:spacing w:after="0" w:line="256" w:lineRule="exact"/>
        <w:rPr>
          <w:sz w:val="20"/>
          <w:szCs w:val="20"/>
          <w:color w:val="auto"/>
        </w:rPr>
      </w:pPr>
    </w:p>
    <w:p>
      <w:pPr>
        <w:ind w:right="60" w:firstLine="345"/>
        <w:spacing w:after="0" w:line="271" w:lineRule="auto"/>
        <w:rPr>
          <w:sz w:val="20"/>
          <w:szCs w:val="20"/>
          <w:color w:val="auto"/>
        </w:rPr>
      </w:pPr>
      <w:r>
        <w:rPr>
          <w:rFonts w:ascii="Times New Roman" w:cs="Times New Roman" w:eastAsia="Times New Roman" w:hAnsi="Times New Roman"/>
          <w:sz w:val="19"/>
          <w:szCs w:val="19"/>
          <w:color w:val="auto"/>
        </w:rPr>
        <w:t>The valuation allowance above reduces the deferred tax asset balances to the amount that we have determined is more likely than not to be realized. The valuation allowance relates to immaterial tax attributes which are not more-likely-than-not to be realized prior to expiration, based on current objective evidence. Our tax attributes generally begin to expire in fiscal 2026.</w:t>
      </w:r>
    </w:p>
    <w:p>
      <w:pPr>
        <w:sectPr>
          <w:pgSz w:w="11880" w:h="15480" w:orient="portrait"/>
          <w:cols w:equalWidth="0" w:num="1">
            <w:col w:w="9820"/>
          </w:cols>
          <w:pgMar w:left="1000" w:top="1179" w:right="1060" w:bottom="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254000</wp:posOffset>
            </wp:positionV>
            <wp:extent cx="76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7">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254000</wp:posOffset>
            </wp:positionV>
            <wp:extent cx="76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8">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20"/>
          </w:cols>
          <w:pgMar w:left="1000" w:top="1179" w:right="1060" w:bottom="0" w:gutter="0" w:footer="0" w:header="0"/>
          <w:type w:val="continuous"/>
        </w:sectPr>
      </w:pPr>
    </w:p>
    <w:bookmarkStart w:id="73" w:name="page74"/>
    <w:bookmarkEnd w:id="73"/>
    <w:p>
      <w:pPr>
        <w:ind w:left="34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t>Uncertain Tax Positions</w:t>
      </w:r>
    </w:p>
    <w:p>
      <w:pPr>
        <w:spacing w:after="0" w:line="249" w:lineRule="exact"/>
        <w:rPr>
          <w:sz w:val="20"/>
          <w:szCs w:val="20"/>
          <w:color w:val="auto"/>
        </w:rPr>
      </w:pPr>
    </w:p>
    <w:p>
      <w:pPr>
        <w:ind w:right="180" w:firstLine="345"/>
        <w:spacing w:after="0" w:line="260" w:lineRule="auto"/>
        <w:rPr>
          <w:sz w:val="20"/>
          <w:szCs w:val="20"/>
          <w:color w:val="auto"/>
        </w:rPr>
      </w:pPr>
      <w:r>
        <w:rPr>
          <w:rFonts w:ascii="Times New Roman" w:cs="Times New Roman" w:eastAsia="Times New Roman" w:hAnsi="Times New Roman"/>
          <w:sz w:val="19"/>
          <w:szCs w:val="19"/>
          <w:color w:val="auto"/>
        </w:rPr>
        <w:t>As of January 25, 2025 and January 27, 2024, we had total unrecognized tax benefits of $21.6 million and $17.6 million, respectively, resulting from uncertain tax positions. Our effective tax rate will be reduced by $21.1 million during future periods if it is determined these unrecognized tax benefits are realizable. We had approximately $5.4 million and $3.7 million accrued for the payment of interest and penalties as of January 25, 2025 and January 27, 2024, respectively. Interest expense related to unrecognized tax benefits for the Company was $1.7 million during fiscal 2025 and was not material for fiscal 2024 and fiscal 2023.</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A summary of unrecognized tax benefits is as follows (dollars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1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440" w:type="dxa"/>
            <w:vAlign w:val="bottom"/>
            <w:tcBorders>
              <w:bottom w:val="single" w:sz="8" w:color="auto"/>
            </w:tcBorders>
            <w:gridSpan w:val="6"/>
          </w:tcPr>
          <w:p>
            <w:pPr>
              <w:jc w:val="center"/>
              <w:ind w:left="524"/>
              <w:spacing w:after="0"/>
              <w:rPr>
                <w:sz w:val="20"/>
                <w:szCs w:val="20"/>
                <w:color w:val="auto"/>
              </w:rPr>
            </w:pPr>
            <w:r>
              <w:rPr>
                <w:rFonts w:ascii="Times New Roman" w:cs="Times New Roman" w:eastAsia="Times New Roman" w:hAnsi="Times New Roman"/>
                <w:sz w:val="19"/>
                <w:szCs w:val="19"/>
                <w:b w:val="1"/>
                <w:bCs w:val="1"/>
                <w:color w:val="auto"/>
              </w:rPr>
              <w:t>Fiscal Year Ended</w:t>
            </w:r>
          </w:p>
        </w:tc>
        <w:tc>
          <w:tcPr>
            <w:tcW w:w="9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180"/>
        </w:trPr>
        <w:tc>
          <w:tcPr>
            <w:tcW w:w="6180" w:type="dxa"/>
            <w:vAlign w:val="bottom"/>
          </w:tcPr>
          <w:p>
            <w:pPr>
              <w:spacing w:after="0"/>
              <w:rPr>
                <w:sz w:val="15"/>
                <w:szCs w:val="15"/>
                <w:color w:val="auto"/>
              </w:rPr>
            </w:pPr>
          </w:p>
        </w:tc>
        <w:tc>
          <w:tcPr>
            <w:tcW w:w="11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9"/>
                <w:szCs w:val="19"/>
                <w:b w:val="1"/>
                <w:bCs w:val="1"/>
                <w:color w:val="auto"/>
              </w:rPr>
              <w:t>January 25,</w:t>
            </w:r>
          </w:p>
        </w:tc>
        <w:tc>
          <w:tcPr>
            <w:tcW w:w="80" w:type="dxa"/>
            <w:vAlign w:val="bottom"/>
          </w:tcPr>
          <w:p>
            <w:pPr>
              <w:spacing w:after="0"/>
              <w:rPr>
                <w:sz w:val="15"/>
                <w:szCs w:val="15"/>
                <w:color w:val="auto"/>
              </w:rPr>
            </w:pPr>
          </w:p>
        </w:tc>
        <w:tc>
          <w:tcPr>
            <w:tcW w:w="11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9"/>
                <w:szCs w:val="19"/>
                <w:b w:val="1"/>
                <w:bCs w:val="1"/>
                <w:color w:val="auto"/>
              </w:rPr>
              <w:t>January 27,</w:t>
            </w:r>
          </w:p>
        </w:tc>
        <w:tc>
          <w:tcPr>
            <w:tcW w:w="80" w:type="dxa"/>
            <w:vAlign w:val="bottom"/>
          </w:tcPr>
          <w:p>
            <w:pPr>
              <w:spacing w:after="0"/>
              <w:rPr>
                <w:sz w:val="15"/>
                <w:szCs w:val="15"/>
                <w:color w:val="auto"/>
              </w:rPr>
            </w:pPr>
          </w:p>
        </w:tc>
        <w:tc>
          <w:tcPr>
            <w:tcW w:w="1160" w:type="dxa"/>
            <w:vAlign w:val="bottom"/>
            <w:gridSpan w:val="2"/>
          </w:tcPr>
          <w:p>
            <w:pPr>
              <w:jc w:val="right"/>
              <w:ind w:right="4"/>
              <w:spacing w:after="0" w:line="180" w:lineRule="exact"/>
              <w:rPr>
                <w:sz w:val="20"/>
                <w:szCs w:val="20"/>
                <w:color w:val="auto"/>
              </w:rPr>
            </w:pPr>
            <w:r>
              <w:rPr>
                <w:rFonts w:ascii="Times New Roman" w:cs="Times New Roman" w:eastAsia="Times New Roman" w:hAnsi="Times New Roman"/>
                <w:sz w:val="19"/>
                <w:szCs w:val="19"/>
                <w:b w:val="1"/>
                <w:bCs w:val="1"/>
                <w:color w:val="auto"/>
              </w:rPr>
              <w:t>January 28,</w:t>
            </w:r>
          </w:p>
        </w:tc>
        <w:tc>
          <w:tcPr>
            <w:tcW w:w="60" w:type="dxa"/>
            <w:vAlign w:val="bottom"/>
          </w:tcPr>
          <w:p>
            <w:pPr>
              <w:spacing w:after="0"/>
              <w:rPr>
                <w:sz w:val="15"/>
                <w:szCs w:val="15"/>
                <w:color w:val="auto"/>
              </w:rPr>
            </w:pPr>
          </w:p>
        </w:tc>
      </w:tr>
      <w:tr>
        <w:trPr>
          <w:trHeight w:val="261"/>
        </w:trPr>
        <w:tc>
          <w:tcPr>
            <w:tcW w:w="6180" w:type="dxa"/>
            <w:vAlign w:val="bottom"/>
            <w:tcBorders>
              <w:bottom w:val="single" w:sz="8" w:color="D5D5D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Borders>
              <w:bottom w:val="single" w:sz="8" w:color="D5D5D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9"/>
                <w:szCs w:val="19"/>
                <w:b w:val="1"/>
                <w:bCs w:val="1"/>
                <w:color w:val="auto"/>
                <w:w w:val="99"/>
              </w:rPr>
              <w:t>2024</w:t>
            </w:r>
          </w:p>
        </w:tc>
        <w:tc>
          <w:tcPr>
            <w:tcW w:w="80" w:type="dxa"/>
            <w:vAlign w:val="bottom"/>
            <w:tcBorders>
              <w:bottom w:val="single" w:sz="8" w:color="D5D5D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9"/>
                <w:szCs w:val="19"/>
                <w:b w:val="1"/>
                <w:bCs w:val="1"/>
                <w:color w:val="auto"/>
              </w:rPr>
              <w:t>2023</w:t>
            </w:r>
          </w:p>
        </w:tc>
        <w:tc>
          <w:tcPr>
            <w:tcW w:w="60" w:type="dxa"/>
            <w:vAlign w:val="bottom"/>
            <w:tcBorders>
              <w:bottom w:val="single" w:sz="8" w:color="D5D5D5"/>
            </w:tcBorders>
          </w:tcPr>
          <w:p>
            <w:pPr>
              <w:spacing w:after="0"/>
              <w:rPr>
                <w:sz w:val="22"/>
                <w:szCs w:val="22"/>
                <w:color w:val="auto"/>
              </w:rPr>
            </w:pPr>
          </w:p>
        </w:tc>
      </w:tr>
      <w:tr>
        <w:trPr>
          <w:trHeight w:val="269"/>
        </w:trPr>
        <w:tc>
          <w:tcPr>
            <w:tcW w:w="618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Balance at beginning of year</w:t>
            </w:r>
          </w:p>
        </w:tc>
        <w:tc>
          <w:tcPr>
            <w:tcW w:w="260" w:type="dxa"/>
            <w:vAlign w:val="bottom"/>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17,606</w:t>
            </w:r>
          </w:p>
        </w:tc>
        <w:tc>
          <w:tcPr>
            <w:tcW w:w="340" w:type="dxa"/>
            <w:vAlign w:val="bottom"/>
            <w:gridSpan w:val="2"/>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15,771</w:t>
            </w:r>
          </w:p>
        </w:tc>
        <w:tc>
          <w:tcPr>
            <w:tcW w:w="340" w:type="dxa"/>
            <w:vAlign w:val="bottom"/>
            <w:gridSpan w:val="2"/>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11,929</w:t>
            </w:r>
          </w:p>
        </w:tc>
        <w:tc>
          <w:tcPr>
            <w:tcW w:w="60" w:type="dxa"/>
            <w:vAlign w:val="bottom"/>
            <w:shd w:val="clear" w:color="auto" w:fill="D5D5D5"/>
          </w:tcPr>
          <w:p>
            <w:pPr>
              <w:spacing w:after="0"/>
              <w:rPr>
                <w:sz w:val="23"/>
                <w:szCs w:val="23"/>
                <w:color w:val="auto"/>
              </w:rPr>
            </w:pPr>
          </w:p>
        </w:tc>
      </w:tr>
      <w:tr>
        <w:trPr>
          <w:trHeight w:val="282"/>
        </w:trPr>
        <w:tc>
          <w:tcPr>
            <w:tcW w:w="61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Additions based on tax positions related to the fiscal year</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2,682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1,884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2,042</w:t>
            </w:r>
          </w:p>
        </w:tc>
        <w:tc>
          <w:tcPr>
            <w:tcW w:w="60" w:type="dxa"/>
            <w:vAlign w:val="bottom"/>
          </w:tcPr>
          <w:p>
            <w:pPr>
              <w:spacing w:after="0"/>
              <w:rPr>
                <w:sz w:val="24"/>
                <w:szCs w:val="24"/>
                <w:color w:val="auto"/>
              </w:rPr>
            </w:pPr>
          </w:p>
        </w:tc>
      </w:tr>
      <w:tr>
        <w:trPr>
          <w:trHeight w:val="294"/>
        </w:trPr>
        <w:tc>
          <w:tcPr>
            <w:tcW w:w="6180" w:type="dxa"/>
            <w:vAlign w:val="bottom"/>
            <w:shd w:val="clear" w:color="auto" w:fill="D5D5D5"/>
          </w:tcPr>
          <w:p>
            <w:pPr>
              <w:ind w:left="260"/>
              <w:spacing w:after="0"/>
              <w:rPr>
                <w:sz w:val="20"/>
                <w:szCs w:val="20"/>
                <w:color w:val="auto"/>
              </w:rPr>
            </w:pPr>
            <w:r>
              <w:rPr>
                <w:rFonts w:ascii="Times New Roman" w:cs="Times New Roman" w:eastAsia="Times New Roman" w:hAnsi="Times New Roman"/>
                <w:sz w:val="19"/>
                <w:szCs w:val="19"/>
                <w:color w:val="auto"/>
              </w:rPr>
              <w:t>Additions based on tax positions related to prior years</w:t>
            </w:r>
          </w:p>
        </w:tc>
        <w:tc>
          <w:tcPr>
            <w:tcW w:w="260" w:type="dxa"/>
            <w:vAlign w:val="bottom"/>
            <w:shd w:val="clear" w:color="auto" w:fill="D5D5D5"/>
          </w:tcPr>
          <w:p>
            <w:pPr>
              <w:spacing w:after="0"/>
              <w:rPr>
                <w:sz w:val="24"/>
                <w:szCs w:val="24"/>
                <w:color w:val="auto"/>
              </w:rPr>
            </w:pPr>
          </w:p>
        </w:tc>
        <w:tc>
          <w:tcPr>
            <w:tcW w:w="8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1,369</w:t>
            </w:r>
          </w:p>
        </w:tc>
        <w:tc>
          <w:tcPr>
            <w:tcW w:w="80" w:type="dxa"/>
            <w:vAlign w:val="bottom"/>
            <w:shd w:val="clear" w:color="auto" w:fill="D5D5D5"/>
          </w:tcPr>
          <w:p>
            <w:pPr>
              <w:spacing w:after="0"/>
              <w:rPr>
                <w:sz w:val="24"/>
                <w:szCs w:val="24"/>
                <w:color w:val="auto"/>
              </w:rPr>
            </w:pPr>
          </w:p>
        </w:tc>
        <w:tc>
          <w:tcPr>
            <w:tcW w:w="260" w:type="dxa"/>
            <w:vAlign w:val="bottom"/>
            <w:shd w:val="clear" w:color="auto" w:fill="D5D5D5"/>
          </w:tcPr>
          <w:p>
            <w:pPr>
              <w:spacing w:after="0"/>
              <w:rPr>
                <w:sz w:val="24"/>
                <w:szCs w:val="24"/>
                <w:color w:val="auto"/>
              </w:rPr>
            </w:pPr>
          </w:p>
        </w:tc>
        <w:tc>
          <w:tcPr>
            <w:tcW w:w="8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587</w:t>
            </w:r>
          </w:p>
        </w:tc>
        <w:tc>
          <w:tcPr>
            <w:tcW w:w="80" w:type="dxa"/>
            <w:vAlign w:val="bottom"/>
            <w:shd w:val="clear" w:color="auto" w:fill="D5D5D5"/>
          </w:tcPr>
          <w:p>
            <w:pPr>
              <w:spacing w:after="0"/>
              <w:rPr>
                <w:sz w:val="24"/>
                <w:szCs w:val="24"/>
                <w:color w:val="auto"/>
              </w:rPr>
            </w:pPr>
          </w:p>
        </w:tc>
        <w:tc>
          <w:tcPr>
            <w:tcW w:w="260" w:type="dxa"/>
            <w:vAlign w:val="bottom"/>
            <w:shd w:val="clear" w:color="auto" w:fill="D5D5D5"/>
          </w:tcPr>
          <w:p>
            <w:pPr>
              <w:spacing w:after="0"/>
              <w:rPr>
                <w:sz w:val="24"/>
                <w:szCs w:val="24"/>
                <w:color w:val="auto"/>
              </w:rPr>
            </w:pPr>
          </w:p>
        </w:tc>
        <w:tc>
          <w:tcPr>
            <w:tcW w:w="9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2,957</w:t>
            </w:r>
          </w:p>
        </w:tc>
        <w:tc>
          <w:tcPr>
            <w:tcW w:w="60" w:type="dxa"/>
            <w:vAlign w:val="bottom"/>
            <w:shd w:val="clear" w:color="auto" w:fill="D5D5D5"/>
          </w:tcPr>
          <w:p>
            <w:pPr>
              <w:spacing w:after="0"/>
              <w:rPr>
                <w:sz w:val="24"/>
                <w:szCs w:val="24"/>
                <w:color w:val="auto"/>
              </w:rPr>
            </w:pPr>
          </w:p>
        </w:tc>
      </w:tr>
      <w:tr>
        <w:trPr>
          <w:trHeight w:val="282"/>
        </w:trPr>
        <w:tc>
          <w:tcPr>
            <w:tcW w:w="61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Reductions based on tax positions related to prior years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r>
      <w:tr>
        <w:trPr>
          <w:trHeight w:val="284"/>
        </w:trPr>
        <w:tc>
          <w:tcPr>
            <w:tcW w:w="6180" w:type="dxa"/>
            <w:vAlign w:val="bottom"/>
            <w:tcBorders>
              <w:bottom w:val="single" w:sz="8" w:color="D5D5D5"/>
            </w:tcBorders>
            <w:shd w:val="clear" w:color="auto" w:fill="D5D5D5"/>
          </w:tcPr>
          <w:p>
            <w:pPr>
              <w:ind w:left="260"/>
              <w:spacing w:after="0"/>
              <w:rPr>
                <w:sz w:val="20"/>
                <w:szCs w:val="20"/>
                <w:color w:val="auto"/>
              </w:rPr>
            </w:pPr>
            <w:r>
              <w:rPr>
                <w:rFonts w:ascii="Times New Roman" w:cs="Times New Roman" w:eastAsia="Times New Roman" w:hAnsi="Times New Roman"/>
                <w:sz w:val="19"/>
                <w:szCs w:val="19"/>
                <w:color w:val="auto"/>
              </w:rPr>
              <w:t>Reductions related to the expiration of statutes of limitation</w:t>
            </w:r>
          </w:p>
        </w:tc>
        <w:tc>
          <w:tcPr>
            <w:tcW w:w="260" w:type="dxa"/>
            <w:vAlign w:val="bottom"/>
            <w:tcBorders>
              <w:bottom w:val="single" w:sz="8" w:color="auto"/>
            </w:tcBorders>
            <w:shd w:val="clear" w:color="auto" w:fill="D5D5D5"/>
          </w:tcPr>
          <w:p>
            <w:pPr>
              <w:spacing w:after="0"/>
              <w:rPr>
                <w:sz w:val="24"/>
                <w:szCs w:val="24"/>
                <w:color w:val="auto"/>
              </w:rPr>
            </w:pPr>
          </w:p>
        </w:tc>
        <w:tc>
          <w:tcPr>
            <w:tcW w:w="8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bottom w:val="single" w:sz="8" w:color="D5D5D5"/>
            </w:tcBorders>
            <w:shd w:val="clear" w:color="auto" w:fill="D5D5D5"/>
          </w:tcPr>
          <w:p>
            <w:pPr>
              <w:spacing w:after="0"/>
              <w:rPr>
                <w:sz w:val="24"/>
                <w:szCs w:val="24"/>
                <w:color w:val="auto"/>
              </w:rPr>
            </w:pPr>
          </w:p>
        </w:tc>
        <w:tc>
          <w:tcPr>
            <w:tcW w:w="260" w:type="dxa"/>
            <w:vAlign w:val="bottom"/>
            <w:tcBorders>
              <w:bottom w:val="single" w:sz="8" w:color="auto"/>
            </w:tcBorders>
            <w:shd w:val="clear" w:color="auto" w:fill="D5D5D5"/>
          </w:tcPr>
          <w:p>
            <w:pPr>
              <w:spacing w:after="0"/>
              <w:rPr>
                <w:sz w:val="24"/>
                <w:szCs w:val="24"/>
                <w:color w:val="auto"/>
              </w:rPr>
            </w:pPr>
          </w:p>
        </w:tc>
        <w:tc>
          <w:tcPr>
            <w:tcW w:w="88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bottom w:val="single" w:sz="8" w:color="D5D5D5"/>
            </w:tcBorders>
            <w:shd w:val="clear" w:color="auto" w:fill="D5D5D5"/>
          </w:tcPr>
          <w:p>
            <w:pPr>
              <w:spacing w:after="0"/>
              <w:rPr>
                <w:sz w:val="24"/>
                <w:szCs w:val="24"/>
                <w:color w:val="auto"/>
              </w:rPr>
            </w:pPr>
          </w:p>
        </w:tc>
        <w:tc>
          <w:tcPr>
            <w:tcW w:w="260" w:type="dxa"/>
            <w:vAlign w:val="bottom"/>
            <w:tcBorders>
              <w:bottom w:val="single" w:sz="8" w:color="auto"/>
            </w:tcBorders>
            <w:shd w:val="clear" w:color="auto" w:fill="D5D5D5"/>
          </w:tcPr>
          <w:p>
            <w:pPr>
              <w:spacing w:after="0"/>
              <w:rPr>
                <w:sz w:val="24"/>
                <w:szCs w:val="24"/>
                <w:color w:val="auto"/>
              </w:rPr>
            </w:pPr>
          </w:p>
        </w:tc>
        <w:tc>
          <w:tcPr>
            <w:tcW w:w="9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(1,157)</w:t>
            </w:r>
          </w:p>
        </w:tc>
        <w:tc>
          <w:tcPr>
            <w:tcW w:w="60" w:type="dxa"/>
            <w:vAlign w:val="bottom"/>
            <w:tcBorders>
              <w:bottom w:val="single" w:sz="8" w:color="D5D5D5"/>
            </w:tcBorders>
            <w:shd w:val="clear" w:color="auto" w:fill="D5D5D5"/>
          </w:tcPr>
          <w:p>
            <w:pPr>
              <w:spacing w:after="0"/>
              <w:rPr>
                <w:sz w:val="24"/>
                <w:szCs w:val="24"/>
                <w:color w:val="auto"/>
              </w:rPr>
            </w:pPr>
          </w:p>
        </w:tc>
      </w:tr>
      <w:tr>
        <w:trPr>
          <w:trHeight w:val="250"/>
        </w:trPr>
        <w:tc>
          <w:tcPr>
            <w:tcW w:w="61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Balance at end of year</w:t>
            </w:r>
          </w:p>
        </w:tc>
        <w:tc>
          <w:tcPr>
            <w:tcW w:w="2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21,563</w:t>
            </w:r>
          </w:p>
        </w:tc>
        <w:tc>
          <w:tcPr>
            <w:tcW w:w="34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17,606</w:t>
            </w:r>
          </w:p>
        </w:tc>
        <w:tc>
          <w:tcPr>
            <w:tcW w:w="34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15,771</w:t>
            </w:r>
          </w:p>
        </w:tc>
        <w:tc>
          <w:tcPr>
            <w:tcW w:w="60" w:type="dxa"/>
            <w:vAlign w:val="bottom"/>
          </w:tcPr>
          <w:p>
            <w:pPr>
              <w:spacing w:after="0"/>
              <w:rPr>
                <w:sz w:val="21"/>
                <w:szCs w:val="21"/>
                <w:color w:val="auto"/>
              </w:rPr>
            </w:pPr>
          </w:p>
        </w:tc>
      </w:tr>
      <w:tr>
        <w:trPr>
          <w:trHeight w:val="20"/>
        </w:trPr>
        <w:tc>
          <w:tcPr>
            <w:tcW w:w="6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16. Other Income, Net</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components of other income, net, were as follows (dollars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00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Fiscal Year Ended</w:t>
            </w:r>
          </w:p>
        </w:tc>
        <w:tc>
          <w:tcPr>
            <w:tcW w:w="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254"/>
        </w:trPr>
        <w:tc>
          <w:tcPr>
            <w:tcW w:w="5000" w:type="dxa"/>
            <w:vAlign w:val="bottom"/>
            <w:tcBorders>
              <w:bottom w:val="single" w:sz="8" w:color="D5D5D5"/>
            </w:tcBorders>
          </w:tcPr>
          <w:p>
            <w:pPr>
              <w:spacing w:after="0"/>
              <w:rPr>
                <w:sz w:val="22"/>
                <w:szCs w:val="22"/>
                <w:color w:val="auto"/>
              </w:rPr>
            </w:pPr>
          </w:p>
        </w:tc>
        <w:tc>
          <w:tcPr>
            <w:tcW w:w="15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80" w:type="dxa"/>
            <w:vAlign w:val="bottom"/>
            <w:tcBorders>
              <w:bottom w:val="single" w:sz="8" w:color="D5D5D5"/>
            </w:tcBorders>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January 27, 2024</w:t>
            </w:r>
          </w:p>
        </w:tc>
        <w:tc>
          <w:tcPr>
            <w:tcW w:w="80" w:type="dxa"/>
            <w:vAlign w:val="bottom"/>
            <w:tcBorders>
              <w:bottom w:val="single" w:sz="8" w:color="D5D5D5"/>
            </w:tcBorders>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January 28, 2023</w:t>
            </w:r>
          </w:p>
        </w:tc>
        <w:tc>
          <w:tcPr>
            <w:tcW w:w="60" w:type="dxa"/>
            <w:vAlign w:val="bottom"/>
            <w:tcBorders>
              <w:bottom w:val="single" w:sz="8" w:color="D5D5D5"/>
            </w:tcBorders>
          </w:tcPr>
          <w:p>
            <w:pPr>
              <w:spacing w:after="0"/>
              <w:rPr>
                <w:sz w:val="22"/>
                <w:szCs w:val="22"/>
                <w:color w:val="auto"/>
              </w:rPr>
            </w:pPr>
          </w:p>
        </w:tc>
      </w:tr>
      <w:tr>
        <w:trPr>
          <w:trHeight w:val="269"/>
        </w:trPr>
        <w:tc>
          <w:tcPr>
            <w:tcW w:w="50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Gain on sale of fixed assets</w:t>
            </w:r>
          </w:p>
        </w:tc>
        <w:tc>
          <w:tcPr>
            <w:tcW w:w="540" w:type="dxa"/>
            <w:vAlign w:val="bottom"/>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36,461</w:t>
            </w:r>
          </w:p>
        </w:tc>
        <w:tc>
          <w:tcPr>
            <w:tcW w:w="62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28,348</w:t>
            </w:r>
          </w:p>
        </w:tc>
        <w:tc>
          <w:tcPr>
            <w:tcW w:w="62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16,759</w:t>
            </w:r>
          </w:p>
        </w:tc>
        <w:tc>
          <w:tcPr>
            <w:tcW w:w="60" w:type="dxa"/>
            <w:vAlign w:val="bottom"/>
            <w:shd w:val="clear" w:color="auto" w:fill="D5D5D5"/>
          </w:tcPr>
          <w:p>
            <w:pPr>
              <w:spacing w:after="0"/>
              <w:rPr>
                <w:sz w:val="23"/>
                <w:szCs w:val="23"/>
                <w:color w:val="auto"/>
              </w:rPr>
            </w:pPr>
          </w:p>
        </w:tc>
      </w:tr>
      <w:tr>
        <w:trPr>
          <w:trHeight w:val="278"/>
        </w:trPr>
        <w:tc>
          <w:tcPr>
            <w:tcW w:w="5000" w:type="dxa"/>
            <w:vAlign w:val="bottom"/>
            <w:tcBorders>
              <w:bottom w:val="single" w:sz="8" w:color="D5D5D5"/>
            </w:tcBorders>
          </w:tcPr>
          <w:p>
            <w:pPr>
              <w:ind w:left="40"/>
              <w:spacing w:after="0"/>
              <w:rPr>
                <w:sz w:val="20"/>
                <w:szCs w:val="20"/>
                <w:color w:val="auto"/>
              </w:rPr>
            </w:pPr>
            <w:r>
              <w:rPr>
                <w:rFonts w:ascii="Times New Roman" w:cs="Times New Roman" w:eastAsia="Times New Roman" w:hAnsi="Times New Roman"/>
                <w:sz w:val="19"/>
                <w:szCs w:val="19"/>
                <w:color w:val="auto"/>
              </w:rPr>
              <w:t>Miscellaneous expense, net</w:t>
            </w: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(7,248)</w:t>
            </w:r>
          </w:p>
        </w:tc>
        <w:tc>
          <w:tcPr>
            <w:tcW w:w="80" w:type="dxa"/>
            <w:vAlign w:val="bottom"/>
            <w:tcBorders>
              <w:bottom w:val="single" w:sz="8" w:color="D5D5D5"/>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(6,739)</w:t>
            </w:r>
          </w:p>
        </w:tc>
        <w:tc>
          <w:tcPr>
            <w:tcW w:w="80" w:type="dxa"/>
            <w:vAlign w:val="bottom"/>
            <w:tcBorders>
              <w:bottom w:val="single" w:sz="8" w:color="D5D5D5"/>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(6,558)</w:t>
            </w:r>
          </w:p>
        </w:tc>
        <w:tc>
          <w:tcPr>
            <w:tcW w:w="60" w:type="dxa"/>
            <w:vAlign w:val="bottom"/>
            <w:tcBorders>
              <w:bottom w:val="single" w:sz="8" w:color="D5D5D5"/>
            </w:tcBorders>
          </w:tcPr>
          <w:p>
            <w:pPr>
              <w:spacing w:after="0"/>
              <w:rPr>
                <w:sz w:val="24"/>
                <w:szCs w:val="24"/>
                <w:color w:val="auto"/>
              </w:rPr>
            </w:pPr>
          </w:p>
        </w:tc>
      </w:tr>
      <w:tr>
        <w:trPr>
          <w:trHeight w:val="287"/>
        </w:trPr>
        <w:tc>
          <w:tcPr>
            <w:tcW w:w="5000" w:type="dxa"/>
            <w:vAlign w:val="bottom"/>
            <w:tcBorders>
              <w:bottom w:val="single" w:sz="8" w:color="D5D5D5"/>
            </w:tcBorders>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Other income, net</w:t>
            </w:r>
          </w:p>
        </w:tc>
        <w:tc>
          <w:tcPr>
            <w:tcW w:w="540" w:type="dxa"/>
            <w:vAlign w:val="bottom"/>
            <w:tcBorders>
              <w:bottom w:val="single" w:sz="8" w:color="auto"/>
            </w:tcBorders>
            <w:shd w:val="clear" w:color="auto" w:fill="D5D5D5"/>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29,213</w:t>
            </w:r>
          </w:p>
        </w:tc>
        <w:tc>
          <w:tcPr>
            <w:tcW w:w="80" w:type="dxa"/>
            <w:vAlign w:val="bottom"/>
            <w:tcBorders>
              <w:bottom w:val="single" w:sz="8" w:color="D5D5D5"/>
            </w:tcBorders>
            <w:shd w:val="clear" w:color="auto" w:fill="D5D5D5"/>
          </w:tcPr>
          <w:p>
            <w:pPr>
              <w:spacing w:after="0"/>
              <w:rPr>
                <w:sz w:val="24"/>
                <w:szCs w:val="24"/>
                <w:color w:val="auto"/>
              </w:rPr>
            </w:pPr>
          </w:p>
        </w:tc>
        <w:tc>
          <w:tcPr>
            <w:tcW w:w="540" w:type="dxa"/>
            <w:vAlign w:val="bottom"/>
            <w:tcBorders>
              <w:bottom w:val="single" w:sz="8" w:color="auto"/>
            </w:tcBorders>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21,609</w:t>
            </w:r>
          </w:p>
        </w:tc>
        <w:tc>
          <w:tcPr>
            <w:tcW w:w="80" w:type="dxa"/>
            <w:vAlign w:val="bottom"/>
            <w:tcBorders>
              <w:bottom w:val="single" w:sz="8" w:color="D5D5D5"/>
            </w:tcBorders>
            <w:shd w:val="clear" w:color="auto" w:fill="D5D5D5"/>
          </w:tcPr>
          <w:p>
            <w:pPr>
              <w:spacing w:after="0"/>
              <w:rPr>
                <w:sz w:val="24"/>
                <w:szCs w:val="24"/>
                <w:color w:val="auto"/>
              </w:rPr>
            </w:pPr>
          </w:p>
        </w:tc>
        <w:tc>
          <w:tcPr>
            <w:tcW w:w="540" w:type="dxa"/>
            <w:vAlign w:val="bottom"/>
            <w:tcBorders>
              <w:bottom w:val="single" w:sz="8" w:color="auto"/>
            </w:tcBorders>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10,201</w:t>
            </w:r>
          </w:p>
        </w:tc>
        <w:tc>
          <w:tcPr>
            <w:tcW w:w="60" w:type="dxa"/>
            <w:vAlign w:val="bottom"/>
            <w:tcBorders>
              <w:bottom w:val="single" w:sz="8" w:color="D5D5D5"/>
            </w:tcBorders>
            <w:shd w:val="clear" w:color="auto" w:fill="D5D5D5"/>
          </w:tcPr>
          <w:p>
            <w:pPr>
              <w:spacing w:after="0"/>
              <w:rPr>
                <w:sz w:val="24"/>
                <w:szCs w:val="24"/>
                <w:color w:val="auto"/>
              </w:rPr>
            </w:pPr>
          </w:p>
        </w:tc>
      </w:tr>
    </w:tbl>
    <w:p>
      <w:pPr>
        <w:spacing w:after="0" w:line="256" w:lineRule="exact"/>
        <w:rPr>
          <w:sz w:val="20"/>
          <w:szCs w:val="20"/>
          <w:color w:val="auto"/>
        </w:rPr>
      </w:pPr>
    </w:p>
    <w:p>
      <w:pPr>
        <w:ind w:right="160" w:firstLine="345"/>
        <w:spacing w:after="0" w:line="262" w:lineRule="auto"/>
        <w:rPr>
          <w:sz w:val="20"/>
          <w:szCs w:val="20"/>
          <w:color w:val="auto"/>
        </w:rPr>
      </w:pPr>
      <w:r>
        <w:rPr>
          <w:rFonts w:ascii="Times New Roman" w:cs="Times New Roman" w:eastAsia="Times New Roman" w:hAnsi="Times New Roman"/>
          <w:sz w:val="19"/>
          <w:szCs w:val="19"/>
          <w:color w:val="auto"/>
        </w:rPr>
        <w:t>We participate in a vendor payment program sponsored by one of our customers. Eligible accounts receivable from this customer are included in the program and payment is received pursuant to a non-recourse sale to a bank partner. This program effectively reduces the time to collect these receivables as compared to that customer’s standard payment terms. We incur a discount fee to the bank on the payments received that is included as an expense component in miscellaneous expense, net in the table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17. Employee Benefit Plans</w:t>
      </w:r>
    </w:p>
    <w:p>
      <w:pPr>
        <w:spacing w:after="0" w:line="250" w:lineRule="exact"/>
        <w:rPr>
          <w:sz w:val="20"/>
          <w:szCs w:val="20"/>
          <w:color w:val="auto"/>
        </w:rPr>
      </w:pPr>
    </w:p>
    <w:p>
      <w:pPr>
        <w:ind w:right="60" w:firstLine="345"/>
        <w:spacing w:after="0" w:line="260" w:lineRule="auto"/>
        <w:rPr>
          <w:sz w:val="20"/>
          <w:szCs w:val="20"/>
          <w:color w:val="auto"/>
        </w:rPr>
      </w:pPr>
      <w:r>
        <w:rPr>
          <w:rFonts w:ascii="Times New Roman" w:cs="Times New Roman" w:eastAsia="Times New Roman" w:hAnsi="Times New Roman"/>
          <w:sz w:val="19"/>
          <w:szCs w:val="19"/>
          <w:color w:val="auto"/>
        </w:rPr>
        <w:t>We sponsor a defined contribution plan that provides retirement benefits to eligible employees who elect to participate (the “Dycom Plan”). Under the plan, participating employees may defer up to 75% of their base pre-tax eligible compensation up to the IRS limits. Prior to January 1, 2023, we contributed 30% of the first 5% of base eligible compensation that a participant contributes to the plan and may make discretionary matching contributions from time to time. Effective January 1, 2023, we increased our contribution to 50% of the first 6% of base eligible compensation. Our contributions were $12.3 million, $10.9 million, and $5.3 million related to fiscal 2025, fiscal 2024, and fiscal 2023, respectively.</w:t>
      </w:r>
    </w:p>
    <w:p>
      <w:pPr>
        <w:spacing w:after="0" w:line="193" w:lineRule="exact"/>
        <w:rPr>
          <w:sz w:val="20"/>
          <w:szCs w:val="20"/>
          <w:color w:val="auto"/>
        </w:rPr>
      </w:pPr>
    </w:p>
    <w:p>
      <w:pPr>
        <w:ind w:right="40" w:firstLine="345"/>
        <w:spacing w:after="0" w:line="265" w:lineRule="auto"/>
        <w:rPr>
          <w:sz w:val="20"/>
          <w:szCs w:val="20"/>
          <w:color w:val="auto"/>
        </w:rPr>
      </w:pPr>
      <w:r>
        <w:rPr>
          <w:rFonts w:ascii="Times New Roman" w:cs="Times New Roman" w:eastAsia="Times New Roman" w:hAnsi="Times New Roman"/>
          <w:sz w:val="19"/>
          <w:szCs w:val="19"/>
          <w:color w:val="auto"/>
        </w:rPr>
        <w:t>Certain of the Company’s subsidiaries contribute amounts to multiemployer defined benefit pension plans under the terms of collective bargaining agreements (“CBA”) that cover employees represented by unions. Contributions are generally based on fixed amounts per hour per employee for employees covered by the plan. Participating in a multiemployer plan entails risks different from single-employer plans in the following aspects:</w:t>
      </w:r>
    </w:p>
    <w:p>
      <w:pPr>
        <w:sectPr>
          <w:pgSz w:w="11880" w:h="15480" w:orient="portrait"/>
          <w:cols w:equalWidth="0" w:num="1">
            <w:col w:w="9840"/>
          </w:cols>
          <w:pgMar w:left="1000" w:top="89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254000</wp:posOffset>
            </wp:positionV>
            <wp:extent cx="76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1">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254000</wp:posOffset>
            </wp:positionV>
            <wp:extent cx="76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2">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40"/>
          </w:cols>
          <w:pgMar w:left="1000" w:top="891" w:right="1040" w:bottom="0" w:gutter="0" w:footer="0" w:header="0"/>
          <w:type w:val="continuous"/>
        </w:sectPr>
      </w:pPr>
    </w:p>
    <w:bookmarkStart w:id="74" w:name="page75"/>
    <w:bookmarkEnd w:id="74"/>
    <w:p>
      <w:pPr>
        <w:ind w:left="688" w:right="200" w:hanging="170"/>
        <w:spacing w:after="0" w:line="289" w:lineRule="auto"/>
        <w:tabs>
          <w:tab w:leader="none" w:pos="688"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t>assets contributed to the multiemployer plan by one employer may be used to provide benefits to employees of other participating employers;</w:t>
      </w:r>
    </w:p>
    <w:p>
      <w:pPr>
        <w:spacing w:after="0" w:line="164" w:lineRule="exact"/>
        <w:rPr>
          <w:rFonts w:ascii="Times New Roman" w:cs="Times New Roman" w:eastAsia="Times New Roman" w:hAnsi="Times New Roman"/>
          <w:sz w:val="19"/>
          <w:szCs w:val="19"/>
          <w:color w:val="auto"/>
        </w:rPr>
      </w:pPr>
    </w:p>
    <w:p>
      <w:pPr>
        <w:ind w:left="688" w:right="140" w:hanging="170"/>
        <w:spacing w:after="0" w:line="289" w:lineRule="auto"/>
        <w:tabs>
          <w:tab w:leader="none" w:pos="688"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participating employer stops contributing to the plan, the unfunded obligations of the plan may be allocated to the remaining participating employers; and</w:t>
      </w:r>
    </w:p>
    <w:p>
      <w:pPr>
        <w:spacing w:after="0" w:line="164" w:lineRule="exact"/>
        <w:rPr>
          <w:rFonts w:ascii="Times New Roman" w:cs="Times New Roman" w:eastAsia="Times New Roman" w:hAnsi="Times New Roman"/>
          <w:sz w:val="19"/>
          <w:szCs w:val="19"/>
          <w:color w:val="auto"/>
        </w:rPr>
      </w:pPr>
    </w:p>
    <w:p>
      <w:pPr>
        <w:ind w:left="688" w:right="20" w:hanging="170"/>
        <w:spacing w:after="0" w:line="289" w:lineRule="auto"/>
        <w:tabs>
          <w:tab w:leader="none" w:pos="688"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Company stops participating in the multiemployer plan, the Company may be required to pay the plan an amount based on the underfunded status of the plan. This payment is referred to as a withdrawal liability.</w:t>
      </w:r>
    </w:p>
    <w:p>
      <w:pPr>
        <w:spacing w:after="0" w:line="165" w:lineRule="exact"/>
        <w:rPr>
          <w:sz w:val="20"/>
          <w:szCs w:val="20"/>
          <w:color w:val="auto"/>
        </w:rPr>
      </w:pPr>
    </w:p>
    <w:p>
      <w:pPr>
        <w:ind w:left="8" w:right="140" w:firstLine="346"/>
        <w:spacing w:after="0" w:line="262" w:lineRule="auto"/>
        <w:rPr>
          <w:sz w:val="20"/>
          <w:szCs w:val="20"/>
          <w:color w:val="auto"/>
        </w:rPr>
      </w:pPr>
      <w:r>
        <w:rPr>
          <w:rFonts w:ascii="Times New Roman" w:cs="Times New Roman" w:eastAsia="Times New Roman" w:hAnsi="Times New Roman"/>
          <w:sz w:val="19"/>
          <w:szCs w:val="19"/>
          <w:color w:val="auto"/>
        </w:rPr>
        <w:t>The information available to us about the multiemployer plans in which we participate is generally dated due to the nature of the reporting cycle of multiemployer plans and legal requirements under the Employee Retirement Income Security Act (“ERISA”) as amended by the Multiemployer Pension Plan Amendments Act. Based upon the most recently available annual reports, our contribution to each of the plans was less than 5% of each plan’s total contributions. All plans are presented in the aggregate in the following table (dollars in thousands):</w:t>
      </w:r>
    </w:p>
    <w:p>
      <w:pPr>
        <w:spacing w:after="0" w:line="26" w:lineRule="exact"/>
        <w:rPr>
          <w:sz w:val="20"/>
          <w:szCs w:val="20"/>
          <w:color w:val="auto"/>
        </w:rPr>
      </w:pPr>
    </w:p>
    <w:tbl>
      <w:tblPr>
        <w:tblLayout w:type="fixed"/>
        <w:tblInd w:w="8" w:type="dxa"/>
        <w:tblCellMar>
          <w:top w:w="0" w:type="dxa"/>
          <w:left w:w="0" w:type="dxa"/>
          <w:bottom w:w="0" w:type="dxa"/>
          <w:right w:w="0" w:type="dxa"/>
        </w:tblCellMar>
      </w:tblPr>
      <w:tr>
        <w:trPr>
          <w:trHeight w:val="266"/>
        </w:trPr>
        <w:tc>
          <w:tcPr>
            <w:tcW w:w="5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7"/>
          </w:tcPr>
          <w:p>
            <w:pPr>
              <w:jc w:val="right"/>
              <w:ind w:right="384"/>
              <w:spacing w:after="0"/>
              <w:rPr>
                <w:sz w:val="20"/>
                <w:szCs w:val="20"/>
                <w:color w:val="auto"/>
              </w:rPr>
            </w:pPr>
            <w:r>
              <w:rPr>
                <w:rFonts w:ascii="Times New Roman" w:cs="Times New Roman" w:eastAsia="Times New Roman" w:hAnsi="Times New Roman"/>
                <w:sz w:val="19"/>
                <w:szCs w:val="19"/>
                <w:b w:val="1"/>
                <w:bCs w:val="1"/>
                <w:color w:val="auto"/>
              </w:rPr>
              <w:t>Company Contributions</w:t>
            </w: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center"/>
              <w:ind w:right="64"/>
              <w:spacing w:after="0" w:line="174" w:lineRule="exact"/>
              <w:rPr>
                <w:sz w:val="20"/>
                <w:szCs w:val="20"/>
                <w:color w:val="auto"/>
              </w:rPr>
            </w:pPr>
            <w:r>
              <w:rPr>
                <w:rFonts w:ascii="Times New Roman" w:cs="Times New Roman" w:eastAsia="Times New Roman" w:hAnsi="Times New Roman"/>
                <w:sz w:val="19"/>
                <w:szCs w:val="19"/>
                <w:b w:val="1"/>
                <w:bCs w:val="1"/>
                <w:color w:val="auto"/>
              </w:rPr>
              <w:t>Fiscal</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center"/>
              <w:ind w:right="84"/>
              <w:spacing w:after="0" w:line="174" w:lineRule="exact"/>
              <w:rPr>
                <w:sz w:val="20"/>
                <w:szCs w:val="20"/>
                <w:color w:val="auto"/>
              </w:rPr>
            </w:pPr>
            <w:r>
              <w:rPr>
                <w:rFonts w:ascii="Times New Roman" w:cs="Times New Roman" w:eastAsia="Times New Roman" w:hAnsi="Times New Roman"/>
                <w:sz w:val="19"/>
                <w:szCs w:val="19"/>
                <w:b w:val="1"/>
                <w:bCs w:val="1"/>
                <w:color w:val="auto"/>
              </w:rPr>
              <w:t>Fiscal</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center"/>
              <w:ind w:right="84"/>
              <w:spacing w:after="0" w:line="174" w:lineRule="exact"/>
              <w:rPr>
                <w:sz w:val="20"/>
                <w:szCs w:val="20"/>
                <w:color w:val="auto"/>
              </w:rPr>
            </w:pPr>
            <w:r>
              <w:rPr>
                <w:rFonts w:ascii="Times New Roman" w:cs="Times New Roman" w:eastAsia="Times New Roman" w:hAnsi="Times New Roman"/>
                <w:sz w:val="19"/>
                <w:szCs w:val="19"/>
                <w:b w:val="1"/>
                <w:bCs w:val="1"/>
                <w:color w:val="auto"/>
              </w:rPr>
              <w:t>Fiscal</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right="84"/>
              <w:spacing w:after="0" w:line="192" w:lineRule="exact"/>
              <w:rPr>
                <w:sz w:val="20"/>
                <w:szCs w:val="20"/>
                <w:color w:val="auto"/>
              </w:rPr>
            </w:pPr>
            <w:r>
              <w:rPr>
                <w:rFonts w:ascii="Times New Roman" w:cs="Times New Roman" w:eastAsia="Times New Roman" w:hAnsi="Times New Roman"/>
                <w:sz w:val="19"/>
                <w:szCs w:val="19"/>
                <w:b w:val="1"/>
                <w:bCs w:val="1"/>
                <w:color w:val="auto"/>
              </w:rPr>
              <w:t>Year</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center"/>
              <w:ind w:right="64"/>
              <w:spacing w:after="0" w:line="192" w:lineRule="exact"/>
              <w:rPr>
                <w:sz w:val="20"/>
                <w:szCs w:val="20"/>
                <w:color w:val="auto"/>
              </w:rPr>
            </w:pPr>
            <w:r>
              <w:rPr>
                <w:rFonts w:ascii="Times New Roman" w:cs="Times New Roman" w:eastAsia="Times New Roman" w:hAnsi="Times New Roman"/>
                <w:sz w:val="19"/>
                <w:szCs w:val="19"/>
                <w:b w:val="1"/>
                <w:bCs w:val="1"/>
                <w:color w:val="auto"/>
              </w:rPr>
              <w:t>Year</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center"/>
              <w:ind w:right="84"/>
              <w:spacing w:after="0" w:line="192" w:lineRule="exact"/>
              <w:rPr>
                <w:sz w:val="20"/>
                <w:szCs w:val="20"/>
                <w:color w:val="auto"/>
              </w:rPr>
            </w:pPr>
            <w:r>
              <w:rPr>
                <w:rFonts w:ascii="Times New Roman" w:cs="Times New Roman" w:eastAsia="Times New Roman" w:hAnsi="Times New Roman"/>
                <w:sz w:val="19"/>
                <w:szCs w:val="19"/>
                <w:b w:val="1"/>
                <w:bCs w:val="1"/>
                <w:color w:val="auto"/>
                <w:w w:val="99"/>
              </w:rPr>
              <w:t>Year</w:t>
            </w:r>
          </w:p>
        </w:tc>
        <w:tc>
          <w:tcPr>
            <w:tcW w:w="8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Expiration</w:t>
            </w:r>
          </w:p>
        </w:tc>
        <w:tc>
          <w:tcPr>
            <w:tcW w:w="0" w:type="dxa"/>
            <w:vAlign w:val="bottom"/>
          </w:tcPr>
          <w:p>
            <w:pPr>
              <w:spacing w:after="0"/>
              <w:rPr>
                <w:sz w:val="1"/>
                <w:szCs w:val="1"/>
                <w:color w:val="auto"/>
              </w:rPr>
            </w:pPr>
          </w:p>
        </w:tc>
      </w:tr>
      <w:tr>
        <w:trPr>
          <w:trHeight w:val="82"/>
        </w:trPr>
        <w:tc>
          <w:tcPr>
            <w:tcW w:w="5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vMerge w:val="restart"/>
          </w:tcPr>
          <w:p>
            <w:pPr>
              <w:jc w:val="center"/>
              <w:ind w:right="84"/>
              <w:spacing w:after="0"/>
              <w:rPr>
                <w:sz w:val="20"/>
                <w:szCs w:val="20"/>
                <w:color w:val="auto"/>
              </w:rPr>
            </w:pPr>
            <w:r>
              <w:rPr>
                <w:rFonts w:ascii="Times New Roman" w:cs="Times New Roman" w:eastAsia="Times New Roman" w:hAnsi="Times New Roman"/>
                <w:sz w:val="19"/>
                <w:szCs w:val="19"/>
                <w:b w:val="1"/>
                <w:bCs w:val="1"/>
                <w:color w:val="auto"/>
              </w:rPr>
              <w:t>Ended</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vMerge w:val="restart"/>
          </w:tcPr>
          <w:p>
            <w:pPr>
              <w:jc w:val="center"/>
              <w:ind w:right="64"/>
              <w:spacing w:after="0"/>
              <w:rPr>
                <w:sz w:val="20"/>
                <w:szCs w:val="20"/>
                <w:color w:val="auto"/>
              </w:rPr>
            </w:pPr>
            <w:r>
              <w:rPr>
                <w:rFonts w:ascii="Times New Roman" w:cs="Times New Roman" w:eastAsia="Times New Roman" w:hAnsi="Times New Roman"/>
                <w:sz w:val="19"/>
                <w:szCs w:val="19"/>
                <w:b w:val="1"/>
                <w:bCs w:val="1"/>
                <w:color w:val="auto"/>
              </w:rPr>
              <w:t>Ended</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vMerge w:val="restart"/>
          </w:tcPr>
          <w:p>
            <w:pPr>
              <w:jc w:val="center"/>
              <w:ind w:right="64"/>
              <w:spacing w:after="0"/>
              <w:rPr>
                <w:sz w:val="20"/>
                <w:szCs w:val="20"/>
                <w:color w:val="auto"/>
              </w:rPr>
            </w:pPr>
            <w:r>
              <w:rPr>
                <w:rFonts w:ascii="Times New Roman" w:cs="Times New Roman" w:eastAsia="Times New Roman" w:hAnsi="Times New Roman"/>
                <w:sz w:val="19"/>
                <w:szCs w:val="19"/>
                <w:b w:val="1"/>
                <w:bCs w:val="1"/>
                <w:color w:val="auto"/>
              </w:rPr>
              <w:t>Ended</w:t>
            </w: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5640" w:type="dxa"/>
            <w:vAlign w:val="bottom"/>
            <w:vMerge w:val="restart"/>
          </w:tcPr>
          <w:p>
            <w:pPr>
              <w:ind w:left="2600"/>
              <w:spacing w:after="0"/>
              <w:rPr>
                <w:sz w:val="20"/>
                <w:szCs w:val="20"/>
                <w:color w:val="auto"/>
              </w:rPr>
            </w:pPr>
            <w:r>
              <w:rPr>
                <w:rFonts w:ascii="Times New Roman" w:cs="Times New Roman" w:eastAsia="Times New Roman" w:hAnsi="Times New Roman"/>
                <w:sz w:val="19"/>
                <w:szCs w:val="19"/>
                <w:b w:val="1"/>
                <w:bCs w:val="1"/>
                <w:color w:val="auto"/>
              </w:rPr>
              <w:t>Fund</w:t>
            </w:r>
          </w:p>
        </w:tc>
        <w:tc>
          <w:tcPr>
            <w:tcW w:w="6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line="187" w:lineRule="exact"/>
              <w:rPr>
                <w:sz w:val="20"/>
                <w:szCs w:val="20"/>
                <w:color w:val="auto"/>
              </w:rPr>
            </w:pPr>
            <w:r>
              <w:rPr>
                <w:rFonts w:ascii="Times New Roman" w:cs="Times New Roman" w:eastAsia="Times New Roman" w:hAnsi="Times New Roman"/>
                <w:sz w:val="19"/>
                <w:szCs w:val="19"/>
                <w:b w:val="1"/>
                <w:bCs w:val="1"/>
                <w:color w:val="auto"/>
                <w:w w:val="98"/>
              </w:rPr>
              <w:t>Date of</w:t>
            </w:r>
          </w:p>
        </w:tc>
        <w:tc>
          <w:tcPr>
            <w:tcW w:w="0" w:type="dxa"/>
            <w:vAlign w:val="bottom"/>
          </w:tcPr>
          <w:p>
            <w:pPr>
              <w:spacing w:after="0"/>
              <w:rPr>
                <w:sz w:val="1"/>
                <w:szCs w:val="1"/>
                <w:color w:val="auto"/>
              </w:rPr>
            </w:pPr>
          </w:p>
        </w:tc>
      </w:tr>
      <w:tr>
        <w:trPr>
          <w:trHeight w:val="266"/>
        </w:trPr>
        <w:tc>
          <w:tcPr>
            <w:tcW w:w="5640" w:type="dxa"/>
            <w:vAlign w:val="bottom"/>
            <w:tcBorders>
              <w:bottom w:val="single" w:sz="8" w:color="auto"/>
            </w:tcBorders>
            <w:vMerge w:val="continue"/>
          </w:tcPr>
          <w:p>
            <w:pPr>
              <w:spacing w:after="0"/>
              <w:rPr>
                <w:sz w:val="23"/>
                <w:szCs w:val="23"/>
                <w:color w:val="auto"/>
              </w:rPr>
            </w:pPr>
          </w:p>
        </w:tc>
        <w:tc>
          <w:tcPr>
            <w:tcW w:w="60" w:type="dxa"/>
            <w:vAlign w:val="bottom"/>
            <w:tcBorders>
              <w:bottom w:val="single" w:sz="8" w:color="D5D5D5"/>
            </w:tcBorders>
            <w:vMerge w:val="continue"/>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9"/>
                <w:szCs w:val="19"/>
                <w:b w:val="1"/>
                <w:bCs w:val="1"/>
                <w:color w:val="auto"/>
                <w:w w:val="99"/>
              </w:rPr>
              <w:t>2025</w:t>
            </w:r>
          </w:p>
        </w:tc>
        <w:tc>
          <w:tcPr>
            <w:tcW w:w="60" w:type="dxa"/>
            <w:vAlign w:val="bottom"/>
            <w:tcBorders>
              <w:bottom w:val="single" w:sz="8" w:color="D5D5D5"/>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9"/>
                <w:szCs w:val="19"/>
                <w:b w:val="1"/>
                <w:bCs w:val="1"/>
                <w:color w:val="auto"/>
                <w:w w:val="99"/>
              </w:rPr>
              <w:t>2024</w:t>
            </w:r>
          </w:p>
        </w:tc>
        <w:tc>
          <w:tcPr>
            <w:tcW w:w="80" w:type="dxa"/>
            <w:vAlign w:val="bottom"/>
            <w:tcBorders>
              <w:bottom w:val="single" w:sz="8" w:color="D5D5D5"/>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9"/>
                <w:szCs w:val="19"/>
                <w:b w:val="1"/>
                <w:bCs w:val="1"/>
                <w:color w:val="auto"/>
                <w:w w:val="99"/>
              </w:rPr>
              <w:t>2023</w:t>
            </w:r>
          </w:p>
        </w:tc>
        <w:tc>
          <w:tcPr>
            <w:tcW w:w="80" w:type="dxa"/>
            <w:vAlign w:val="bottom"/>
            <w:tcBorders>
              <w:bottom w:val="single" w:sz="8" w:color="D5D5D5"/>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CBA</w:t>
            </w:r>
          </w:p>
        </w:tc>
        <w:tc>
          <w:tcPr>
            <w:tcW w:w="0" w:type="dxa"/>
            <w:vAlign w:val="bottom"/>
          </w:tcPr>
          <w:p>
            <w:pPr>
              <w:spacing w:after="0"/>
              <w:rPr>
                <w:sz w:val="1"/>
                <w:szCs w:val="1"/>
                <w:color w:val="auto"/>
              </w:rPr>
            </w:pPr>
          </w:p>
        </w:tc>
      </w:tr>
      <w:tr>
        <w:trPr>
          <w:trHeight w:val="269"/>
        </w:trPr>
        <w:tc>
          <w:tcPr>
            <w:tcW w:w="5700" w:type="dxa"/>
            <w:vAlign w:val="bottom"/>
            <w:gridSpan w:val="2"/>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All Plans</w:t>
            </w:r>
          </w:p>
        </w:tc>
        <w:tc>
          <w:tcPr>
            <w:tcW w:w="1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75</w:t>
            </w:r>
          </w:p>
        </w:tc>
        <w:tc>
          <w:tcPr>
            <w:tcW w:w="240" w:type="dxa"/>
            <w:vAlign w:val="bottom"/>
            <w:gridSpan w:val="2"/>
            <w:shd w:val="clear" w:color="auto" w:fill="D5D5D5"/>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68</w:t>
            </w:r>
          </w:p>
        </w:tc>
        <w:tc>
          <w:tcPr>
            <w:tcW w:w="260" w:type="dxa"/>
            <w:vAlign w:val="bottom"/>
            <w:gridSpan w:val="2"/>
            <w:shd w:val="clear" w:color="auto" w:fill="D5D5D5"/>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63</w:t>
            </w:r>
          </w:p>
        </w:tc>
        <w:tc>
          <w:tcPr>
            <w:tcW w:w="80" w:type="dxa"/>
            <w:vAlign w:val="bottom"/>
            <w:shd w:val="clear" w:color="auto" w:fill="D5D5D5"/>
          </w:tcPr>
          <w:p>
            <w:pPr>
              <w:spacing w:after="0"/>
              <w:rPr>
                <w:sz w:val="23"/>
                <w:szCs w:val="23"/>
                <w:color w:val="auto"/>
              </w:rPr>
            </w:pPr>
          </w:p>
        </w:tc>
        <w:tc>
          <w:tcPr>
            <w:tcW w:w="1020" w:type="dxa"/>
            <w:vAlign w:val="bottom"/>
            <w:shd w:val="clear" w:color="auto" w:fill="D5D5D5"/>
          </w:tcPr>
          <w:p>
            <w:pPr>
              <w:jc w:val="center"/>
              <w:spacing w:after="0"/>
              <w:rPr>
                <w:sz w:val="20"/>
                <w:szCs w:val="20"/>
                <w:color w:val="auto"/>
              </w:rPr>
            </w:pPr>
            <w:r>
              <w:rPr>
                <w:rFonts w:ascii="Times New Roman" w:cs="Times New Roman" w:eastAsia="Times New Roman" w:hAnsi="Times New Roman"/>
                <w:sz w:val="19"/>
                <w:szCs w:val="19"/>
                <w:color w:val="auto"/>
              </w:rPr>
              <w:t>Various</w:t>
            </w:r>
          </w:p>
        </w:tc>
        <w:tc>
          <w:tcPr>
            <w:tcW w:w="0" w:type="dxa"/>
            <w:vAlign w:val="bottom"/>
          </w:tcPr>
          <w:p>
            <w:pPr>
              <w:spacing w:after="0"/>
              <w:rPr>
                <w:sz w:val="1"/>
                <w:szCs w:val="1"/>
                <w:color w:val="auto"/>
              </w:rPr>
            </w:pPr>
          </w:p>
        </w:tc>
      </w:tr>
    </w:tbl>
    <w:p>
      <w:pPr>
        <w:spacing w:after="0" w:line="343" w:lineRule="exact"/>
        <w:rPr>
          <w:sz w:val="20"/>
          <w:szCs w:val="20"/>
          <w:color w:val="auto"/>
        </w:rPr>
      </w:pPr>
    </w:p>
    <w:p>
      <w:pPr>
        <w:jc w:val="both"/>
        <w:ind w:left="8" w:firstLine="346"/>
        <w:spacing w:after="0" w:line="249" w:lineRule="auto"/>
        <w:rPr>
          <w:sz w:val="20"/>
          <w:szCs w:val="20"/>
          <w:color w:val="auto"/>
        </w:rPr>
      </w:pPr>
      <w:r>
        <w:rPr>
          <w:rFonts w:ascii="Times New Roman" w:cs="Times New Roman" w:eastAsia="Times New Roman" w:hAnsi="Times New Roman"/>
          <w:sz w:val="19"/>
          <w:szCs w:val="19"/>
          <w:color w:val="auto"/>
        </w:rPr>
        <w:t>During the fourth quarter of fiscal 2016, one of the Company’s subsidiaries ceased operations. This subsidiary contributed to a multiemployer pension plan, the Pension, Hospitalization and Benefit Plan of the Electrical Industry - Pension Trust Fund (the “Plan”). In October 2016, the Plan demanded payment for a claimed withdrawal liability pursuant to its interpretation of ERISA. The subsidiary disputed, among other things, the amount of the withdrawal liability demanded by the Plan and submitted this dispute to arbitration, as required by ERISA. During the third quarter of fiscal 2025, the Company and the Plan reached an agreement to fully resolve this matter and there was no material financial impact to the Company.</w:t>
      </w:r>
    </w:p>
    <w:p>
      <w:pPr>
        <w:spacing w:after="0" w:line="1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b w:val="1"/>
          <w:bCs w:val="1"/>
          <w:i w:val="1"/>
          <w:iCs w:val="1"/>
          <w:color w:val="auto"/>
        </w:rPr>
        <w:t>18. Capital Stock</w:t>
      </w:r>
    </w:p>
    <w:p>
      <w:pPr>
        <w:spacing w:after="0" w:line="247" w:lineRule="exact"/>
        <w:rPr>
          <w:sz w:val="20"/>
          <w:szCs w:val="20"/>
          <w:color w:val="auto"/>
        </w:rPr>
      </w:pPr>
    </w:p>
    <w:p>
      <w:pPr>
        <w:ind w:left="8" w:right="220" w:firstLine="346"/>
        <w:spacing w:after="0" w:line="286"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Repurchases of Common Stock. </w:t>
      </w:r>
      <w:r>
        <w:rPr>
          <w:rFonts w:ascii="Times New Roman" w:cs="Times New Roman" w:eastAsia="Times New Roman" w:hAnsi="Times New Roman"/>
          <w:sz w:val="19"/>
          <w:szCs w:val="19"/>
          <w:color w:val="auto"/>
        </w:rPr>
        <w:t>The Company made the following repurchases during fiscal 2025, fiscal 2024, and fiscal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2023 (all shares repurchased have been canceled).</w:t>
      </w:r>
    </w:p>
    <w:tbl>
      <w:tblPr>
        <w:tblLayout w:type="fixed"/>
        <w:tblInd w:w="8"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1720" w:type="dxa"/>
            <w:vAlign w:val="bottom"/>
            <w:vMerge w:val="restart"/>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Number of Shares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center"/>
              <w:ind w:right="124"/>
              <w:spacing w:after="0" w:line="197" w:lineRule="exact"/>
              <w:rPr>
                <w:sz w:val="20"/>
                <w:szCs w:val="20"/>
                <w:color w:val="auto"/>
              </w:rPr>
            </w:pPr>
            <w:r>
              <w:rPr>
                <w:rFonts w:ascii="Times New Roman" w:cs="Times New Roman" w:eastAsia="Times New Roman" w:hAnsi="Times New Roman"/>
                <w:sz w:val="19"/>
                <w:szCs w:val="19"/>
                <w:b w:val="1"/>
                <w:bCs w:val="1"/>
                <w:color w:val="auto"/>
              </w:rPr>
              <w:t>Total</w:t>
            </w:r>
          </w:p>
        </w:tc>
        <w:tc>
          <w:tcPr>
            <w:tcW w:w="80" w:type="dxa"/>
            <w:vAlign w:val="bottom"/>
          </w:tcPr>
          <w:p>
            <w:pPr>
              <w:spacing w:after="0"/>
              <w:rPr>
                <w:sz w:val="17"/>
                <w:szCs w:val="17"/>
                <w:color w:val="auto"/>
              </w:rPr>
            </w:pPr>
          </w:p>
        </w:tc>
        <w:tc>
          <w:tcPr>
            <w:tcW w:w="170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Average Price Per</w:t>
            </w:r>
          </w:p>
        </w:tc>
        <w:tc>
          <w:tcPr>
            <w:tcW w:w="0" w:type="dxa"/>
            <w:vAlign w:val="bottom"/>
          </w:tcPr>
          <w:p>
            <w:pPr>
              <w:spacing w:after="0"/>
              <w:rPr>
                <w:sz w:val="1"/>
                <w:szCs w:val="1"/>
                <w:color w:val="auto"/>
              </w:rPr>
            </w:pPr>
          </w:p>
        </w:tc>
      </w:tr>
      <w:tr>
        <w:trPr>
          <w:trHeight w:val="192"/>
        </w:trPr>
        <w:tc>
          <w:tcPr>
            <w:tcW w:w="4540" w:type="dxa"/>
            <w:vAlign w:val="bottom"/>
            <w:vMerge w:val="restart"/>
          </w:tcPr>
          <w:p>
            <w:pPr>
              <w:ind w:left="1960"/>
              <w:spacing w:after="0"/>
              <w:rPr>
                <w:sz w:val="20"/>
                <w:szCs w:val="20"/>
                <w:color w:val="auto"/>
              </w:rPr>
            </w:pPr>
            <w:r>
              <w:rPr>
                <w:rFonts w:ascii="Times New Roman" w:cs="Times New Roman" w:eastAsia="Times New Roman" w:hAnsi="Times New Roman"/>
                <w:sz w:val="19"/>
                <w:szCs w:val="19"/>
                <w:b w:val="1"/>
                <w:bCs w:val="1"/>
                <w:color w:val="auto"/>
              </w:rPr>
              <w:t>Period</w:t>
            </w:r>
          </w:p>
        </w:tc>
        <w:tc>
          <w:tcPr>
            <w:tcW w:w="1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center"/>
              <w:ind w:right="124"/>
              <w:spacing w:after="0" w:line="192" w:lineRule="exact"/>
              <w:rPr>
                <w:sz w:val="20"/>
                <w:szCs w:val="20"/>
                <w:color w:val="auto"/>
              </w:rPr>
            </w:pPr>
            <w:r>
              <w:rPr>
                <w:rFonts w:ascii="Times New Roman" w:cs="Times New Roman" w:eastAsia="Times New Roman" w:hAnsi="Times New Roman"/>
                <w:sz w:val="19"/>
                <w:szCs w:val="19"/>
                <w:b w:val="1"/>
                <w:bCs w:val="1"/>
                <w:color w:val="auto"/>
              </w:rPr>
              <w:t>Consideration</w:t>
            </w:r>
          </w:p>
        </w:tc>
        <w:tc>
          <w:tcPr>
            <w:tcW w:w="8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540" w:type="dxa"/>
            <w:vAlign w:val="bottom"/>
            <w:tcBorders>
              <w:bottom w:val="single" w:sz="8" w:color="D5D5D5"/>
            </w:tcBorders>
            <w:vMerge w:val="continue"/>
          </w:tcPr>
          <w:p>
            <w:pPr>
              <w:spacing w:after="0"/>
              <w:rPr>
                <w:sz w:val="22"/>
                <w:szCs w:val="22"/>
                <w:color w:val="auto"/>
              </w:rPr>
            </w:pPr>
          </w:p>
        </w:tc>
        <w:tc>
          <w:tcPr>
            <w:tcW w:w="17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9"/>
                <w:szCs w:val="19"/>
                <w:b w:val="1"/>
                <w:bCs w:val="1"/>
                <w:color w:val="auto"/>
              </w:rPr>
              <w:t>Repurchased</w:t>
            </w:r>
          </w:p>
        </w:tc>
        <w:tc>
          <w:tcPr>
            <w:tcW w:w="60" w:type="dxa"/>
            <w:vAlign w:val="bottom"/>
            <w:tcBorders>
              <w:bottom w:val="single" w:sz="8" w:color="D5D5D5"/>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9"/>
                <w:szCs w:val="19"/>
                <w:b w:val="1"/>
                <w:bCs w:val="1"/>
                <w:color w:val="auto"/>
              </w:rPr>
              <w:t>(In thousands)</w:t>
            </w:r>
          </w:p>
        </w:tc>
        <w:tc>
          <w:tcPr>
            <w:tcW w:w="80" w:type="dxa"/>
            <w:vAlign w:val="bottom"/>
            <w:tcBorders>
              <w:bottom w:val="single" w:sz="8" w:color="D5D5D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24"/>
              <w:spacing w:after="0" w:line="243" w:lineRule="exact"/>
              <w:rPr>
                <w:sz w:val="20"/>
                <w:szCs w:val="20"/>
                <w:color w:val="auto"/>
              </w:rPr>
            </w:pPr>
            <w:r>
              <w:rPr>
                <w:rFonts w:ascii="Times New Roman" w:cs="Times New Roman" w:eastAsia="Times New Roman" w:hAnsi="Times New Roman"/>
                <w:sz w:val="19"/>
                <w:szCs w:val="19"/>
                <w:b w:val="1"/>
                <w:bCs w:val="1"/>
                <w:color w:val="auto"/>
              </w:rPr>
              <w:t xml:space="preserve">Share </w:t>
            </w:r>
            <w:r>
              <w:rPr>
                <w:rFonts w:ascii="Times New Roman" w:cs="Times New Roman" w:eastAsia="Times New Roman" w:hAnsi="Times New Roman"/>
                <w:sz w:val="24"/>
                <w:szCs w:val="24"/>
                <w:b w:val="1"/>
                <w:bCs w:val="1"/>
                <w:color w:val="auto"/>
                <w:vertAlign w:val="superscript"/>
              </w:rPr>
              <w:t>(1)</w:t>
            </w:r>
          </w:p>
        </w:tc>
        <w:tc>
          <w:tcPr>
            <w:tcW w:w="0" w:type="dxa"/>
            <w:vAlign w:val="bottom"/>
          </w:tcPr>
          <w:p>
            <w:pPr>
              <w:spacing w:after="0"/>
              <w:rPr>
                <w:sz w:val="1"/>
                <w:szCs w:val="1"/>
                <w:color w:val="auto"/>
              </w:rPr>
            </w:pPr>
          </w:p>
        </w:tc>
      </w:tr>
      <w:tr>
        <w:trPr>
          <w:trHeight w:val="269"/>
        </w:trPr>
        <w:tc>
          <w:tcPr>
            <w:tcW w:w="454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Fiscal 2025</w:t>
            </w:r>
          </w:p>
        </w:tc>
        <w:tc>
          <w:tcPr>
            <w:tcW w:w="17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410,000</w:t>
            </w:r>
          </w:p>
        </w:tc>
        <w:tc>
          <w:tcPr>
            <w:tcW w:w="280" w:type="dxa"/>
            <w:vAlign w:val="bottom"/>
            <w:gridSpan w:val="2"/>
            <w:shd w:val="clear" w:color="auto" w:fill="D5D5D5"/>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65,640</w:t>
            </w:r>
          </w:p>
        </w:tc>
        <w:tc>
          <w:tcPr>
            <w:tcW w:w="400" w:type="dxa"/>
            <w:vAlign w:val="bottom"/>
            <w:gridSpan w:val="2"/>
            <w:shd w:val="clear" w:color="auto" w:fill="D5D5D5"/>
          </w:tcPr>
          <w:p>
            <w:pPr>
              <w:jc w:val="right"/>
              <w:ind w:right="84"/>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160.10</w:t>
            </w:r>
          </w:p>
        </w:tc>
        <w:tc>
          <w:tcPr>
            <w:tcW w:w="0" w:type="dxa"/>
            <w:vAlign w:val="bottom"/>
          </w:tcPr>
          <w:p>
            <w:pPr>
              <w:spacing w:after="0"/>
              <w:rPr>
                <w:sz w:val="1"/>
                <w:szCs w:val="1"/>
                <w:color w:val="auto"/>
              </w:rPr>
            </w:pPr>
          </w:p>
        </w:tc>
      </w:tr>
      <w:tr>
        <w:trPr>
          <w:trHeight w:val="282"/>
        </w:trPr>
        <w:tc>
          <w:tcPr>
            <w:tcW w:w="45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Fiscal 2024</w:t>
            </w:r>
          </w:p>
        </w:tc>
        <w:tc>
          <w:tcPr>
            <w:tcW w:w="1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485,000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49,659</w:t>
            </w:r>
          </w:p>
        </w:tc>
        <w:tc>
          <w:tcPr>
            <w:tcW w:w="400" w:type="dxa"/>
            <w:vAlign w:val="bottom"/>
            <w:gridSpan w:val="2"/>
          </w:tcPr>
          <w:p>
            <w:pPr>
              <w:jc w:val="right"/>
              <w:ind w:right="84"/>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102.39</w:t>
            </w:r>
          </w:p>
        </w:tc>
        <w:tc>
          <w:tcPr>
            <w:tcW w:w="0" w:type="dxa"/>
            <w:vAlign w:val="bottom"/>
          </w:tcPr>
          <w:p>
            <w:pPr>
              <w:spacing w:after="0"/>
              <w:rPr>
                <w:sz w:val="1"/>
                <w:szCs w:val="1"/>
                <w:color w:val="auto"/>
              </w:rPr>
            </w:pPr>
          </w:p>
        </w:tc>
      </w:tr>
      <w:tr>
        <w:trPr>
          <w:trHeight w:val="294"/>
        </w:trPr>
        <w:tc>
          <w:tcPr>
            <w:tcW w:w="454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Fiscal 2023</w:t>
            </w:r>
          </w:p>
        </w:tc>
        <w:tc>
          <w:tcPr>
            <w:tcW w:w="17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514,030</w:t>
            </w:r>
          </w:p>
        </w:tc>
        <w:tc>
          <w:tcPr>
            <w:tcW w:w="280" w:type="dxa"/>
            <w:vAlign w:val="bottom"/>
            <w:gridSpan w:val="2"/>
            <w:shd w:val="clear" w:color="auto" w:fill="D5D5D5"/>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48,732</w:t>
            </w:r>
          </w:p>
        </w:tc>
        <w:tc>
          <w:tcPr>
            <w:tcW w:w="400" w:type="dxa"/>
            <w:vAlign w:val="bottom"/>
            <w:gridSpan w:val="2"/>
            <w:shd w:val="clear" w:color="auto" w:fill="D5D5D5"/>
          </w:tcPr>
          <w:p>
            <w:pPr>
              <w:jc w:val="right"/>
              <w:ind w:right="84"/>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94.80</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88" w:hanging="188"/>
        <w:spacing w:after="0"/>
        <w:tabs>
          <w:tab w:leader="none" w:pos="188"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Average price paid per share excludes 1% excise tax on share repurchases.</w:t>
      </w:r>
    </w:p>
    <w:p>
      <w:pPr>
        <w:spacing w:after="0" w:line="229" w:lineRule="exact"/>
        <w:rPr>
          <w:sz w:val="20"/>
          <w:szCs w:val="20"/>
          <w:color w:val="auto"/>
        </w:rPr>
      </w:pPr>
    </w:p>
    <w:p>
      <w:pPr>
        <w:ind w:left="8" w:right="60" w:firstLine="346"/>
        <w:spacing w:after="0" w:line="260" w:lineRule="auto"/>
        <w:rPr>
          <w:sz w:val="20"/>
          <w:szCs w:val="20"/>
          <w:color w:val="auto"/>
        </w:rPr>
      </w:pPr>
      <w:r>
        <w:rPr>
          <w:rFonts w:ascii="Times New Roman" w:cs="Times New Roman" w:eastAsia="Times New Roman" w:hAnsi="Times New Roman"/>
          <w:sz w:val="19"/>
          <w:szCs w:val="19"/>
          <w:color w:val="auto"/>
        </w:rPr>
        <w:t>On August 23, 2023, the Company announced that its Board of Directors authorized a new $150.0 million program to repurchase shares of the Company’s outstanding common stock through February 2025 in open market or private transactions. During fiscal 2025 we repurchased 410,000 shares of common stock, at an average price of $160.10, for $65.6 million, including 200,000 shares of common stock, at an average price of $179.27, repurchased during the fourth quarter of fiscal 2025 for $35.9 million. During fiscal 2024, we repurchased 485,000 shares of our common stock, at an average price of $102.39, for $49.7 million. As of January 25, 2025, $55.0 million of the authorization remained available for repurchases.</w:t>
      </w:r>
    </w:p>
    <w:p>
      <w:pPr>
        <w:spacing w:after="0" w:line="193" w:lineRule="exact"/>
        <w:rPr>
          <w:sz w:val="20"/>
          <w:szCs w:val="20"/>
          <w:color w:val="auto"/>
        </w:rPr>
      </w:pPr>
    </w:p>
    <w:p>
      <w:pPr>
        <w:ind w:left="8" w:right="140" w:firstLine="346"/>
        <w:spacing w:after="0" w:line="262" w:lineRule="auto"/>
        <w:rPr>
          <w:sz w:val="20"/>
          <w:szCs w:val="20"/>
          <w:color w:val="auto"/>
        </w:rPr>
      </w:pPr>
      <w:r>
        <w:rPr>
          <w:rFonts w:ascii="Times New Roman" w:cs="Times New Roman" w:eastAsia="Times New Roman" w:hAnsi="Times New Roman"/>
          <w:sz w:val="19"/>
          <w:szCs w:val="19"/>
          <w:color w:val="auto"/>
        </w:rPr>
        <w:t xml:space="preserve">On March 2, 2022, the Company announced that its Board of Directors had authorized a $150.0 million program to repurchase shares of the Company’s outstanding common stock through August 2023 in open market or private transactions. During fiscal 2023, we repurchased 514,030 shares of our common stock, at an average price of $94.80, for $48.7 million. See Note 23, </w:t>
      </w:r>
      <w:r>
        <w:rPr>
          <w:rFonts w:ascii="Times New Roman" w:cs="Times New Roman" w:eastAsia="Times New Roman" w:hAnsi="Times New Roman"/>
          <w:sz w:val="19"/>
          <w:szCs w:val="19"/>
          <w:b w:val="1"/>
          <w:bCs w:val="1"/>
          <w:i w:val="1"/>
          <w:iCs w:val="1"/>
          <w:color w:val="auto"/>
        </w:rPr>
        <w:t>Subsequent Events</w:t>
      </w:r>
      <w:r>
        <w:rPr>
          <w:rFonts w:ascii="Times New Roman" w:cs="Times New Roman" w:eastAsia="Times New Roman" w:hAnsi="Times New Roman"/>
          <w:sz w:val="19"/>
          <w:szCs w:val="19"/>
          <w:color w:val="auto"/>
        </w:rPr>
        <w:t>, for information regarding a new authorization by the Company’s Board of Directors in February 2025.</w:t>
      </w:r>
    </w:p>
    <w:p>
      <w:pPr>
        <w:spacing w:after="0" w:line="187" w:lineRule="exact"/>
        <w:rPr>
          <w:sz w:val="20"/>
          <w:szCs w:val="20"/>
          <w:color w:val="auto"/>
        </w:rPr>
      </w:pPr>
    </w:p>
    <w:p>
      <w:pPr>
        <w:jc w:val="both"/>
        <w:ind w:left="8" w:right="160" w:firstLine="346"/>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Tax Withholdings. </w:t>
      </w:r>
      <w:r>
        <w:rPr>
          <w:rFonts w:ascii="Times New Roman" w:cs="Times New Roman" w:eastAsia="Times New Roman" w:hAnsi="Times New Roman"/>
          <w:sz w:val="18"/>
          <w:szCs w:val="18"/>
          <w:color w:val="auto"/>
        </w:rPr>
        <w:t>During fiscal 2025, fiscal 2024, and fiscal 2023, we withheld 117,465 shares, 103,910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and 59,018 shares, respectively, totaling $17.0 million, $9.9 million, and $5.8 million, respectively, to meet payroll tax withholding obligations arising from the vesting of restricted share units. In addition, during fiscal 2025, we withheld 105,825 shares totaling $18.6 million to meet payroll tax withholding obligations arising from the exercise of stock options. No shares</w:t>
      </w:r>
    </w:p>
    <w:p>
      <w:pPr>
        <w:sectPr>
          <w:pgSz w:w="11880" w:h="15480" w:orient="portrait"/>
          <w:cols w:equalWidth="0" w:num="1">
            <w:col w:w="9848"/>
          </w:cols>
          <w:pgMar w:left="1052" w:top="897" w:right="980" w:bottom="0" w:gutter="0" w:footer="0" w:header="0"/>
        </w:sectPr>
      </w:pPr>
    </w:p>
    <w:p>
      <w:pPr>
        <w:spacing w:after="0" w:line="290"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254000</wp:posOffset>
            </wp:positionV>
            <wp:extent cx="76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5">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6868160</wp:posOffset>
            </wp:positionH>
            <wp:positionV relativeFrom="paragraph">
              <wp:posOffset>254000</wp:posOffset>
            </wp:positionV>
            <wp:extent cx="76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6">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48"/>
          </w:cols>
          <w:pgMar w:left="1052" w:top="897" w:right="980" w:bottom="0" w:gutter="0" w:footer="0" w:header="0"/>
          <w:type w:val="continuous"/>
        </w:sectPr>
      </w:pPr>
    </w:p>
    <w:bookmarkStart w:id="75" w:name="page76"/>
    <w:bookmarkEnd w:id="75"/>
    <w:p>
      <w:pPr>
        <w:ind w:left="40" w:right="780"/>
        <w:spacing w:after="0" w:line="289"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t>were withheld during fiscal 2024 and fiscal 2023 related to the exercise of stock options. All shares withheld have been canceled. Shares of common stock withheld for tax withholdings do not reduce our total share repurchase authority.</w:t>
      </w:r>
    </w:p>
    <w:p>
      <w:pPr>
        <w:spacing w:after="0" w:line="165" w:lineRule="exact"/>
        <w:rPr>
          <w:sz w:val="20"/>
          <w:szCs w:val="20"/>
          <w:color w:val="auto"/>
        </w:rPr>
      </w:pPr>
    </w:p>
    <w:p>
      <w:pPr>
        <w:ind w:left="40" w:right="160" w:firstLine="346"/>
        <w:spacing w:after="0" w:line="265" w:lineRule="auto"/>
        <w:rPr>
          <w:sz w:val="20"/>
          <w:szCs w:val="20"/>
          <w:color w:val="auto"/>
        </w:rPr>
      </w:pPr>
      <w:r>
        <w:rPr>
          <w:rFonts w:ascii="Times New Roman" w:cs="Times New Roman" w:eastAsia="Times New Roman" w:hAnsi="Times New Roman"/>
          <w:sz w:val="19"/>
          <w:szCs w:val="19"/>
          <w:color w:val="auto"/>
        </w:rPr>
        <w:t>Upon cancellation of shares repurchased or withheld for tax withholdings, the excess over par value is recorded as a reduction of additional paid-in capital until the balance is reduced to zero, with any additional excess recorded as a reduction of retained earnings. During fiscal 2025, fiscal 2024, and fiscal 2023 $10.3 million, $3.9 million, and $2.3 million, respectively, was charged to retained earnings related to shares canceled during the fiscal year.</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19. Stock-Based Awards</w:t>
      </w:r>
    </w:p>
    <w:p>
      <w:pPr>
        <w:spacing w:after="0" w:line="250" w:lineRule="exact"/>
        <w:rPr>
          <w:sz w:val="20"/>
          <w:szCs w:val="20"/>
          <w:color w:val="auto"/>
        </w:rPr>
      </w:pPr>
    </w:p>
    <w:p>
      <w:pPr>
        <w:jc w:val="both"/>
        <w:ind w:left="40" w:right="340" w:firstLine="346"/>
        <w:spacing w:after="0" w:line="265" w:lineRule="auto"/>
        <w:rPr>
          <w:sz w:val="20"/>
          <w:szCs w:val="20"/>
          <w:color w:val="auto"/>
        </w:rPr>
      </w:pPr>
      <w:r>
        <w:rPr>
          <w:rFonts w:ascii="Times New Roman" w:cs="Times New Roman" w:eastAsia="Times New Roman" w:hAnsi="Times New Roman"/>
          <w:sz w:val="19"/>
          <w:szCs w:val="19"/>
          <w:color w:val="auto"/>
        </w:rPr>
        <w:t>We have outstanding stock-based awards under our 2012 Long-Term Incentive Plan, and 2017 Non-Employee Directors Equity Plan (collectively, the “Plans”). No further awards will be granted under the 2003 Long-Term Incentive Plan or 2007 Non-Employee Directors Equity Plan. As of January 25, 2025, the total number of shares available for grant under the Plans was 738,536.</w:t>
      </w:r>
    </w:p>
    <w:p>
      <w:pPr>
        <w:spacing w:after="0" w:line="187" w:lineRule="exact"/>
        <w:rPr>
          <w:sz w:val="20"/>
          <w:szCs w:val="20"/>
          <w:color w:val="auto"/>
        </w:rPr>
      </w:pPr>
    </w:p>
    <w:p>
      <w:pPr>
        <w:ind w:left="40" w:right="420" w:firstLine="346"/>
        <w:spacing w:after="0" w:line="271" w:lineRule="auto"/>
        <w:rPr>
          <w:sz w:val="20"/>
          <w:szCs w:val="20"/>
          <w:color w:val="auto"/>
        </w:rPr>
      </w:pPr>
      <w:r>
        <w:rPr>
          <w:rFonts w:ascii="Times New Roman" w:cs="Times New Roman" w:eastAsia="Times New Roman" w:hAnsi="Times New Roman"/>
          <w:sz w:val="19"/>
          <w:szCs w:val="19"/>
          <w:color w:val="auto"/>
        </w:rPr>
        <w:t>In June 2024, the Company announced its CEO succession plan and transition. In connection with this transition, the Company incurred approximately $11.4 million of incremental stock-based compensation modification expense through the former CEOs retirement date of November 30, 2024 related to previously issued equity awards.</w:t>
      </w:r>
    </w:p>
    <w:p>
      <w:pPr>
        <w:spacing w:after="0" w:line="181" w:lineRule="exact"/>
        <w:rPr>
          <w:sz w:val="20"/>
          <w:szCs w:val="20"/>
          <w:color w:val="auto"/>
        </w:rPr>
      </w:pPr>
    </w:p>
    <w:p>
      <w:pPr>
        <w:ind w:left="40" w:right="300" w:firstLine="346"/>
        <w:spacing w:after="0" w:line="289" w:lineRule="auto"/>
        <w:rPr>
          <w:sz w:val="20"/>
          <w:szCs w:val="20"/>
          <w:color w:val="auto"/>
        </w:rPr>
      </w:pPr>
      <w:r>
        <w:rPr>
          <w:rFonts w:ascii="Times New Roman" w:cs="Times New Roman" w:eastAsia="Times New Roman" w:hAnsi="Times New Roman"/>
          <w:sz w:val="19"/>
          <w:szCs w:val="19"/>
          <w:color w:val="auto"/>
        </w:rPr>
        <w:t>Stock-based compensation expense and the related tax benefit recognized during fiscal 2025, fiscal 2024, and fiscal 2023 were as follows (dollars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2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460" w:type="dxa"/>
            <w:vAlign w:val="bottom"/>
            <w:tcBorders>
              <w:bottom w:val="single" w:sz="8" w:color="auto"/>
            </w:tcBorders>
            <w:gridSpan w:val="6"/>
          </w:tcPr>
          <w:p>
            <w:pPr>
              <w:jc w:val="center"/>
              <w:ind w:left="524"/>
              <w:spacing w:after="0"/>
              <w:rPr>
                <w:sz w:val="20"/>
                <w:szCs w:val="20"/>
                <w:color w:val="auto"/>
              </w:rPr>
            </w:pPr>
            <w:r>
              <w:rPr>
                <w:rFonts w:ascii="Times New Roman" w:cs="Times New Roman" w:eastAsia="Times New Roman" w:hAnsi="Times New Roman"/>
                <w:sz w:val="19"/>
                <w:szCs w:val="19"/>
                <w:b w:val="1"/>
                <w:bCs w:val="1"/>
                <w:color w:val="auto"/>
              </w:rPr>
              <w:t>Fiscal Year Ended</w:t>
            </w:r>
          </w:p>
        </w:tc>
        <w:tc>
          <w:tcPr>
            <w:tcW w:w="8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180"/>
        </w:trPr>
        <w:tc>
          <w:tcPr>
            <w:tcW w:w="6260" w:type="dxa"/>
            <w:vAlign w:val="bottom"/>
          </w:tcPr>
          <w:p>
            <w:pPr>
              <w:spacing w:after="0"/>
              <w:rPr>
                <w:sz w:val="15"/>
                <w:szCs w:val="15"/>
                <w:color w:val="auto"/>
              </w:rPr>
            </w:pPr>
          </w:p>
        </w:tc>
        <w:tc>
          <w:tcPr>
            <w:tcW w:w="11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9"/>
                <w:szCs w:val="19"/>
                <w:b w:val="1"/>
                <w:bCs w:val="1"/>
                <w:color w:val="auto"/>
              </w:rPr>
              <w:t>January 25,</w:t>
            </w:r>
          </w:p>
        </w:tc>
        <w:tc>
          <w:tcPr>
            <w:tcW w:w="80" w:type="dxa"/>
            <w:vAlign w:val="bottom"/>
          </w:tcPr>
          <w:p>
            <w:pPr>
              <w:spacing w:after="0"/>
              <w:rPr>
                <w:sz w:val="15"/>
                <w:szCs w:val="15"/>
                <w:color w:val="auto"/>
              </w:rPr>
            </w:pP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9"/>
                <w:szCs w:val="19"/>
                <w:b w:val="1"/>
                <w:bCs w:val="1"/>
                <w:color w:val="auto"/>
                <w:w w:val="99"/>
              </w:rPr>
              <w:t>January 27,</w:t>
            </w:r>
          </w:p>
        </w:tc>
        <w:tc>
          <w:tcPr>
            <w:tcW w:w="60" w:type="dxa"/>
            <w:vAlign w:val="bottom"/>
          </w:tcPr>
          <w:p>
            <w:pPr>
              <w:spacing w:after="0"/>
              <w:rPr>
                <w:sz w:val="15"/>
                <w:szCs w:val="15"/>
                <w:color w:val="auto"/>
              </w:rPr>
            </w:pPr>
          </w:p>
        </w:tc>
        <w:tc>
          <w:tcPr>
            <w:tcW w:w="1160" w:type="dxa"/>
            <w:vAlign w:val="bottom"/>
            <w:gridSpan w:val="2"/>
          </w:tcPr>
          <w:p>
            <w:pPr>
              <w:jc w:val="right"/>
              <w:ind w:right="4"/>
              <w:spacing w:after="0" w:line="180" w:lineRule="exact"/>
              <w:rPr>
                <w:sz w:val="20"/>
                <w:szCs w:val="20"/>
                <w:color w:val="auto"/>
              </w:rPr>
            </w:pPr>
            <w:r>
              <w:rPr>
                <w:rFonts w:ascii="Times New Roman" w:cs="Times New Roman" w:eastAsia="Times New Roman" w:hAnsi="Times New Roman"/>
                <w:sz w:val="19"/>
                <w:szCs w:val="19"/>
                <w:b w:val="1"/>
                <w:bCs w:val="1"/>
                <w:color w:val="auto"/>
              </w:rPr>
              <w:t>January 28,</w:t>
            </w:r>
          </w:p>
        </w:tc>
        <w:tc>
          <w:tcPr>
            <w:tcW w:w="60" w:type="dxa"/>
            <w:vAlign w:val="bottom"/>
          </w:tcPr>
          <w:p>
            <w:pPr>
              <w:spacing w:after="0"/>
              <w:rPr>
                <w:sz w:val="15"/>
                <w:szCs w:val="15"/>
                <w:color w:val="auto"/>
              </w:rPr>
            </w:pPr>
          </w:p>
        </w:tc>
      </w:tr>
      <w:tr>
        <w:trPr>
          <w:trHeight w:val="261"/>
        </w:trPr>
        <w:tc>
          <w:tcPr>
            <w:tcW w:w="6260" w:type="dxa"/>
            <w:vAlign w:val="bottom"/>
            <w:tcBorders>
              <w:bottom w:val="single" w:sz="8" w:color="D5D5D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Borders>
              <w:bottom w:val="single" w:sz="8" w:color="D5D5D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9"/>
                <w:szCs w:val="19"/>
                <w:b w:val="1"/>
                <w:bCs w:val="1"/>
                <w:color w:val="auto"/>
                <w:w w:val="99"/>
              </w:rPr>
              <w:t>2024</w:t>
            </w:r>
          </w:p>
        </w:tc>
        <w:tc>
          <w:tcPr>
            <w:tcW w:w="60" w:type="dxa"/>
            <w:vAlign w:val="bottom"/>
            <w:tcBorders>
              <w:bottom w:val="single" w:sz="8" w:color="D5D5D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9"/>
                <w:szCs w:val="19"/>
                <w:b w:val="1"/>
                <w:bCs w:val="1"/>
                <w:color w:val="auto"/>
              </w:rPr>
              <w:t>2023</w:t>
            </w:r>
          </w:p>
        </w:tc>
        <w:tc>
          <w:tcPr>
            <w:tcW w:w="60" w:type="dxa"/>
            <w:vAlign w:val="bottom"/>
            <w:tcBorders>
              <w:bottom w:val="single" w:sz="8" w:color="D5D5D5"/>
            </w:tcBorders>
          </w:tcPr>
          <w:p>
            <w:pPr>
              <w:spacing w:after="0"/>
              <w:rPr>
                <w:sz w:val="22"/>
                <w:szCs w:val="22"/>
                <w:color w:val="auto"/>
              </w:rPr>
            </w:pPr>
          </w:p>
        </w:tc>
      </w:tr>
      <w:tr>
        <w:trPr>
          <w:trHeight w:val="269"/>
        </w:trPr>
        <w:tc>
          <w:tcPr>
            <w:tcW w:w="626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Stock-based compensation</w:t>
            </w:r>
          </w:p>
        </w:tc>
        <w:tc>
          <w:tcPr>
            <w:tcW w:w="260" w:type="dxa"/>
            <w:vAlign w:val="bottom"/>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40,320</w:t>
            </w:r>
          </w:p>
        </w:tc>
        <w:tc>
          <w:tcPr>
            <w:tcW w:w="340" w:type="dxa"/>
            <w:vAlign w:val="bottom"/>
            <w:gridSpan w:val="2"/>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25,457</w:t>
            </w:r>
          </w:p>
        </w:tc>
        <w:tc>
          <w:tcPr>
            <w:tcW w:w="340" w:type="dxa"/>
            <w:vAlign w:val="bottom"/>
            <w:gridSpan w:val="2"/>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17,927</w:t>
            </w:r>
          </w:p>
        </w:tc>
        <w:tc>
          <w:tcPr>
            <w:tcW w:w="60" w:type="dxa"/>
            <w:vAlign w:val="bottom"/>
            <w:shd w:val="clear" w:color="auto" w:fill="D5D5D5"/>
          </w:tcPr>
          <w:p>
            <w:pPr>
              <w:spacing w:after="0"/>
              <w:rPr>
                <w:sz w:val="23"/>
                <w:szCs w:val="23"/>
                <w:color w:val="auto"/>
              </w:rPr>
            </w:pPr>
          </w:p>
        </w:tc>
      </w:tr>
      <w:tr>
        <w:trPr>
          <w:trHeight w:val="276"/>
        </w:trPr>
        <w:tc>
          <w:tcPr>
            <w:tcW w:w="6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Income tax effect of stock-based compensation</w:t>
            </w:r>
          </w:p>
        </w:tc>
        <w:tc>
          <w:tcPr>
            <w:tcW w:w="2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9,718</w:t>
            </w:r>
          </w:p>
        </w:tc>
        <w:tc>
          <w:tcPr>
            <w:tcW w:w="34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6,302</w:t>
            </w:r>
          </w:p>
        </w:tc>
        <w:tc>
          <w:tcPr>
            <w:tcW w:w="34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4,433</w:t>
            </w:r>
          </w:p>
        </w:tc>
        <w:tc>
          <w:tcPr>
            <w:tcW w:w="60" w:type="dxa"/>
            <w:vAlign w:val="bottom"/>
          </w:tcPr>
          <w:p>
            <w:pPr>
              <w:spacing w:after="0"/>
              <w:rPr>
                <w:sz w:val="23"/>
                <w:szCs w:val="23"/>
                <w:color w:val="auto"/>
              </w:rPr>
            </w:pPr>
          </w:p>
        </w:tc>
      </w:tr>
    </w:tbl>
    <w:p>
      <w:pPr>
        <w:spacing w:after="0" w:line="317" w:lineRule="exact"/>
        <w:rPr>
          <w:sz w:val="20"/>
          <w:szCs w:val="20"/>
          <w:color w:val="auto"/>
        </w:rPr>
      </w:pPr>
    </w:p>
    <w:p>
      <w:pPr>
        <w:ind w:left="40" w:right="720" w:firstLine="346"/>
        <w:spacing w:after="0" w:line="289" w:lineRule="auto"/>
        <w:rPr>
          <w:sz w:val="20"/>
          <w:szCs w:val="20"/>
          <w:color w:val="auto"/>
        </w:rPr>
      </w:pPr>
      <w:r>
        <w:rPr>
          <w:rFonts w:ascii="Times New Roman" w:cs="Times New Roman" w:eastAsia="Times New Roman" w:hAnsi="Times New Roman"/>
          <w:sz w:val="19"/>
          <w:szCs w:val="19"/>
          <w:color w:val="auto"/>
        </w:rPr>
        <w:t>In addition, we realized approximately $9.8 million, $2.9 million, and $4.2 million of net excess tax benefits during fiscal 2025, fiscal 2024, and fiscal 2023, respectively.</w:t>
      </w:r>
    </w:p>
    <w:p>
      <w:pPr>
        <w:spacing w:after="0" w:line="165" w:lineRule="exact"/>
        <w:rPr>
          <w:sz w:val="20"/>
          <w:szCs w:val="20"/>
          <w:color w:val="auto"/>
        </w:rPr>
      </w:pPr>
    </w:p>
    <w:p>
      <w:pPr>
        <w:ind w:left="40" w:right="220" w:firstLine="346"/>
        <w:spacing w:after="0" w:line="260" w:lineRule="auto"/>
        <w:rPr>
          <w:sz w:val="20"/>
          <w:szCs w:val="20"/>
          <w:color w:val="auto"/>
        </w:rPr>
      </w:pPr>
      <w:r>
        <w:rPr>
          <w:rFonts w:ascii="Times New Roman" w:cs="Times New Roman" w:eastAsia="Times New Roman" w:hAnsi="Times New Roman"/>
          <w:sz w:val="19"/>
          <w:szCs w:val="19"/>
          <w:color w:val="auto"/>
        </w:rPr>
        <w:t>As of January 25, 2025, we had unrecognized compensation expense related to stock options, RSUs, and target Performance RSUs (based on the Company’s expected achievement of performance measures) of $1.3 million, $25.2 million, and $16.0 million, respectively. This expense will be recognized over a weighted-average number of years of 2.6, 2.7, and 1.3, respectively, based on the average remaining service periods for the awards. As of January 25, 2025, we may recognize an additional $12.7 million in compensation expense in future periods if the maximum number of Performance RSUs is earned based on certain performance measures being met.</w:t>
      </w:r>
    </w:p>
    <w:p>
      <w:pPr>
        <w:spacing w:after="0" w:line="193" w:lineRule="exact"/>
        <w:rPr>
          <w:sz w:val="20"/>
          <w:szCs w:val="20"/>
          <w:color w:val="auto"/>
        </w:rPr>
      </w:pPr>
    </w:p>
    <w:p>
      <w:pPr>
        <w:ind w:left="40" w:right="720" w:firstLine="346"/>
        <w:spacing w:after="0" w:line="289" w:lineRule="auto"/>
        <w:rPr>
          <w:sz w:val="20"/>
          <w:szCs w:val="20"/>
          <w:color w:val="auto"/>
        </w:rPr>
      </w:pPr>
      <w:r>
        <w:rPr>
          <w:rFonts w:ascii="Times New Roman" w:cs="Times New Roman" w:eastAsia="Times New Roman" w:hAnsi="Times New Roman"/>
          <w:sz w:val="19"/>
          <w:szCs w:val="19"/>
          <w:color w:val="auto"/>
        </w:rPr>
        <w:t>The following table summarizes the valuation of stock options and restricted share units granted during fiscal 2025, fiscal 2024, and fiscal 2023, and the significant valuation assumptions: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66"/>
        </w:trPr>
        <w:tc>
          <w:tcPr>
            <w:tcW w:w="62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9"/>
                <w:szCs w:val="19"/>
                <w:b w:val="1"/>
                <w:bCs w:val="1"/>
                <w:color w:val="auto"/>
              </w:rPr>
              <w:t>Fiscal Year Ended</w:t>
            </w:r>
          </w:p>
        </w:tc>
        <w:tc>
          <w:tcPr>
            <w:tcW w:w="6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180"/>
        </w:trPr>
        <w:tc>
          <w:tcPr>
            <w:tcW w:w="6260" w:type="dxa"/>
            <w:vAlign w:val="bottom"/>
          </w:tcPr>
          <w:p>
            <w:pPr>
              <w:spacing w:after="0"/>
              <w:rPr>
                <w:sz w:val="15"/>
                <w:szCs w:val="15"/>
                <w:color w:val="auto"/>
              </w:rPr>
            </w:pPr>
          </w:p>
        </w:tc>
        <w:tc>
          <w:tcPr>
            <w:tcW w:w="1160" w:type="dxa"/>
            <w:vAlign w:val="bottom"/>
            <w:gridSpan w:val="3"/>
          </w:tcPr>
          <w:p>
            <w:pPr>
              <w:jc w:val="right"/>
              <w:ind w:right="4"/>
              <w:spacing w:after="0" w:line="180" w:lineRule="exact"/>
              <w:rPr>
                <w:sz w:val="20"/>
                <w:szCs w:val="20"/>
                <w:color w:val="auto"/>
              </w:rPr>
            </w:pPr>
            <w:r>
              <w:rPr>
                <w:rFonts w:ascii="Times New Roman" w:cs="Times New Roman" w:eastAsia="Times New Roman" w:hAnsi="Times New Roman"/>
                <w:sz w:val="19"/>
                <w:szCs w:val="19"/>
                <w:b w:val="1"/>
                <w:bCs w:val="1"/>
                <w:color w:val="auto"/>
              </w:rPr>
              <w:t>January 25,</w:t>
            </w:r>
          </w:p>
        </w:tc>
        <w:tc>
          <w:tcPr>
            <w:tcW w:w="60" w:type="dxa"/>
            <w:vAlign w:val="bottom"/>
          </w:tcPr>
          <w:p>
            <w:pPr>
              <w:spacing w:after="0"/>
              <w:rPr>
                <w:sz w:val="15"/>
                <w:szCs w:val="15"/>
                <w:color w:val="auto"/>
              </w:rPr>
            </w:pPr>
          </w:p>
        </w:tc>
        <w:tc>
          <w:tcPr>
            <w:tcW w:w="116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9"/>
                <w:szCs w:val="19"/>
                <w:b w:val="1"/>
                <w:bCs w:val="1"/>
                <w:color w:val="auto"/>
                <w:w w:val="99"/>
              </w:rPr>
              <w:t>January 27,</w:t>
            </w:r>
          </w:p>
        </w:tc>
        <w:tc>
          <w:tcPr>
            <w:tcW w:w="60" w:type="dxa"/>
            <w:vAlign w:val="bottom"/>
          </w:tcPr>
          <w:p>
            <w:pPr>
              <w:spacing w:after="0"/>
              <w:rPr>
                <w:sz w:val="15"/>
                <w:szCs w:val="15"/>
                <w:color w:val="auto"/>
              </w:rPr>
            </w:pPr>
          </w:p>
        </w:tc>
        <w:tc>
          <w:tcPr>
            <w:tcW w:w="116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9"/>
                <w:szCs w:val="19"/>
                <w:b w:val="1"/>
                <w:bCs w:val="1"/>
                <w:color w:val="auto"/>
              </w:rPr>
              <w:t>January 28,</w:t>
            </w:r>
          </w:p>
        </w:tc>
        <w:tc>
          <w:tcPr>
            <w:tcW w:w="80" w:type="dxa"/>
            <w:vAlign w:val="bottom"/>
          </w:tcPr>
          <w:p>
            <w:pPr>
              <w:spacing w:after="0"/>
              <w:rPr>
                <w:sz w:val="15"/>
                <w:szCs w:val="15"/>
                <w:color w:val="auto"/>
              </w:rPr>
            </w:pPr>
          </w:p>
        </w:tc>
      </w:tr>
      <w:tr>
        <w:trPr>
          <w:trHeight w:val="261"/>
        </w:trPr>
        <w:tc>
          <w:tcPr>
            <w:tcW w:w="6260" w:type="dxa"/>
            <w:vAlign w:val="bottom"/>
            <w:tcBorders>
              <w:bottom w:val="single" w:sz="8" w:color="D5D5D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9"/>
                <w:szCs w:val="19"/>
                <w:b w:val="1"/>
                <w:bCs w:val="1"/>
                <w:color w:val="auto"/>
              </w:rPr>
              <w:t>2025</w:t>
            </w:r>
          </w:p>
        </w:tc>
        <w:tc>
          <w:tcPr>
            <w:tcW w:w="220" w:type="dxa"/>
            <w:vAlign w:val="bottom"/>
            <w:tcBorders>
              <w:bottom w:val="single" w:sz="8" w:color="auto"/>
            </w:tcBorders>
          </w:tcPr>
          <w:p>
            <w:pPr>
              <w:spacing w:after="0"/>
              <w:rPr>
                <w:sz w:val="22"/>
                <w:szCs w:val="22"/>
                <w:color w:val="auto"/>
              </w:rPr>
            </w:pPr>
          </w:p>
        </w:tc>
        <w:tc>
          <w:tcPr>
            <w:tcW w:w="60" w:type="dxa"/>
            <w:vAlign w:val="bottom"/>
            <w:tcBorders>
              <w:bottom w:val="single" w:sz="8" w:color="D5D5D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2024</w:t>
            </w:r>
          </w:p>
        </w:tc>
        <w:tc>
          <w:tcPr>
            <w:tcW w:w="200" w:type="dxa"/>
            <w:vAlign w:val="bottom"/>
            <w:tcBorders>
              <w:bottom w:val="single" w:sz="8" w:color="auto"/>
            </w:tcBorders>
          </w:tcPr>
          <w:p>
            <w:pPr>
              <w:spacing w:after="0"/>
              <w:rPr>
                <w:sz w:val="22"/>
                <w:szCs w:val="22"/>
                <w:color w:val="auto"/>
              </w:rPr>
            </w:pPr>
          </w:p>
        </w:tc>
        <w:tc>
          <w:tcPr>
            <w:tcW w:w="60" w:type="dxa"/>
            <w:vAlign w:val="bottom"/>
            <w:tcBorders>
              <w:bottom w:val="single" w:sz="8" w:color="D5D5D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9"/>
                <w:szCs w:val="19"/>
                <w:b w:val="1"/>
                <w:bCs w:val="1"/>
                <w:color w:val="auto"/>
              </w:rPr>
              <w:t>2023</w:t>
            </w:r>
          </w:p>
        </w:tc>
        <w:tc>
          <w:tcPr>
            <w:tcW w:w="200" w:type="dxa"/>
            <w:vAlign w:val="bottom"/>
            <w:tcBorders>
              <w:bottom w:val="single" w:sz="8" w:color="auto"/>
            </w:tcBorders>
          </w:tcPr>
          <w:p>
            <w:pPr>
              <w:spacing w:after="0"/>
              <w:rPr>
                <w:sz w:val="22"/>
                <w:szCs w:val="22"/>
                <w:color w:val="auto"/>
              </w:rPr>
            </w:pPr>
          </w:p>
        </w:tc>
        <w:tc>
          <w:tcPr>
            <w:tcW w:w="80" w:type="dxa"/>
            <w:vAlign w:val="bottom"/>
            <w:tcBorders>
              <w:bottom w:val="single" w:sz="8" w:color="D5D5D5"/>
            </w:tcBorders>
          </w:tcPr>
          <w:p>
            <w:pPr>
              <w:spacing w:after="0"/>
              <w:rPr>
                <w:sz w:val="22"/>
                <w:szCs w:val="22"/>
                <w:color w:val="auto"/>
              </w:rPr>
            </w:pPr>
          </w:p>
        </w:tc>
      </w:tr>
      <w:tr>
        <w:trPr>
          <w:trHeight w:val="269"/>
        </w:trPr>
        <w:tc>
          <w:tcPr>
            <w:tcW w:w="626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Weighted average fair value of RSUs granted</w:t>
            </w:r>
          </w:p>
        </w:tc>
        <w:tc>
          <w:tcPr>
            <w:tcW w:w="260" w:type="dxa"/>
            <w:vAlign w:val="bottom"/>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154.13</w:t>
            </w:r>
          </w:p>
        </w:tc>
        <w:tc>
          <w:tcPr>
            <w:tcW w:w="220" w:type="dxa"/>
            <w:vAlign w:val="bottom"/>
            <w:shd w:val="clear" w:color="auto" w:fill="D5D5D5"/>
          </w:tcPr>
          <w:p>
            <w:pPr>
              <w:spacing w:after="0"/>
              <w:rPr>
                <w:sz w:val="23"/>
                <w:szCs w:val="23"/>
                <w:color w:val="auto"/>
              </w:rPr>
            </w:pPr>
          </w:p>
        </w:tc>
        <w:tc>
          <w:tcPr>
            <w:tcW w:w="340" w:type="dxa"/>
            <w:vAlign w:val="bottom"/>
            <w:gridSpan w:val="2"/>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95.23</w:t>
            </w:r>
          </w:p>
        </w:tc>
        <w:tc>
          <w:tcPr>
            <w:tcW w:w="200" w:type="dxa"/>
            <w:vAlign w:val="bottom"/>
            <w:shd w:val="clear" w:color="auto" w:fill="D5D5D5"/>
          </w:tcPr>
          <w:p>
            <w:pPr>
              <w:spacing w:after="0"/>
              <w:rPr>
                <w:sz w:val="23"/>
                <w:szCs w:val="23"/>
                <w:color w:val="auto"/>
              </w:rPr>
            </w:pPr>
          </w:p>
        </w:tc>
        <w:tc>
          <w:tcPr>
            <w:tcW w:w="340" w:type="dxa"/>
            <w:vAlign w:val="bottom"/>
            <w:gridSpan w:val="2"/>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96.81</w:t>
            </w:r>
          </w:p>
        </w:tc>
        <w:tc>
          <w:tcPr>
            <w:tcW w:w="200" w:type="dxa"/>
            <w:vAlign w:val="bottom"/>
            <w:shd w:val="clear" w:color="auto" w:fill="D5D5D5"/>
          </w:tcPr>
          <w:p>
            <w:pPr>
              <w:spacing w:after="0"/>
              <w:rPr>
                <w:sz w:val="23"/>
                <w:szCs w:val="23"/>
                <w:color w:val="auto"/>
              </w:rPr>
            </w:pPr>
          </w:p>
        </w:tc>
        <w:tc>
          <w:tcPr>
            <w:tcW w:w="80" w:type="dxa"/>
            <w:vAlign w:val="bottom"/>
            <w:shd w:val="clear" w:color="auto" w:fill="D5D5D5"/>
          </w:tcPr>
          <w:p>
            <w:pPr>
              <w:spacing w:after="0"/>
              <w:rPr>
                <w:sz w:val="23"/>
                <w:szCs w:val="23"/>
                <w:color w:val="auto"/>
              </w:rPr>
            </w:pPr>
          </w:p>
        </w:tc>
      </w:tr>
      <w:tr>
        <w:trPr>
          <w:trHeight w:val="282"/>
        </w:trPr>
        <w:tc>
          <w:tcPr>
            <w:tcW w:w="6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Weighted average fair value of Performance RSUs granted</w:t>
            </w:r>
          </w:p>
        </w:tc>
        <w:tc>
          <w:tcPr>
            <w:tcW w:w="2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141.28</w:t>
            </w:r>
          </w:p>
        </w:tc>
        <w:tc>
          <w:tcPr>
            <w:tcW w:w="220" w:type="dxa"/>
            <w:vAlign w:val="bottom"/>
          </w:tcPr>
          <w:p>
            <w:pPr>
              <w:spacing w:after="0"/>
              <w:rPr>
                <w:sz w:val="24"/>
                <w:szCs w:val="24"/>
                <w:color w:val="auto"/>
              </w:rPr>
            </w:pPr>
          </w:p>
        </w:tc>
        <w:tc>
          <w:tcPr>
            <w:tcW w:w="34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94.99</w:t>
            </w:r>
          </w:p>
        </w:tc>
        <w:tc>
          <w:tcPr>
            <w:tcW w:w="200" w:type="dxa"/>
            <w:vAlign w:val="bottom"/>
          </w:tcPr>
          <w:p>
            <w:pPr>
              <w:spacing w:after="0"/>
              <w:rPr>
                <w:sz w:val="24"/>
                <w:szCs w:val="24"/>
                <w:color w:val="auto"/>
              </w:rPr>
            </w:pPr>
          </w:p>
        </w:tc>
        <w:tc>
          <w:tcPr>
            <w:tcW w:w="34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97.49</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4"/>
        </w:trPr>
        <w:tc>
          <w:tcPr>
            <w:tcW w:w="626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Weighted average fair value of stock options granted</w:t>
            </w:r>
          </w:p>
        </w:tc>
        <w:tc>
          <w:tcPr>
            <w:tcW w:w="260" w:type="dxa"/>
            <w:vAlign w:val="bottom"/>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109.52</w:t>
            </w:r>
          </w:p>
        </w:tc>
        <w:tc>
          <w:tcPr>
            <w:tcW w:w="220" w:type="dxa"/>
            <w:vAlign w:val="bottom"/>
            <w:shd w:val="clear" w:color="auto" w:fill="D5D5D5"/>
          </w:tcPr>
          <w:p>
            <w:pPr>
              <w:spacing w:after="0"/>
              <w:rPr>
                <w:sz w:val="24"/>
                <w:szCs w:val="24"/>
                <w:color w:val="auto"/>
              </w:rPr>
            </w:pPr>
          </w:p>
        </w:tc>
        <w:tc>
          <w:tcPr>
            <w:tcW w:w="340" w:type="dxa"/>
            <w:vAlign w:val="bottom"/>
            <w:gridSpan w:val="2"/>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60.85</w:t>
            </w:r>
          </w:p>
        </w:tc>
        <w:tc>
          <w:tcPr>
            <w:tcW w:w="200" w:type="dxa"/>
            <w:vAlign w:val="bottom"/>
            <w:shd w:val="clear" w:color="auto" w:fill="D5D5D5"/>
          </w:tcPr>
          <w:p>
            <w:pPr>
              <w:spacing w:after="0"/>
              <w:rPr>
                <w:sz w:val="24"/>
                <w:szCs w:val="24"/>
                <w:color w:val="auto"/>
              </w:rPr>
            </w:pPr>
          </w:p>
        </w:tc>
        <w:tc>
          <w:tcPr>
            <w:tcW w:w="340" w:type="dxa"/>
            <w:vAlign w:val="bottom"/>
            <w:gridSpan w:val="2"/>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61.18</w:t>
            </w:r>
          </w:p>
        </w:tc>
        <w:tc>
          <w:tcPr>
            <w:tcW w:w="200" w:type="dxa"/>
            <w:vAlign w:val="bottom"/>
            <w:shd w:val="clear" w:color="auto" w:fill="D5D5D5"/>
          </w:tcPr>
          <w:p>
            <w:pPr>
              <w:spacing w:after="0"/>
              <w:rPr>
                <w:sz w:val="24"/>
                <w:szCs w:val="24"/>
                <w:color w:val="auto"/>
              </w:rPr>
            </w:pPr>
          </w:p>
        </w:tc>
        <w:tc>
          <w:tcPr>
            <w:tcW w:w="80" w:type="dxa"/>
            <w:vAlign w:val="bottom"/>
            <w:shd w:val="clear" w:color="auto" w:fill="D5D5D5"/>
          </w:tcPr>
          <w:p>
            <w:pPr>
              <w:spacing w:after="0"/>
              <w:rPr>
                <w:sz w:val="24"/>
                <w:szCs w:val="24"/>
                <w:color w:val="auto"/>
              </w:rPr>
            </w:pPr>
          </w:p>
        </w:tc>
      </w:tr>
      <w:tr>
        <w:trPr>
          <w:trHeight w:val="282"/>
        </w:trPr>
        <w:tc>
          <w:tcPr>
            <w:tcW w:w="62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Stock option assumptions:</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4"/>
        </w:trPr>
        <w:tc>
          <w:tcPr>
            <w:tcW w:w="6260" w:type="dxa"/>
            <w:vAlign w:val="bottom"/>
            <w:shd w:val="clear" w:color="auto" w:fill="D5D5D5"/>
          </w:tcPr>
          <w:p>
            <w:pPr>
              <w:ind w:left="260"/>
              <w:spacing w:after="0"/>
              <w:rPr>
                <w:sz w:val="20"/>
                <w:szCs w:val="20"/>
                <w:color w:val="auto"/>
              </w:rPr>
            </w:pPr>
            <w:r>
              <w:rPr>
                <w:rFonts w:ascii="Times New Roman" w:cs="Times New Roman" w:eastAsia="Times New Roman" w:hAnsi="Times New Roman"/>
                <w:sz w:val="19"/>
                <w:szCs w:val="19"/>
                <w:color w:val="auto"/>
              </w:rPr>
              <w:t>Risk-free interest rate</w:t>
            </w:r>
          </w:p>
        </w:tc>
        <w:tc>
          <w:tcPr>
            <w:tcW w:w="260" w:type="dxa"/>
            <w:vAlign w:val="bottom"/>
            <w:shd w:val="clear" w:color="auto" w:fill="D5D5D5"/>
          </w:tcPr>
          <w:p>
            <w:pPr>
              <w:spacing w:after="0"/>
              <w:rPr>
                <w:sz w:val="24"/>
                <w:szCs w:val="24"/>
                <w:color w:val="auto"/>
              </w:rPr>
            </w:pPr>
          </w:p>
        </w:tc>
        <w:tc>
          <w:tcPr>
            <w:tcW w:w="6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2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D5D5D5"/>
          </w:tcPr>
          <w:p>
            <w:pPr>
              <w:spacing w:after="0"/>
              <w:rPr>
                <w:sz w:val="24"/>
                <w:szCs w:val="24"/>
                <w:color w:val="auto"/>
              </w:rPr>
            </w:pPr>
          </w:p>
        </w:tc>
        <w:tc>
          <w:tcPr>
            <w:tcW w:w="280" w:type="dxa"/>
            <w:vAlign w:val="bottom"/>
            <w:shd w:val="clear" w:color="auto" w:fill="D5D5D5"/>
          </w:tcPr>
          <w:p>
            <w:pPr>
              <w:spacing w:after="0"/>
              <w:rPr>
                <w:sz w:val="24"/>
                <w:szCs w:val="24"/>
                <w:color w:val="auto"/>
              </w:rPr>
            </w:pPr>
          </w:p>
        </w:tc>
        <w:tc>
          <w:tcPr>
            <w:tcW w:w="6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3.6</w:t>
            </w:r>
          </w:p>
        </w:tc>
        <w:tc>
          <w:tcPr>
            <w:tcW w:w="2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D5D5D5"/>
          </w:tcPr>
          <w:p>
            <w:pPr>
              <w:spacing w:after="0"/>
              <w:rPr>
                <w:sz w:val="24"/>
                <w:szCs w:val="24"/>
                <w:color w:val="auto"/>
              </w:rPr>
            </w:pPr>
          </w:p>
        </w:tc>
        <w:tc>
          <w:tcPr>
            <w:tcW w:w="280" w:type="dxa"/>
            <w:vAlign w:val="bottom"/>
            <w:shd w:val="clear" w:color="auto" w:fill="D5D5D5"/>
          </w:tcPr>
          <w:p>
            <w:pPr>
              <w:spacing w:after="0"/>
              <w:rPr>
                <w:sz w:val="24"/>
                <w:szCs w:val="24"/>
                <w:color w:val="auto"/>
              </w:rPr>
            </w:pPr>
          </w:p>
        </w:tc>
        <w:tc>
          <w:tcPr>
            <w:tcW w:w="6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2.4</w:t>
            </w:r>
          </w:p>
        </w:tc>
        <w:tc>
          <w:tcPr>
            <w:tcW w:w="2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shd w:val="clear" w:color="auto" w:fill="D5D5D5"/>
          </w:tcPr>
          <w:p>
            <w:pPr>
              <w:spacing w:after="0"/>
              <w:rPr>
                <w:sz w:val="24"/>
                <w:szCs w:val="24"/>
                <w:color w:val="auto"/>
              </w:rPr>
            </w:pPr>
          </w:p>
        </w:tc>
      </w:tr>
      <w:tr>
        <w:trPr>
          <w:trHeight w:val="282"/>
        </w:trPr>
        <w:tc>
          <w:tcPr>
            <w:tcW w:w="626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Expected life (in years)</w:t>
            </w:r>
          </w:p>
        </w:tc>
        <w:tc>
          <w:tcPr>
            <w:tcW w:w="2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8.9</w:t>
            </w:r>
          </w:p>
        </w:tc>
        <w:tc>
          <w:tcPr>
            <w:tcW w:w="80" w:type="dxa"/>
            <w:vAlign w:val="bottom"/>
          </w:tcPr>
          <w:p>
            <w:pPr>
              <w:spacing w:after="0"/>
              <w:rPr>
                <w:sz w:val="24"/>
                <w:szCs w:val="24"/>
                <w:color w:val="auto"/>
              </w:rPr>
            </w:pPr>
          </w:p>
        </w:tc>
      </w:tr>
      <w:tr>
        <w:trPr>
          <w:trHeight w:val="294"/>
        </w:trPr>
        <w:tc>
          <w:tcPr>
            <w:tcW w:w="6260" w:type="dxa"/>
            <w:vAlign w:val="bottom"/>
            <w:shd w:val="clear" w:color="auto" w:fill="D5D5D5"/>
          </w:tcPr>
          <w:p>
            <w:pPr>
              <w:ind w:left="260"/>
              <w:spacing w:after="0"/>
              <w:rPr>
                <w:sz w:val="20"/>
                <w:szCs w:val="20"/>
                <w:color w:val="auto"/>
              </w:rPr>
            </w:pPr>
            <w:r>
              <w:rPr>
                <w:rFonts w:ascii="Times New Roman" w:cs="Times New Roman" w:eastAsia="Times New Roman" w:hAnsi="Times New Roman"/>
                <w:sz w:val="19"/>
                <w:szCs w:val="19"/>
                <w:color w:val="auto"/>
              </w:rPr>
              <w:t>Expected volatility</w:t>
            </w:r>
          </w:p>
        </w:tc>
        <w:tc>
          <w:tcPr>
            <w:tcW w:w="260" w:type="dxa"/>
            <w:vAlign w:val="bottom"/>
            <w:shd w:val="clear" w:color="auto" w:fill="D5D5D5"/>
          </w:tcPr>
          <w:p>
            <w:pPr>
              <w:spacing w:after="0"/>
              <w:rPr>
                <w:sz w:val="24"/>
                <w:szCs w:val="24"/>
                <w:color w:val="auto"/>
              </w:rPr>
            </w:pPr>
          </w:p>
        </w:tc>
        <w:tc>
          <w:tcPr>
            <w:tcW w:w="90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56.2 %</w:t>
            </w:r>
          </w:p>
        </w:tc>
        <w:tc>
          <w:tcPr>
            <w:tcW w:w="60" w:type="dxa"/>
            <w:vAlign w:val="bottom"/>
            <w:shd w:val="clear" w:color="auto" w:fill="D5D5D5"/>
          </w:tcPr>
          <w:p>
            <w:pPr>
              <w:spacing w:after="0"/>
              <w:rPr>
                <w:sz w:val="24"/>
                <w:szCs w:val="24"/>
                <w:color w:val="auto"/>
              </w:rPr>
            </w:pPr>
          </w:p>
        </w:tc>
        <w:tc>
          <w:tcPr>
            <w:tcW w:w="280" w:type="dxa"/>
            <w:vAlign w:val="bottom"/>
            <w:shd w:val="clear" w:color="auto" w:fill="D5D5D5"/>
          </w:tcPr>
          <w:p>
            <w:pPr>
              <w:spacing w:after="0"/>
              <w:rPr>
                <w:sz w:val="24"/>
                <w:szCs w:val="24"/>
                <w:color w:val="auto"/>
              </w:rPr>
            </w:pPr>
          </w:p>
        </w:tc>
        <w:tc>
          <w:tcPr>
            <w:tcW w:w="88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57.2 %</w:t>
            </w:r>
          </w:p>
        </w:tc>
        <w:tc>
          <w:tcPr>
            <w:tcW w:w="60" w:type="dxa"/>
            <w:vAlign w:val="bottom"/>
            <w:shd w:val="clear" w:color="auto" w:fill="D5D5D5"/>
          </w:tcPr>
          <w:p>
            <w:pPr>
              <w:spacing w:after="0"/>
              <w:rPr>
                <w:sz w:val="24"/>
                <w:szCs w:val="24"/>
                <w:color w:val="auto"/>
              </w:rPr>
            </w:pPr>
          </w:p>
        </w:tc>
        <w:tc>
          <w:tcPr>
            <w:tcW w:w="280" w:type="dxa"/>
            <w:vAlign w:val="bottom"/>
            <w:shd w:val="clear" w:color="auto" w:fill="D5D5D5"/>
          </w:tcPr>
          <w:p>
            <w:pPr>
              <w:spacing w:after="0"/>
              <w:rPr>
                <w:sz w:val="24"/>
                <w:szCs w:val="24"/>
                <w:color w:val="auto"/>
              </w:rPr>
            </w:pPr>
          </w:p>
        </w:tc>
        <w:tc>
          <w:tcPr>
            <w:tcW w:w="88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54.2 %</w:t>
            </w:r>
          </w:p>
        </w:tc>
        <w:tc>
          <w:tcPr>
            <w:tcW w:w="80" w:type="dxa"/>
            <w:vAlign w:val="bottom"/>
            <w:shd w:val="clear" w:color="auto" w:fill="D5D5D5"/>
          </w:tcPr>
          <w:p>
            <w:pPr>
              <w:spacing w:after="0"/>
              <w:rPr>
                <w:sz w:val="24"/>
                <w:szCs w:val="24"/>
                <w:color w:val="auto"/>
              </w:rPr>
            </w:pPr>
          </w:p>
        </w:tc>
      </w:tr>
      <w:tr>
        <w:trPr>
          <w:trHeight w:val="276"/>
        </w:trPr>
        <w:tc>
          <w:tcPr>
            <w:tcW w:w="626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Expected dividends</w:t>
            </w:r>
          </w:p>
        </w:tc>
        <w:tc>
          <w:tcPr>
            <w:tcW w:w="2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pacing w:after="0" w:line="200" w:lineRule="exact"/>
        <w:rPr>
          <w:sz w:val="20"/>
          <w:szCs w:val="20"/>
          <w:color w:val="auto"/>
        </w:rPr>
      </w:pPr>
    </w:p>
    <w:p>
      <w:pPr>
        <w:sectPr>
          <w:pgSz w:w="11880" w:h="15480" w:orient="portrait"/>
          <w:cols w:equalWidth="0" w:num="1">
            <w:col w:w="9980"/>
          </w:cols>
          <w:pgMar w:left="1000" w:top="89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254000</wp:posOffset>
            </wp:positionV>
            <wp:extent cx="76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9">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254000</wp:posOffset>
            </wp:positionV>
            <wp:extent cx="76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0">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980"/>
          </w:cols>
          <w:pgMar w:left="1000" w:top="897" w:right="900" w:bottom="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55"/>
        </w:trPr>
        <w:tc>
          <w:tcPr>
            <w:tcW w:w="3500" w:type="dxa"/>
            <w:vAlign w:val="bottom"/>
          </w:tcPr>
          <w:p>
            <w:pPr>
              <w:ind w:left="340"/>
              <w:spacing w:after="0"/>
              <w:rPr>
                <w:sz w:val="20"/>
                <w:szCs w:val="20"/>
                <w:color w:val="auto"/>
              </w:rPr>
            </w:pPr>
            <w:r>
              <w:rPr>
                <w:rFonts w:ascii="Times New Roman" w:cs="Times New Roman" w:eastAsia="Times New Roman" w:hAnsi="Times New Roman"/>
                <w:sz w:val="19"/>
                <w:szCs w:val="19"/>
                <w:b w:val="1"/>
                <w:bCs w:val="1"/>
                <w:color w:val="auto"/>
              </w:rPr>
              <w:t>Stock Options</w:t>
            </w: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4"/>
        </w:trPr>
        <w:tc>
          <w:tcPr>
            <w:tcW w:w="6620" w:type="dxa"/>
            <w:vAlign w:val="bottom"/>
            <w:gridSpan w:val="5"/>
          </w:tcPr>
          <w:p>
            <w:pPr>
              <w:ind w:left="340"/>
              <w:spacing w:after="0"/>
              <w:rPr>
                <w:sz w:val="20"/>
                <w:szCs w:val="20"/>
                <w:color w:val="auto"/>
              </w:rPr>
            </w:pPr>
            <w:r>
              <w:rPr>
                <w:rFonts w:ascii="Times New Roman" w:cs="Times New Roman" w:eastAsia="Times New Roman" w:hAnsi="Times New Roman"/>
                <w:sz w:val="19"/>
                <w:szCs w:val="19"/>
                <w:color w:val="auto"/>
              </w:rPr>
              <w:t>The following table summarizes stock option award activity during fiscal 2025:</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350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9"/>
                <w:szCs w:val="19"/>
                <w:b w:val="1"/>
                <w:bCs w:val="1"/>
                <w:color w:val="auto"/>
              </w:rPr>
              <w:t>Stock Options</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5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rPr>
              <w:t>Weighted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vMerge w:val="restart"/>
          </w:tcPr>
          <w:p>
            <w:pPr>
              <w:jc w:val="right"/>
              <w:ind w:right="284"/>
              <w:spacing w:after="0"/>
              <w:rPr>
                <w:sz w:val="20"/>
                <w:szCs w:val="20"/>
                <w:color w:val="auto"/>
              </w:rPr>
            </w:pPr>
            <w:r>
              <w:rPr>
                <w:rFonts w:ascii="Times New Roman" w:cs="Times New Roman" w:eastAsia="Times New Roman" w:hAnsi="Times New Roman"/>
                <w:sz w:val="19"/>
                <w:szCs w:val="19"/>
                <w:b w:val="1"/>
                <w:bCs w:val="1"/>
                <w:color w:val="auto"/>
              </w:rPr>
              <w:t>Weighted</w:t>
            </w:r>
          </w:p>
        </w:tc>
        <w:tc>
          <w:tcPr>
            <w:tcW w:w="80" w:type="dxa"/>
            <w:vAlign w:val="bottom"/>
          </w:tcPr>
          <w:p>
            <w:pPr>
              <w:spacing w:after="0"/>
              <w:rPr>
                <w:sz w:val="16"/>
                <w:szCs w:val="16"/>
                <w:color w:val="auto"/>
              </w:rPr>
            </w:pPr>
          </w:p>
        </w:tc>
        <w:tc>
          <w:tcPr>
            <w:tcW w:w="1600" w:type="dxa"/>
            <w:vAlign w:val="bottom"/>
          </w:tcPr>
          <w:p>
            <w:pPr>
              <w:jc w:val="center"/>
              <w:spacing w:after="0" w:line="192" w:lineRule="exact"/>
              <w:rPr>
                <w:sz w:val="20"/>
                <w:szCs w:val="20"/>
                <w:color w:val="auto"/>
              </w:rPr>
            </w:pPr>
            <w:r>
              <w:rPr>
                <w:rFonts w:ascii="Times New Roman" w:cs="Times New Roman" w:eastAsia="Times New Roman" w:hAnsi="Times New Roman"/>
                <w:sz w:val="19"/>
                <w:szCs w:val="19"/>
                <w:b w:val="1"/>
                <w:bCs w:val="1"/>
                <w:color w:val="auto"/>
              </w:rPr>
              <w:t>Average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vMerge w:val="restart"/>
          </w:tcPr>
          <w:p>
            <w:pPr>
              <w:jc w:val="center"/>
              <w:ind w:right="64"/>
              <w:spacing w:after="0"/>
              <w:rPr>
                <w:sz w:val="20"/>
                <w:szCs w:val="20"/>
                <w:color w:val="auto"/>
              </w:rPr>
            </w:pPr>
            <w:r>
              <w:rPr>
                <w:rFonts w:ascii="Times New Roman" w:cs="Times New Roman" w:eastAsia="Times New Roman" w:hAnsi="Times New Roman"/>
                <w:sz w:val="19"/>
                <w:szCs w:val="19"/>
                <w:b w:val="1"/>
                <w:bCs w:val="1"/>
                <w:color w:val="auto"/>
              </w:rPr>
              <w:t>Aggregate</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jc w:val="center"/>
              <w:spacing w:after="0" w:line="192" w:lineRule="exact"/>
              <w:rPr>
                <w:sz w:val="20"/>
                <w:szCs w:val="20"/>
                <w:color w:val="auto"/>
              </w:rPr>
            </w:pPr>
            <w:r>
              <w:rPr>
                <w:rFonts w:ascii="Times New Roman" w:cs="Times New Roman" w:eastAsia="Times New Roman" w:hAnsi="Times New Roman"/>
                <w:sz w:val="19"/>
                <w:szCs w:val="19"/>
                <w:b w:val="1"/>
                <w:bCs w:val="1"/>
                <w:color w:val="auto"/>
              </w:rPr>
              <w:t>Remaining</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1500" w:type="dxa"/>
            <w:vAlign w:val="bottom"/>
            <w:vMerge w:val="restart"/>
          </w:tcPr>
          <w:p>
            <w:pPr>
              <w:jc w:val="right"/>
              <w:ind w:right="364"/>
              <w:spacing w:after="0"/>
              <w:rPr>
                <w:sz w:val="20"/>
                <w:szCs w:val="20"/>
                <w:color w:val="auto"/>
              </w:rPr>
            </w:pPr>
            <w:r>
              <w:rPr>
                <w:rFonts w:ascii="Times New Roman" w:cs="Times New Roman" w:eastAsia="Times New Roman" w:hAnsi="Times New Roman"/>
                <w:sz w:val="19"/>
                <w:szCs w:val="19"/>
                <w:b w:val="1"/>
                <w:bCs w:val="1"/>
                <w:color w:val="auto"/>
              </w:rPr>
              <w:t>Shares</w:t>
            </w:r>
          </w:p>
        </w:tc>
        <w:tc>
          <w:tcPr>
            <w:tcW w:w="80" w:type="dxa"/>
            <w:vAlign w:val="bottom"/>
          </w:tcPr>
          <w:p>
            <w:pPr>
              <w:spacing w:after="0"/>
              <w:rPr>
                <w:sz w:val="16"/>
                <w:szCs w:val="16"/>
                <w:color w:val="auto"/>
              </w:rPr>
            </w:pPr>
          </w:p>
        </w:tc>
        <w:tc>
          <w:tcPr>
            <w:tcW w:w="1540" w:type="dxa"/>
            <w:vAlign w:val="bottom"/>
            <w:gridSpan w:val="2"/>
          </w:tcPr>
          <w:p>
            <w:pPr>
              <w:ind w:left="60"/>
              <w:spacing w:after="0" w:line="192" w:lineRule="exact"/>
              <w:rPr>
                <w:sz w:val="20"/>
                <w:szCs w:val="20"/>
                <w:color w:val="auto"/>
              </w:rPr>
            </w:pPr>
            <w:r>
              <w:rPr>
                <w:rFonts w:ascii="Times New Roman" w:cs="Times New Roman" w:eastAsia="Times New Roman" w:hAnsi="Times New Roman"/>
                <w:sz w:val="19"/>
                <w:szCs w:val="19"/>
                <w:b w:val="1"/>
                <w:bCs w:val="1"/>
                <w:color w:val="auto"/>
              </w:rPr>
              <w:t>Average Exercise</w:t>
            </w:r>
          </w:p>
        </w:tc>
        <w:tc>
          <w:tcPr>
            <w:tcW w:w="80" w:type="dxa"/>
            <w:vAlign w:val="bottom"/>
          </w:tcPr>
          <w:p>
            <w:pPr>
              <w:spacing w:after="0"/>
              <w:rPr>
                <w:sz w:val="16"/>
                <w:szCs w:val="16"/>
                <w:color w:val="auto"/>
              </w:rPr>
            </w:pPr>
          </w:p>
        </w:tc>
        <w:tc>
          <w:tcPr>
            <w:tcW w:w="1600" w:type="dxa"/>
            <w:vAlign w:val="bottom"/>
          </w:tcPr>
          <w:p>
            <w:pPr>
              <w:jc w:val="center"/>
              <w:spacing w:after="0" w:line="192" w:lineRule="exact"/>
              <w:rPr>
                <w:sz w:val="20"/>
                <w:szCs w:val="20"/>
                <w:color w:val="auto"/>
              </w:rPr>
            </w:pPr>
            <w:r>
              <w:rPr>
                <w:rFonts w:ascii="Times New Roman" w:cs="Times New Roman" w:eastAsia="Times New Roman" w:hAnsi="Times New Roman"/>
                <w:sz w:val="19"/>
                <w:szCs w:val="19"/>
                <w:b w:val="1"/>
                <w:bCs w:val="1"/>
                <w:color w:val="auto"/>
              </w:rPr>
              <w:t>Contractual Life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center"/>
              <w:ind w:right="44"/>
              <w:spacing w:after="0" w:line="192" w:lineRule="exact"/>
              <w:rPr>
                <w:sz w:val="20"/>
                <w:szCs w:val="20"/>
                <w:color w:val="auto"/>
              </w:rPr>
            </w:pPr>
            <w:r>
              <w:rPr>
                <w:rFonts w:ascii="Times New Roman" w:cs="Times New Roman" w:eastAsia="Times New Roman" w:hAnsi="Times New Roman"/>
                <w:sz w:val="19"/>
                <w:szCs w:val="19"/>
                <w:b w:val="1"/>
                <w:bCs w:val="1"/>
                <w:color w:val="auto"/>
              </w:rPr>
              <w:t>Intrinsic Value</w:t>
            </w:r>
          </w:p>
        </w:tc>
        <w:tc>
          <w:tcPr>
            <w:tcW w:w="0" w:type="dxa"/>
            <w:vAlign w:val="bottom"/>
          </w:tcPr>
          <w:p>
            <w:pPr>
              <w:spacing w:after="0"/>
              <w:rPr>
                <w:sz w:val="1"/>
                <w:szCs w:val="1"/>
                <w:color w:val="auto"/>
              </w:rPr>
            </w:pPr>
          </w:p>
        </w:tc>
      </w:tr>
      <w:tr>
        <w:trPr>
          <w:trHeight w:val="261"/>
        </w:trPr>
        <w:tc>
          <w:tcPr>
            <w:tcW w:w="3500" w:type="dxa"/>
            <w:vAlign w:val="bottom"/>
            <w:tcBorders>
              <w:bottom w:val="single" w:sz="8" w:color="D5D5D5"/>
            </w:tcBorders>
          </w:tcPr>
          <w:p>
            <w:pPr>
              <w:spacing w:after="0"/>
              <w:rPr>
                <w:sz w:val="22"/>
                <w:szCs w:val="22"/>
                <w:color w:val="auto"/>
              </w:rPr>
            </w:pPr>
          </w:p>
        </w:tc>
        <w:tc>
          <w:tcPr>
            <w:tcW w:w="15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D5D5D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9"/>
                <w:szCs w:val="19"/>
                <w:b w:val="1"/>
                <w:bCs w:val="1"/>
                <w:color w:val="auto"/>
              </w:rPr>
              <w:t>Price</w:t>
            </w:r>
          </w:p>
        </w:tc>
        <w:tc>
          <w:tcPr>
            <w:tcW w:w="80" w:type="dxa"/>
            <w:vAlign w:val="bottom"/>
            <w:tcBorders>
              <w:bottom w:val="single" w:sz="8" w:color="D5D5D5"/>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(In years)</w:t>
            </w:r>
          </w:p>
        </w:tc>
        <w:tc>
          <w:tcPr>
            <w:tcW w:w="80" w:type="dxa"/>
            <w:vAlign w:val="bottom"/>
            <w:tcBorders>
              <w:bottom w:val="single" w:sz="8" w:color="D5D5D5"/>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9"/>
                <w:szCs w:val="19"/>
                <w:b w:val="1"/>
                <w:bCs w:val="1"/>
                <w:color w:val="auto"/>
              </w:rPr>
              <w:t>(In thousands)</w:t>
            </w:r>
          </w:p>
        </w:tc>
        <w:tc>
          <w:tcPr>
            <w:tcW w:w="0" w:type="dxa"/>
            <w:vAlign w:val="bottom"/>
          </w:tcPr>
          <w:p>
            <w:pPr>
              <w:spacing w:after="0"/>
              <w:rPr>
                <w:sz w:val="1"/>
                <w:szCs w:val="1"/>
                <w:color w:val="auto"/>
              </w:rPr>
            </w:pPr>
          </w:p>
        </w:tc>
      </w:tr>
      <w:tr>
        <w:trPr>
          <w:trHeight w:val="269"/>
        </w:trPr>
        <w:tc>
          <w:tcPr>
            <w:tcW w:w="35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Outstanding as of January 27, 2024</w:t>
            </w:r>
          </w:p>
        </w:tc>
        <w:tc>
          <w:tcPr>
            <w:tcW w:w="15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264,125</w:t>
            </w:r>
          </w:p>
        </w:tc>
        <w:tc>
          <w:tcPr>
            <w:tcW w:w="34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70.18</w:t>
            </w:r>
          </w:p>
        </w:tc>
        <w:tc>
          <w:tcPr>
            <w:tcW w:w="80" w:type="dxa"/>
            <w:vAlign w:val="bottom"/>
            <w:shd w:val="clear" w:color="auto" w:fill="D5D5D5"/>
          </w:tcPr>
          <w:p>
            <w:pPr>
              <w:spacing w:after="0"/>
              <w:rPr>
                <w:sz w:val="23"/>
                <w:szCs w:val="23"/>
                <w:color w:val="auto"/>
              </w:rPr>
            </w:pPr>
          </w:p>
        </w:tc>
        <w:tc>
          <w:tcPr>
            <w:tcW w:w="1600" w:type="dxa"/>
            <w:vAlign w:val="bottom"/>
            <w:shd w:val="clear" w:color="auto" w:fill="D5D5D5"/>
          </w:tcPr>
          <w:p>
            <w:pPr>
              <w:spacing w:after="0"/>
              <w:rPr>
                <w:sz w:val="23"/>
                <w:szCs w:val="23"/>
                <w:color w:val="auto"/>
              </w:rPr>
            </w:pPr>
          </w:p>
        </w:tc>
        <w:tc>
          <w:tcPr>
            <w:tcW w:w="80" w:type="dxa"/>
            <w:vAlign w:val="bottom"/>
            <w:shd w:val="clear" w:color="auto" w:fill="D5D5D5"/>
          </w:tcPr>
          <w:p>
            <w:pPr>
              <w:spacing w:after="0"/>
              <w:rPr>
                <w:sz w:val="23"/>
                <w:szCs w:val="23"/>
                <w:color w:val="auto"/>
              </w:rPr>
            </w:pPr>
          </w:p>
        </w:tc>
        <w:tc>
          <w:tcPr>
            <w:tcW w:w="140" w:type="dxa"/>
            <w:vAlign w:val="bottom"/>
            <w:shd w:val="clear" w:color="auto" w:fill="D5D5D5"/>
          </w:tcPr>
          <w:p>
            <w:pPr>
              <w:spacing w:after="0"/>
              <w:rPr>
                <w:sz w:val="23"/>
                <w:szCs w:val="23"/>
                <w:color w:val="auto"/>
              </w:rPr>
            </w:pPr>
          </w:p>
        </w:tc>
        <w:tc>
          <w:tcPr>
            <w:tcW w:w="1400" w:type="dxa"/>
            <w:vAlign w:val="bottom"/>
            <w:shd w:val="clear" w:color="auto" w:fill="D5D5D5"/>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35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27,680</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141.28</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50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Options exercised</w:t>
            </w:r>
          </w:p>
        </w:tc>
        <w:tc>
          <w:tcPr>
            <w:tcW w:w="15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(180,494)</w:t>
            </w:r>
          </w:p>
        </w:tc>
        <w:tc>
          <w:tcPr>
            <w:tcW w:w="340" w:type="dxa"/>
            <w:vAlign w:val="bottom"/>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58.91</w:t>
            </w:r>
          </w:p>
        </w:tc>
        <w:tc>
          <w:tcPr>
            <w:tcW w:w="80" w:type="dxa"/>
            <w:vAlign w:val="bottom"/>
            <w:shd w:val="clear" w:color="auto" w:fill="D5D5D5"/>
          </w:tcPr>
          <w:p>
            <w:pPr>
              <w:spacing w:after="0"/>
              <w:rPr>
                <w:sz w:val="24"/>
                <w:szCs w:val="24"/>
                <w:color w:val="auto"/>
              </w:rPr>
            </w:pPr>
          </w:p>
        </w:tc>
        <w:tc>
          <w:tcPr>
            <w:tcW w:w="1600" w:type="dxa"/>
            <w:vAlign w:val="bottom"/>
            <w:shd w:val="clear" w:color="auto" w:fill="D5D5D5"/>
          </w:tcPr>
          <w:p>
            <w:pPr>
              <w:spacing w:after="0"/>
              <w:rPr>
                <w:sz w:val="24"/>
                <w:szCs w:val="24"/>
                <w:color w:val="auto"/>
              </w:rPr>
            </w:pPr>
          </w:p>
        </w:tc>
        <w:tc>
          <w:tcPr>
            <w:tcW w:w="80" w:type="dxa"/>
            <w:vAlign w:val="bottom"/>
            <w:shd w:val="clear" w:color="auto" w:fill="D5D5D5"/>
          </w:tcPr>
          <w:p>
            <w:pPr>
              <w:spacing w:after="0"/>
              <w:rPr>
                <w:sz w:val="24"/>
                <w:szCs w:val="24"/>
                <w:color w:val="auto"/>
              </w:rPr>
            </w:pPr>
          </w:p>
        </w:tc>
        <w:tc>
          <w:tcPr>
            <w:tcW w:w="140" w:type="dxa"/>
            <w:vAlign w:val="bottom"/>
            <w:shd w:val="clear" w:color="auto" w:fill="D5D5D5"/>
          </w:tcPr>
          <w:p>
            <w:pPr>
              <w:spacing w:after="0"/>
              <w:rPr>
                <w:sz w:val="24"/>
                <w:szCs w:val="24"/>
                <w:color w:val="auto"/>
              </w:rPr>
            </w:pPr>
          </w:p>
        </w:tc>
        <w:tc>
          <w:tcPr>
            <w:tcW w:w="140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500" w:type="dxa"/>
            <w:vAlign w:val="bottom"/>
            <w:tcBorders>
              <w:bottom w:val="single" w:sz="8" w:color="D5D5D5"/>
            </w:tcBorders>
          </w:tcPr>
          <w:p>
            <w:pPr>
              <w:ind w:left="40"/>
              <w:spacing w:after="0"/>
              <w:rPr>
                <w:sz w:val="20"/>
                <w:szCs w:val="20"/>
                <w:color w:val="auto"/>
              </w:rPr>
            </w:pPr>
            <w:r>
              <w:rPr>
                <w:rFonts w:ascii="Times New Roman" w:cs="Times New Roman" w:eastAsia="Times New Roman" w:hAnsi="Times New Roman"/>
                <w:sz w:val="19"/>
                <w:szCs w:val="19"/>
                <w:color w:val="auto"/>
              </w:rPr>
              <w:t>Canceled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40" w:type="dxa"/>
            <w:vAlign w:val="bottom"/>
            <w:tcBorders>
              <w:bottom w:val="single" w:sz="8" w:color="D5D5D5"/>
            </w:tcBorders>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bottom w:val="single" w:sz="8" w:color="D5D5D5"/>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bottom w:val="single" w:sz="8" w:color="D5D5D5"/>
            </w:tcBorders>
          </w:tcPr>
          <w:p>
            <w:pPr>
              <w:spacing w:after="0"/>
              <w:rPr>
                <w:sz w:val="24"/>
                <w:szCs w:val="24"/>
                <w:color w:val="auto"/>
              </w:rPr>
            </w:pPr>
          </w:p>
        </w:tc>
        <w:tc>
          <w:tcPr>
            <w:tcW w:w="1600" w:type="dxa"/>
            <w:vAlign w:val="bottom"/>
            <w:tcBorders>
              <w:bottom w:val="single" w:sz="8" w:color="D5D5D5"/>
            </w:tcBorders>
          </w:tcPr>
          <w:p>
            <w:pPr>
              <w:spacing w:after="0"/>
              <w:rPr>
                <w:sz w:val="24"/>
                <w:szCs w:val="24"/>
                <w:color w:val="auto"/>
              </w:rPr>
            </w:pPr>
          </w:p>
        </w:tc>
        <w:tc>
          <w:tcPr>
            <w:tcW w:w="80" w:type="dxa"/>
            <w:vAlign w:val="bottom"/>
            <w:tcBorders>
              <w:bottom w:val="single" w:sz="8" w:color="D5D5D5"/>
            </w:tcBorders>
          </w:tcPr>
          <w:p>
            <w:pPr>
              <w:spacing w:after="0"/>
              <w:rPr>
                <w:sz w:val="24"/>
                <w:szCs w:val="24"/>
                <w:color w:val="auto"/>
              </w:rPr>
            </w:pPr>
          </w:p>
        </w:tc>
        <w:tc>
          <w:tcPr>
            <w:tcW w:w="140" w:type="dxa"/>
            <w:vAlign w:val="bottom"/>
            <w:tcBorders>
              <w:bottom w:val="single" w:sz="8" w:color="D5D5D5"/>
            </w:tcBorders>
          </w:tcPr>
          <w:p>
            <w:pPr>
              <w:spacing w:after="0"/>
              <w:rPr>
                <w:sz w:val="24"/>
                <w:szCs w:val="24"/>
                <w:color w:val="auto"/>
              </w:rPr>
            </w:pPr>
          </w:p>
        </w:tc>
        <w:tc>
          <w:tcPr>
            <w:tcW w:w="1400" w:type="dxa"/>
            <w:vAlign w:val="bottom"/>
            <w:tcBorders>
              <w:bottom w:val="single" w:sz="8" w:color="D5D5D5"/>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500" w:type="dxa"/>
            <w:vAlign w:val="bottom"/>
            <w:tcBorders>
              <w:bottom w:val="single" w:sz="8" w:color="D5D5D5"/>
            </w:tcBorders>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Outstanding as of January 25, 2025</w:t>
            </w:r>
          </w:p>
        </w:tc>
        <w:tc>
          <w:tcPr>
            <w:tcW w:w="15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111,311</w:t>
            </w:r>
          </w:p>
        </w:tc>
        <w:tc>
          <w:tcPr>
            <w:tcW w:w="340" w:type="dxa"/>
            <w:vAlign w:val="bottom"/>
            <w:tcBorders>
              <w:bottom w:val="single" w:sz="8" w:color="D5D5D5"/>
            </w:tcBorders>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bottom w:val="single" w:sz="8" w:color="D5D5D5"/>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106.13</w:t>
            </w:r>
          </w:p>
        </w:tc>
        <w:tc>
          <w:tcPr>
            <w:tcW w:w="1680" w:type="dxa"/>
            <w:vAlign w:val="bottom"/>
            <w:tcBorders>
              <w:bottom w:val="single" w:sz="8" w:color="D5D5D5"/>
            </w:tcBorders>
            <w:gridSpan w:val="2"/>
            <w:shd w:val="clear" w:color="auto" w:fill="D5D5D5"/>
          </w:tcPr>
          <w:p>
            <w:pPr>
              <w:jc w:val="center"/>
              <w:spacing w:after="0"/>
              <w:rPr>
                <w:sz w:val="20"/>
                <w:szCs w:val="20"/>
                <w:color w:val="auto"/>
              </w:rPr>
            </w:pPr>
            <w:r>
              <w:rPr>
                <w:rFonts w:ascii="Times New Roman" w:cs="Times New Roman" w:eastAsia="Times New Roman" w:hAnsi="Times New Roman"/>
                <w:sz w:val="19"/>
                <w:szCs w:val="19"/>
                <w:color w:val="auto"/>
              </w:rPr>
              <w:t>7.9</w:t>
            </w:r>
          </w:p>
        </w:tc>
        <w:tc>
          <w:tcPr>
            <w:tcW w:w="220" w:type="dxa"/>
            <w:vAlign w:val="bottom"/>
            <w:tcBorders>
              <w:bottom w:val="single" w:sz="8" w:color="D5D5D5"/>
            </w:tcBorders>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0" w:type="dxa"/>
            <w:vAlign w:val="bottom"/>
            <w:tcBorders>
              <w:bottom w:val="single" w:sz="8" w:color="D5D5D5"/>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9,652</w:t>
            </w:r>
          </w:p>
        </w:tc>
        <w:tc>
          <w:tcPr>
            <w:tcW w:w="0" w:type="dxa"/>
            <w:vAlign w:val="bottom"/>
          </w:tcPr>
          <w:p>
            <w:pPr>
              <w:spacing w:after="0"/>
              <w:rPr>
                <w:sz w:val="1"/>
                <w:szCs w:val="1"/>
                <w:color w:val="auto"/>
              </w:rPr>
            </w:pPr>
          </w:p>
        </w:tc>
      </w:tr>
      <w:tr>
        <w:trPr>
          <w:trHeight w:val="259"/>
        </w:trPr>
        <w:tc>
          <w:tcPr>
            <w:tcW w:w="3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500" w:type="dxa"/>
            <w:vAlign w:val="bottom"/>
            <w:tcBorders>
              <w:bottom w:val="single" w:sz="8" w:color="D5D5D5"/>
            </w:tcBorders>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Exercisable options as of January 25, 2025</w:t>
            </w:r>
          </w:p>
        </w:tc>
        <w:tc>
          <w:tcPr>
            <w:tcW w:w="15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31,071</w:t>
            </w:r>
          </w:p>
        </w:tc>
        <w:tc>
          <w:tcPr>
            <w:tcW w:w="340" w:type="dxa"/>
            <w:vAlign w:val="bottom"/>
            <w:tcBorders>
              <w:bottom w:val="single" w:sz="8" w:color="D5D5D5"/>
            </w:tcBorders>
            <w:gridSpan w:val="2"/>
            <w:shd w:val="clear" w:color="auto" w:fill="D5D5D5"/>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bottom w:val="single" w:sz="8" w:color="D5D5D5"/>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94.71</w:t>
            </w:r>
          </w:p>
        </w:tc>
        <w:tc>
          <w:tcPr>
            <w:tcW w:w="1680" w:type="dxa"/>
            <w:vAlign w:val="bottom"/>
            <w:tcBorders>
              <w:bottom w:val="single" w:sz="8" w:color="D5D5D5"/>
            </w:tcBorders>
            <w:gridSpan w:val="2"/>
            <w:shd w:val="clear" w:color="auto" w:fill="D5D5D5"/>
          </w:tcPr>
          <w:p>
            <w:pPr>
              <w:jc w:val="center"/>
              <w:spacing w:after="0"/>
              <w:rPr>
                <w:sz w:val="20"/>
                <w:szCs w:val="20"/>
                <w:color w:val="auto"/>
              </w:rPr>
            </w:pPr>
            <w:r>
              <w:rPr>
                <w:rFonts w:ascii="Times New Roman" w:cs="Times New Roman" w:eastAsia="Times New Roman" w:hAnsi="Times New Roman"/>
                <w:sz w:val="19"/>
                <w:szCs w:val="19"/>
                <w:color w:val="auto"/>
              </w:rPr>
              <w:t>7.3</w:t>
            </w:r>
          </w:p>
        </w:tc>
        <w:tc>
          <w:tcPr>
            <w:tcW w:w="220" w:type="dxa"/>
            <w:vAlign w:val="bottom"/>
            <w:tcBorders>
              <w:bottom w:val="single" w:sz="8" w:color="D5D5D5"/>
            </w:tcBorders>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00" w:type="dxa"/>
            <w:vAlign w:val="bottom"/>
            <w:tcBorders>
              <w:bottom w:val="single" w:sz="8" w:color="D5D5D5"/>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3,049</w:t>
            </w:r>
          </w:p>
        </w:tc>
        <w:tc>
          <w:tcPr>
            <w:tcW w:w="0" w:type="dxa"/>
            <w:vAlign w:val="bottom"/>
          </w:tcPr>
          <w:p>
            <w:pPr>
              <w:spacing w:after="0"/>
              <w:rPr>
                <w:sz w:val="1"/>
                <w:szCs w:val="1"/>
                <w:color w:val="auto"/>
              </w:rPr>
            </w:pPr>
          </w:p>
        </w:tc>
      </w:tr>
    </w:tbl>
    <w:p>
      <w:pPr>
        <w:spacing w:after="0" w:line="2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right="80" w:firstLine="345"/>
        <w:spacing w:after="0" w:line="257" w:lineRule="auto"/>
        <w:rPr>
          <w:sz w:val="20"/>
          <w:szCs w:val="20"/>
          <w:color w:val="auto"/>
        </w:rPr>
      </w:pPr>
      <w:r>
        <w:rPr>
          <w:rFonts w:ascii="Times New Roman" w:cs="Times New Roman" w:eastAsia="Times New Roman" w:hAnsi="Times New Roman"/>
          <w:sz w:val="19"/>
          <w:szCs w:val="19"/>
          <w:color w:val="auto"/>
        </w:rPr>
        <w:t>The total amount of exercisable options as of January 25, 2025 presented above reflects the approximate amount of options expected to vest. The aggregate intrinsic values presented above represent the total pre-tax intrinsic values (the difference between the Company’s closing stock price of $192.84 on the last trading day of fiscal 2025 and the exercise price, multiplied by the number of in-the-money options) that would have been received by the option holders had all option holders exercised their options on the last trading day of fiscal 2025. The amount of aggregate intrinsic value will change based on the price of the Company’s common stock. The total intrinsic value of stock options exercised was $20.9 million, $0.8 million, and $8.5 million for fiscal 2025, fiscal 2024, and fiscal 2023, respectively. We received cash from the exercise of stock options of $10.6 million, $1.1 million, and $4.6 million during fiscal 2025, fiscal 2024, and fiscal 2023, respectively. During fiscal 2025, we paid $18.6 million to tax authorities for payroll tax withholding obligations on the exercise of stock options.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RSUs and Performance RSUs</w:t>
      </w: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following table summarizes RSU and Performance RSU award activity during fiscal 2025:</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240" w:type="dxa"/>
            <w:vAlign w:val="bottom"/>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gridSpan w:val="3"/>
          </w:tcPr>
          <w:p>
            <w:pPr>
              <w:jc w:val="right"/>
              <w:ind w:right="884"/>
              <w:spacing w:after="0"/>
              <w:rPr>
                <w:sz w:val="20"/>
                <w:szCs w:val="20"/>
                <w:color w:val="auto"/>
              </w:rPr>
            </w:pPr>
            <w:r>
              <w:rPr>
                <w:rFonts w:ascii="Times New Roman" w:cs="Times New Roman" w:eastAsia="Times New Roman" w:hAnsi="Times New Roman"/>
                <w:sz w:val="19"/>
                <w:szCs w:val="19"/>
                <w:b w:val="1"/>
                <w:bCs w:val="1"/>
                <w:color w:val="auto"/>
              </w:rPr>
              <w:t>Restricted Stock</w:t>
            </w: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240" w:type="dxa"/>
            <w:vAlign w:val="bottom"/>
          </w:tcPr>
          <w:p>
            <w:pPr>
              <w:spacing w:after="0"/>
              <w:rPr>
                <w:sz w:val="23"/>
                <w:szCs w:val="23"/>
                <w:color w:val="auto"/>
              </w:rPr>
            </w:pPr>
          </w:p>
        </w:tc>
        <w:tc>
          <w:tcPr>
            <w:tcW w:w="198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RSUs</w:t>
            </w:r>
          </w:p>
        </w:tc>
        <w:tc>
          <w:tcPr>
            <w:tcW w:w="13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300" w:type="dxa"/>
            <w:vAlign w:val="bottom"/>
            <w:tcBorders>
              <w:bottom w:val="single" w:sz="8" w:color="auto"/>
            </w:tcBorders>
            <w:gridSpan w:val="4"/>
          </w:tcPr>
          <w:p>
            <w:pPr>
              <w:jc w:val="right"/>
              <w:ind w:right="764"/>
              <w:spacing w:after="0"/>
              <w:rPr>
                <w:sz w:val="20"/>
                <w:szCs w:val="20"/>
                <w:color w:val="auto"/>
              </w:rPr>
            </w:pPr>
            <w:r>
              <w:rPr>
                <w:rFonts w:ascii="Times New Roman" w:cs="Times New Roman" w:eastAsia="Times New Roman" w:hAnsi="Times New Roman"/>
                <w:sz w:val="19"/>
                <w:szCs w:val="19"/>
                <w:b w:val="1"/>
                <w:bCs w:val="1"/>
                <w:color w:val="auto"/>
              </w:rPr>
              <w:t>Performance RSUs</w:t>
            </w:r>
          </w:p>
        </w:tc>
        <w:tc>
          <w:tcPr>
            <w:tcW w:w="0" w:type="dxa"/>
            <w:vAlign w:val="bottom"/>
          </w:tcPr>
          <w:p>
            <w:pPr>
              <w:spacing w:after="0"/>
              <w:rPr>
                <w:sz w:val="1"/>
                <w:szCs w:val="1"/>
                <w:color w:val="auto"/>
              </w:rPr>
            </w:pPr>
          </w:p>
        </w:tc>
      </w:tr>
      <w:tr>
        <w:trPr>
          <w:trHeight w:val="261"/>
        </w:trPr>
        <w:tc>
          <w:tcPr>
            <w:tcW w:w="32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jc w:val="center"/>
              <w:ind w:right="204"/>
              <w:spacing w:after="0"/>
              <w:rPr>
                <w:sz w:val="20"/>
                <w:szCs w:val="20"/>
                <w:color w:val="auto"/>
              </w:rPr>
            </w:pPr>
            <w:r>
              <w:rPr>
                <w:rFonts w:ascii="Times New Roman" w:cs="Times New Roman" w:eastAsia="Times New Roman" w:hAnsi="Times New Roman"/>
                <w:sz w:val="19"/>
                <w:szCs w:val="19"/>
                <w:b w:val="1"/>
                <w:bCs w:val="1"/>
                <w:color w:val="auto"/>
                <w:w w:val="99"/>
              </w:rPr>
              <w:t>Weighted</w:t>
            </w:r>
          </w:p>
        </w:tc>
        <w:tc>
          <w:tcPr>
            <w:tcW w:w="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center"/>
              <w:ind w:right="84"/>
              <w:spacing w:after="0"/>
              <w:rPr>
                <w:sz w:val="20"/>
                <w:szCs w:val="20"/>
                <w:color w:val="auto"/>
              </w:rPr>
            </w:pPr>
            <w:r>
              <w:rPr>
                <w:rFonts w:ascii="Times New Roman" w:cs="Times New Roman" w:eastAsia="Times New Roman" w:hAnsi="Times New Roman"/>
                <w:sz w:val="19"/>
                <w:szCs w:val="19"/>
                <w:b w:val="1"/>
                <w:bCs w:val="1"/>
                <w:color w:val="auto"/>
                <w:w w:val="99"/>
              </w:rPr>
              <w:t>Weighted</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1600" w:type="dxa"/>
            <w:vAlign w:val="bottom"/>
            <w:vMerge w:val="restart"/>
          </w:tcPr>
          <w:p>
            <w:pPr>
              <w:jc w:val="right"/>
              <w:ind w:right="224"/>
              <w:spacing w:after="0"/>
              <w:rPr>
                <w:sz w:val="20"/>
                <w:szCs w:val="20"/>
                <w:color w:val="auto"/>
              </w:rPr>
            </w:pPr>
            <w:r>
              <w:rPr>
                <w:rFonts w:ascii="Times New Roman" w:cs="Times New Roman" w:eastAsia="Times New Roman" w:hAnsi="Times New Roman"/>
                <w:sz w:val="19"/>
                <w:szCs w:val="19"/>
                <w:b w:val="1"/>
                <w:bCs w:val="1"/>
                <w:color w:val="auto"/>
              </w:rPr>
              <w:t>Share Units</w:t>
            </w:r>
          </w:p>
        </w:tc>
        <w:tc>
          <w:tcPr>
            <w:tcW w:w="80" w:type="dxa"/>
            <w:vAlign w:val="bottom"/>
          </w:tcPr>
          <w:p>
            <w:pPr>
              <w:spacing w:after="0"/>
              <w:rPr>
                <w:sz w:val="16"/>
                <w:szCs w:val="16"/>
                <w:color w:val="auto"/>
              </w:rPr>
            </w:pPr>
          </w:p>
        </w:tc>
        <w:tc>
          <w:tcPr>
            <w:tcW w:w="1620" w:type="dxa"/>
            <w:vAlign w:val="bottom"/>
            <w:gridSpan w:val="2"/>
          </w:tcPr>
          <w:p>
            <w:pPr>
              <w:jc w:val="center"/>
              <w:spacing w:after="0" w:line="192" w:lineRule="exact"/>
              <w:rPr>
                <w:sz w:val="20"/>
                <w:szCs w:val="20"/>
                <w:color w:val="auto"/>
              </w:rPr>
            </w:pPr>
            <w:r>
              <w:rPr>
                <w:rFonts w:ascii="Times New Roman" w:cs="Times New Roman" w:eastAsia="Times New Roman" w:hAnsi="Times New Roman"/>
                <w:sz w:val="19"/>
                <w:szCs w:val="19"/>
                <w:b w:val="1"/>
                <w:bCs w:val="1"/>
                <w:color w:val="auto"/>
              </w:rPr>
              <w:t>Average Grant</w:t>
            </w:r>
          </w:p>
        </w:tc>
        <w:tc>
          <w:tcPr>
            <w:tcW w:w="60" w:type="dxa"/>
            <w:vAlign w:val="bottom"/>
          </w:tcPr>
          <w:p>
            <w:pPr>
              <w:spacing w:after="0"/>
              <w:rPr>
                <w:sz w:val="16"/>
                <w:szCs w:val="16"/>
                <w:color w:val="auto"/>
              </w:rPr>
            </w:pPr>
          </w:p>
        </w:tc>
        <w:tc>
          <w:tcPr>
            <w:tcW w:w="1620" w:type="dxa"/>
            <w:vAlign w:val="bottom"/>
            <w:vMerge w:val="restart"/>
          </w:tcPr>
          <w:p>
            <w:pPr>
              <w:jc w:val="right"/>
              <w:ind w:right="224"/>
              <w:spacing w:after="0"/>
              <w:rPr>
                <w:sz w:val="20"/>
                <w:szCs w:val="20"/>
                <w:color w:val="auto"/>
              </w:rPr>
            </w:pPr>
            <w:r>
              <w:rPr>
                <w:rFonts w:ascii="Times New Roman" w:cs="Times New Roman" w:eastAsia="Times New Roman" w:hAnsi="Times New Roman"/>
                <w:sz w:val="19"/>
                <w:szCs w:val="19"/>
                <w:b w:val="1"/>
                <w:bCs w:val="1"/>
                <w:color w:val="auto"/>
              </w:rPr>
              <w:t>Share Units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center"/>
              <w:ind w:right="64"/>
              <w:spacing w:after="0" w:line="192" w:lineRule="exact"/>
              <w:rPr>
                <w:sz w:val="20"/>
                <w:szCs w:val="20"/>
                <w:color w:val="auto"/>
              </w:rPr>
            </w:pPr>
            <w:r>
              <w:rPr>
                <w:rFonts w:ascii="Times New Roman" w:cs="Times New Roman" w:eastAsia="Times New Roman" w:hAnsi="Times New Roman"/>
                <w:sz w:val="19"/>
                <w:szCs w:val="19"/>
                <w:b w:val="1"/>
                <w:bCs w:val="1"/>
                <w:color w:val="auto"/>
              </w:rPr>
              <w:t>Average Grant</w:t>
            </w:r>
          </w:p>
        </w:tc>
        <w:tc>
          <w:tcPr>
            <w:tcW w:w="0" w:type="dxa"/>
            <w:vAlign w:val="bottom"/>
          </w:tcPr>
          <w:p>
            <w:pPr>
              <w:spacing w:after="0"/>
              <w:rPr>
                <w:sz w:val="1"/>
                <w:szCs w:val="1"/>
                <w:color w:val="auto"/>
              </w:rPr>
            </w:pPr>
          </w:p>
        </w:tc>
      </w:tr>
      <w:tr>
        <w:trPr>
          <w:trHeight w:val="261"/>
        </w:trPr>
        <w:tc>
          <w:tcPr>
            <w:tcW w:w="3240" w:type="dxa"/>
            <w:vAlign w:val="bottom"/>
            <w:tcBorders>
              <w:bottom w:val="single" w:sz="8" w:color="D5D5D5"/>
            </w:tcBorders>
          </w:tcPr>
          <w:p>
            <w:pPr>
              <w:spacing w:after="0"/>
              <w:rPr>
                <w:sz w:val="22"/>
                <w:szCs w:val="22"/>
                <w:color w:val="auto"/>
              </w:rPr>
            </w:pPr>
          </w:p>
        </w:tc>
        <w:tc>
          <w:tcPr>
            <w:tcW w:w="160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D5D5D5"/>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204"/>
              <w:spacing w:after="0"/>
              <w:rPr>
                <w:sz w:val="20"/>
                <w:szCs w:val="20"/>
                <w:color w:val="auto"/>
              </w:rPr>
            </w:pPr>
            <w:r>
              <w:rPr>
                <w:rFonts w:ascii="Times New Roman" w:cs="Times New Roman" w:eastAsia="Times New Roman" w:hAnsi="Times New Roman"/>
                <w:sz w:val="19"/>
                <w:szCs w:val="19"/>
                <w:b w:val="1"/>
                <w:bCs w:val="1"/>
                <w:color w:val="auto"/>
                <w:w w:val="99"/>
              </w:rPr>
              <w:t>Price</w:t>
            </w:r>
          </w:p>
        </w:tc>
        <w:tc>
          <w:tcPr>
            <w:tcW w:w="60" w:type="dxa"/>
            <w:vAlign w:val="bottom"/>
            <w:tcBorders>
              <w:bottom w:val="single" w:sz="8" w:color="D5D5D5"/>
            </w:tcBorders>
          </w:tcPr>
          <w:p>
            <w:pPr>
              <w:spacing w:after="0"/>
              <w:rPr>
                <w:sz w:val="22"/>
                <w:szCs w:val="22"/>
                <w:color w:val="auto"/>
              </w:rPr>
            </w:pPr>
          </w:p>
        </w:tc>
        <w:tc>
          <w:tcPr>
            <w:tcW w:w="16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D5D5D5"/>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9"/>
                <w:szCs w:val="19"/>
                <w:b w:val="1"/>
                <w:bCs w:val="1"/>
                <w:color w:val="auto"/>
                <w:w w:val="99"/>
              </w:rPr>
              <w:t>Price</w:t>
            </w:r>
          </w:p>
        </w:tc>
        <w:tc>
          <w:tcPr>
            <w:tcW w:w="0" w:type="dxa"/>
            <w:vAlign w:val="bottom"/>
          </w:tcPr>
          <w:p>
            <w:pPr>
              <w:spacing w:after="0"/>
              <w:rPr>
                <w:sz w:val="1"/>
                <w:szCs w:val="1"/>
                <w:color w:val="auto"/>
              </w:rPr>
            </w:pPr>
          </w:p>
        </w:tc>
      </w:tr>
      <w:tr>
        <w:trPr>
          <w:trHeight w:val="269"/>
        </w:trPr>
        <w:tc>
          <w:tcPr>
            <w:tcW w:w="324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Outstanding as of January 27, 2024</w:t>
            </w:r>
          </w:p>
        </w:tc>
        <w:tc>
          <w:tcPr>
            <w:tcW w:w="16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390,765</w:t>
            </w:r>
          </w:p>
        </w:tc>
        <w:tc>
          <w:tcPr>
            <w:tcW w:w="380" w:type="dxa"/>
            <w:vAlign w:val="bottom"/>
            <w:gridSpan w:val="2"/>
            <w:shd w:val="clear" w:color="auto" w:fill="D5D5D5"/>
          </w:tcPr>
          <w:p>
            <w:pPr>
              <w:jc w:val="right"/>
              <w:ind w:right="64"/>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74.89</w:t>
            </w:r>
          </w:p>
        </w:tc>
        <w:tc>
          <w:tcPr>
            <w:tcW w:w="168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431,190</w:t>
            </w:r>
          </w:p>
        </w:tc>
        <w:tc>
          <w:tcPr>
            <w:tcW w:w="240" w:type="dxa"/>
            <w:vAlign w:val="bottom"/>
            <w:gridSpan w:val="2"/>
            <w:shd w:val="clear" w:color="auto" w:fill="D5D5D5"/>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4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95.98</w:t>
            </w:r>
          </w:p>
        </w:tc>
        <w:tc>
          <w:tcPr>
            <w:tcW w:w="0" w:type="dxa"/>
            <w:vAlign w:val="bottom"/>
          </w:tcPr>
          <w:p>
            <w:pPr>
              <w:spacing w:after="0"/>
              <w:rPr>
                <w:sz w:val="1"/>
                <w:szCs w:val="1"/>
                <w:color w:val="auto"/>
              </w:rPr>
            </w:pPr>
          </w:p>
        </w:tc>
      </w:tr>
      <w:tr>
        <w:trPr>
          <w:trHeight w:val="282"/>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128,040</w:t>
            </w:r>
          </w:p>
        </w:tc>
        <w:tc>
          <w:tcPr>
            <w:tcW w:w="380" w:type="dxa"/>
            <w:vAlign w:val="bottom"/>
            <w:gridSpan w:val="2"/>
          </w:tcPr>
          <w:p>
            <w:pPr>
              <w:jc w:val="right"/>
              <w:ind w:right="64"/>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154.13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170,526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141.28</w:t>
            </w:r>
          </w:p>
        </w:tc>
        <w:tc>
          <w:tcPr>
            <w:tcW w:w="0" w:type="dxa"/>
            <w:vAlign w:val="bottom"/>
          </w:tcPr>
          <w:p>
            <w:pPr>
              <w:spacing w:after="0"/>
              <w:rPr>
                <w:sz w:val="1"/>
                <w:szCs w:val="1"/>
                <w:color w:val="auto"/>
              </w:rPr>
            </w:pPr>
          </w:p>
        </w:tc>
      </w:tr>
      <w:tr>
        <w:trPr>
          <w:trHeight w:val="294"/>
        </w:trPr>
        <w:tc>
          <w:tcPr>
            <w:tcW w:w="324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Share units vested</w:t>
            </w:r>
          </w:p>
        </w:tc>
        <w:tc>
          <w:tcPr>
            <w:tcW w:w="16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(199,657)</w:t>
            </w:r>
          </w:p>
        </w:tc>
        <w:tc>
          <w:tcPr>
            <w:tcW w:w="380" w:type="dxa"/>
            <w:vAlign w:val="bottom"/>
            <w:gridSpan w:val="2"/>
            <w:shd w:val="clear" w:color="auto" w:fill="D5D5D5"/>
          </w:tcPr>
          <w:p>
            <w:pPr>
              <w:jc w:val="right"/>
              <w:ind w:right="64"/>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56.71</w:t>
            </w:r>
          </w:p>
        </w:tc>
        <w:tc>
          <w:tcPr>
            <w:tcW w:w="168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(146,702)</w:t>
            </w:r>
          </w:p>
        </w:tc>
        <w:tc>
          <w:tcPr>
            <w:tcW w:w="240" w:type="dxa"/>
            <w:vAlign w:val="bottom"/>
            <w:gridSpan w:val="2"/>
            <w:shd w:val="clear" w:color="auto" w:fill="D5D5D5"/>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44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92.07</w:t>
            </w:r>
          </w:p>
        </w:tc>
        <w:tc>
          <w:tcPr>
            <w:tcW w:w="0" w:type="dxa"/>
            <w:vAlign w:val="bottom"/>
          </w:tcPr>
          <w:p>
            <w:pPr>
              <w:spacing w:after="0"/>
              <w:rPr>
                <w:sz w:val="1"/>
                <w:szCs w:val="1"/>
                <w:color w:val="auto"/>
              </w:rPr>
            </w:pPr>
          </w:p>
        </w:tc>
      </w:tr>
      <w:tr>
        <w:trPr>
          <w:trHeight w:val="278"/>
        </w:trPr>
        <w:tc>
          <w:tcPr>
            <w:tcW w:w="3240" w:type="dxa"/>
            <w:vAlign w:val="bottom"/>
            <w:tcBorders>
              <w:bottom w:val="single" w:sz="8" w:color="D5D5D5"/>
            </w:tcBorders>
          </w:tcPr>
          <w:p>
            <w:pPr>
              <w:ind w:left="40"/>
              <w:spacing w:after="0"/>
              <w:rPr>
                <w:sz w:val="20"/>
                <w:szCs w:val="20"/>
                <w:color w:val="auto"/>
              </w:rPr>
            </w:pPr>
            <w:r>
              <w:rPr>
                <w:rFonts w:ascii="Times New Roman" w:cs="Times New Roman" w:eastAsia="Times New Roman" w:hAnsi="Times New Roman"/>
                <w:sz w:val="19"/>
                <w:szCs w:val="19"/>
                <w:color w:val="auto"/>
              </w:rPr>
              <w:t>Forfeited or canceled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(18,322)</w:t>
            </w:r>
          </w:p>
        </w:tc>
        <w:tc>
          <w:tcPr>
            <w:tcW w:w="380" w:type="dxa"/>
            <w:vAlign w:val="bottom"/>
            <w:tcBorders>
              <w:bottom w:val="single" w:sz="8" w:color="D5D5D5"/>
            </w:tcBorders>
            <w:gridSpan w:val="2"/>
          </w:tcPr>
          <w:p>
            <w:pPr>
              <w:jc w:val="right"/>
              <w:ind w:right="64"/>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tcBorders>
              <w:bottom w:val="single" w:sz="8" w:color="D5D5D5"/>
            </w:tcBorders>
          </w:tcPr>
          <w:p>
            <w:pPr>
              <w:jc w:val="right"/>
              <w:spacing w:after="0"/>
              <w:rPr>
                <w:sz w:val="20"/>
                <w:szCs w:val="20"/>
                <w:color w:val="auto"/>
              </w:rPr>
            </w:pPr>
            <w:r>
              <w:rPr>
                <w:rFonts w:ascii="Times New Roman" w:cs="Times New Roman" w:eastAsia="Times New Roman" w:hAnsi="Times New Roman"/>
                <w:sz w:val="19"/>
                <w:szCs w:val="19"/>
                <w:color w:val="auto"/>
              </w:rPr>
              <w:t>112.66</w:t>
            </w:r>
          </w:p>
        </w:tc>
        <w:tc>
          <w:tcPr>
            <w:tcW w:w="60" w:type="dxa"/>
            <w:vAlign w:val="bottom"/>
            <w:tcBorders>
              <w:bottom w:val="single" w:sz="8" w:color="D5D5D5"/>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(88,581)</w:t>
            </w:r>
          </w:p>
        </w:tc>
        <w:tc>
          <w:tcPr>
            <w:tcW w:w="240" w:type="dxa"/>
            <w:vAlign w:val="bottom"/>
            <w:tcBorders>
              <w:bottom w:val="single" w:sz="8" w:color="D5D5D5"/>
            </w:tcBorders>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440" w:type="dxa"/>
            <w:vAlign w:val="bottom"/>
            <w:tcBorders>
              <w:bottom w:val="single" w:sz="8" w:color="D5D5D5"/>
            </w:tcBorders>
          </w:tcPr>
          <w:p>
            <w:pPr>
              <w:jc w:val="right"/>
              <w:spacing w:after="0"/>
              <w:rPr>
                <w:sz w:val="20"/>
                <w:szCs w:val="20"/>
                <w:color w:val="auto"/>
              </w:rPr>
            </w:pPr>
            <w:r>
              <w:rPr>
                <w:rFonts w:ascii="Times New Roman" w:cs="Times New Roman" w:eastAsia="Times New Roman" w:hAnsi="Times New Roman"/>
                <w:sz w:val="19"/>
                <w:szCs w:val="19"/>
                <w:color w:val="auto"/>
              </w:rPr>
              <w:t>96.46</w:t>
            </w:r>
          </w:p>
        </w:tc>
        <w:tc>
          <w:tcPr>
            <w:tcW w:w="0" w:type="dxa"/>
            <w:vAlign w:val="bottom"/>
          </w:tcPr>
          <w:p>
            <w:pPr>
              <w:spacing w:after="0"/>
              <w:rPr>
                <w:sz w:val="1"/>
                <w:szCs w:val="1"/>
                <w:color w:val="auto"/>
              </w:rPr>
            </w:pPr>
          </w:p>
        </w:tc>
      </w:tr>
      <w:tr>
        <w:trPr>
          <w:trHeight w:val="287"/>
        </w:trPr>
        <w:tc>
          <w:tcPr>
            <w:tcW w:w="3240" w:type="dxa"/>
            <w:vAlign w:val="bottom"/>
            <w:tcBorders>
              <w:bottom w:val="single" w:sz="8" w:color="D5D5D5"/>
            </w:tcBorders>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Outstanding as of January 25, 2025</w:t>
            </w:r>
          </w:p>
        </w:tc>
        <w:tc>
          <w:tcPr>
            <w:tcW w:w="160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300,826</w:t>
            </w:r>
          </w:p>
        </w:tc>
        <w:tc>
          <w:tcPr>
            <w:tcW w:w="380" w:type="dxa"/>
            <w:vAlign w:val="bottom"/>
            <w:tcBorders>
              <w:bottom w:val="single" w:sz="8" w:color="D5D5D5"/>
            </w:tcBorders>
            <w:gridSpan w:val="2"/>
            <w:shd w:val="clear" w:color="auto" w:fill="D5D5D5"/>
          </w:tcPr>
          <w:p>
            <w:pPr>
              <w:jc w:val="right"/>
              <w:ind w:right="64"/>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tcBorders>
              <w:bottom w:val="single" w:sz="8" w:color="D5D5D5"/>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121.35</w:t>
            </w:r>
          </w:p>
        </w:tc>
        <w:tc>
          <w:tcPr>
            <w:tcW w:w="60" w:type="dxa"/>
            <w:vAlign w:val="bottom"/>
            <w:tcBorders>
              <w:bottom w:val="single" w:sz="8" w:color="D5D5D5"/>
            </w:tcBorders>
            <w:shd w:val="clear" w:color="auto" w:fill="D5D5D5"/>
          </w:tcPr>
          <w:p>
            <w:pPr>
              <w:spacing w:after="0"/>
              <w:rPr>
                <w:sz w:val="24"/>
                <w:szCs w:val="24"/>
                <w:color w:val="auto"/>
              </w:rPr>
            </w:pPr>
          </w:p>
        </w:tc>
        <w:tc>
          <w:tcPr>
            <w:tcW w:w="162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366,433</w:t>
            </w:r>
          </w:p>
        </w:tc>
        <w:tc>
          <w:tcPr>
            <w:tcW w:w="240" w:type="dxa"/>
            <w:vAlign w:val="bottom"/>
            <w:tcBorders>
              <w:bottom w:val="single" w:sz="8" w:color="D5D5D5"/>
            </w:tcBorders>
            <w:gridSpan w:val="2"/>
            <w:shd w:val="clear" w:color="auto" w:fill="D5D5D5"/>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440" w:type="dxa"/>
            <w:vAlign w:val="bottom"/>
            <w:tcBorders>
              <w:bottom w:val="single" w:sz="8" w:color="D5D5D5"/>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118.51</w:t>
            </w:r>
          </w:p>
        </w:tc>
        <w:tc>
          <w:tcPr>
            <w:tcW w:w="0" w:type="dxa"/>
            <w:vAlign w:val="bottom"/>
          </w:tcPr>
          <w:p>
            <w:pPr>
              <w:spacing w:after="0"/>
              <w:rPr>
                <w:sz w:val="1"/>
                <w:szCs w:val="1"/>
                <w:color w:val="auto"/>
              </w:rPr>
            </w:pPr>
          </w:p>
        </w:tc>
      </w:tr>
    </w:tbl>
    <w:p>
      <w:pPr>
        <w:spacing w:after="0" w:line="276" w:lineRule="exact"/>
        <w:rPr>
          <w:sz w:val="20"/>
          <w:szCs w:val="20"/>
          <w:color w:val="auto"/>
        </w:rPr>
      </w:pPr>
    </w:p>
    <w:p>
      <w:pPr>
        <w:jc w:val="both"/>
        <w:ind w:right="100" w:firstLine="345"/>
        <w:spacing w:after="0" w:line="253" w:lineRule="auto"/>
        <w:rPr>
          <w:sz w:val="20"/>
          <w:szCs w:val="20"/>
          <w:color w:val="auto"/>
        </w:rPr>
      </w:pPr>
      <w:r>
        <w:rPr>
          <w:rFonts w:ascii="Times New Roman" w:cs="Times New Roman" w:eastAsia="Times New Roman" w:hAnsi="Times New Roman"/>
          <w:sz w:val="19"/>
          <w:szCs w:val="19"/>
          <w:color w:val="auto"/>
        </w:rPr>
        <w:t>The total number of granted Performance RSUs presented above consists of 117,938 target shares and 52,588 supplemental shares. During fiscal 2025, we added 712 supplemental shares and cancelled 66,685 supplemental shares of Performance RSUs, as a result of performance criteria for attaining those shares being partially met for the applicable performance periods.</w:t>
      </w:r>
    </w:p>
    <w:p>
      <w:pPr>
        <w:ind w:right="540"/>
        <w:spacing w:after="0" w:line="271" w:lineRule="auto"/>
        <w:rPr>
          <w:sz w:val="20"/>
          <w:szCs w:val="20"/>
          <w:color w:val="auto"/>
        </w:rPr>
      </w:pPr>
      <w:r>
        <w:rPr>
          <w:rFonts w:ascii="Times New Roman" w:cs="Times New Roman" w:eastAsia="Times New Roman" w:hAnsi="Times New Roman"/>
          <w:sz w:val="19"/>
          <w:szCs w:val="19"/>
          <w:color w:val="auto"/>
        </w:rPr>
        <w:t>Approximately 109,415 supplemental shares outstanding as of January 25, 2025 will be canceled during the three months ending April 26, 2025 as a result of the fiscal 2025 performance period criteria being partially met. The total amount of Performance RSUs outstanding as of January 25, 2025 consists of 251,626 target shares and 114,807 supplemental shares.</w:t>
      </w:r>
    </w:p>
    <w:p>
      <w:pPr>
        <w:spacing w:after="0" w:line="181" w:lineRule="exact"/>
        <w:rPr>
          <w:sz w:val="20"/>
          <w:szCs w:val="20"/>
          <w:color w:val="auto"/>
        </w:rPr>
      </w:pPr>
    </w:p>
    <w:p>
      <w:pPr>
        <w:ind w:right="120" w:firstLine="345"/>
        <w:spacing w:after="0" w:line="289" w:lineRule="auto"/>
        <w:rPr>
          <w:sz w:val="20"/>
          <w:szCs w:val="20"/>
          <w:color w:val="auto"/>
        </w:rPr>
      </w:pPr>
      <w:r>
        <w:rPr>
          <w:rFonts w:ascii="Times New Roman" w:cs="Times New Roman" w:eastAsia="Times New Roman" w:hAnsi="Times New Roman"/>
          <w:sz w:val="19"/>
          <w:szCs w:val="19"/>
          <w:color w:val="auto"/>
        </w:rPr>
        <w:t>The total fair value of restricted share units vested during fiscal 2025, fiscal 2024, and fiscal 2023 was $49.3 million, $29.6 million, and $18.4 million, respectively.</w:t>
      </w:r>
    </w:p>
    <w:p>
      <w:pPr>
        <w:sectPr>
          <w:pgSz w:w="11880" w:h="15480" w:orient="portrait"/>
          <w:cols w:equalWidth="0" w:num="1">
            <w:col w:w="9920"/>
          </w:cols>
          <w:pgMar w:left="1000" w:top="89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260985</wp:posOffset>
            </wp:positionV>
            <wp:extent cx="76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3">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260985</wp:posOffset>
            </wp:positionV>
            <wp:extent cx="76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4">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920"/>
          </w:cols>
          <w:pgMar w:left="1000" w:top="891" w:right="960" w:bottom="0" w:gutter="0" w:footer="0" w:header="0"/>
          <w:type w:val="continuous"/>
        </w:sectPr>
      </w:pPr>
    </w:p>
    <w:bookmarkStart w:id="77" w:name="page78"/>
    <w:bookmarkEnd w:id="77"/>
    <w:p>
      <w:pPr>
        <w:ind w:left="345" w:right="5460" w:hanging="345"/>
        <w:spacing w:after="0" w:line="510" w:lineRule="auto"/>
        <w:tabs>
          <w:tab w:leader="none" w:pos="287" w:val="left"/>
        </w:tabs>
        <w:numPr>
          <w:ilvl w:val="0"/>
          <w:numId w:val="2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t xml:space="preserve">Customer Concentration and Revenue Information </w:t>
      </w:r>
      <w:r>
        <w:rPr>
          <w:rFonts w:ascii="Times New Roman" w:cs="Times New Roman" w:eastAsia="Times New Roman" w:hAnsi="Times New Roman"/>
          <w:sz w:val="19"/>
          <w:szCs w:val="19"/>
          <w:b w:val="1"/>
          <w:bCs w:val="1"/>
          <w:color w:val="auto"/>
        </w:rPr>
        <w:t>Geographic Location</w:t>
      </w:r>
    </w:p>
    <w:p>
      <w:pPr>
        <w:spacing w:after="0" w:line="1" w:lineRule="exact"/>
        <w:rPr>
          <w:sz w:val="20"/>
          <w:szCs w:val="20"/>
          <w:color w:val="auto"/>
        </w:rPr>
      </w:pPr>
    </w:p>
    <w:p>
      <w:pPr>
        <w:ind w:left="345"/>
        <w:spacing w:after="0"/>
        <w:rPr>
          <w:sz w:val="20"/>
          <w:szCs w:val="20"/>
          <w:color w:val="auto"/>
        </w:rPr>
      </w:pPr>
      <w:r>
        <w:rPr>
          <w:rFonts w:ascii="Times New Roman" w:cs="Times New Roman" w:eastAsia="Times New Roman" w:hAnsi="Times New Roman"/>
          <w:sz w:val="19"/>
          <w:szCs w:val="19"/>
          <w:color w:val="auto"/>
        </w:rPr>
        <w:t>We provide services throughout the United States.</w:t>
      </w:r>
    </w:p>
    <w:p>
      <w:pPr>
        <w:spacing w:after="0" w:line="236" w:lineRule="exact"/>
        <w:rPr>
          <w:sz w:val="20"/>
          <w:szCs w:val="20"/>
          <w:color w:val="auto"/>
        </w:rPr>
      </w:pPr>
    </w:p>
    <w:p>
      <w:pPr>
        <w:ind w:left="345"/>
        <w:spacing w:after="0"/>
        <w:rPr>
          <w:sz w:val="20"/>
          <w:szCs w:val="20"/>
          <w:color w:val="auto"/>
        </w:rPr>
      </w:pPr>
      <w:r>
        <w:rPr>
          <w:rFonts w:ascii="Times New Roman" w:cs="Times New Roman" w:eastAsia="Times New Roman" w:hAnsi="Times New Roman"/>
          <w:sz w:val="19"/>
          <w:szCs w:val="19"/>
          <w:b w:val="1"/>
          <w:bCs w:val="1"/>
          <w:color w:val="auto"/>
        </w:rPr>
        <w:t>Significant Customers</w:t>
      </w:r>
    </w:p>
    <w:p>
      <w:pPr>
        <w:spacing w:after="0" w:line="249" w:lineRule="exact"/>
        <w:rPr>
          <w:sz w:val="20"/>
          <w:szCs w:val="20"/>
          <w:color w:val="auto"/>
        </w:rPr>
      </w:pPr>
    </w:p>
    <w:p>
      <w:pPr>
        <w:ind w:left="5" w:right="160" w:firstLine="345"/>
        <w:spacing w:after="0" w:line="265" w:lineRule="auto"/>
        <w:rPr>
          <w:sz w:val="20"/>
          <w:szCs w:val="20"/>
          <w:color w:val="auto"/>
        </w:rPr>
      </w:pPr>
      <w:r>
        <w:rPr>
          <w:rFonts w:ascii="Times New Roman" w:cs="Times New Roman" w:eastAsia="Times New Roman" w:hAnsi="Times New Roman"/>
          <w:sz w:val="19"/>
          <w:szCs w:val="19"/>
          <w:color w:val="auto"/>
        </w:rPr>
        <w:t>Our customer base is highly concentrated, with our top five customers accounting for approximately 55.4%, 57.7%, and 66.7%, of our total contract revenues during fiscal 2025, fiscal 2024, and fiscal 2023, respectively. Customers whose contract revenues exceeded 10% of total contract revenues during fiscal 2025, fiscal 2024, or fiscal 2023, as well as total contract revenues from all other customers combined, were as follows:</w:t>
      </w:r>
    </w:p>
    <w:p>
      <w:pPr>
        <w:spacing w:after="0" w:line="22" w:lineRule="exact"/>
        <w:rPr>
          <w:sz w:val="20"/>
          <w:szCs w:val="20"/>
          <w:color w:val="auto"/>
        </w:rPr>
      </w:pPr>
    </w:p>
    <w:tbl>
      <w:tblPr>
        <w:tblLayout w:type="fixed"/>
        <w:tblInd w:w="5" w:type="dxa"/>
        <w:tblCellMar>
          <w:top w:w="0" w:type="dxa"/>
          <w:left w:w="0" w:type="dxa"/>
          <w:bottom w:w="0" w:type="dxa"/>
          <w:right w:w="0" w:type="dxa"/>
        </w:tblCellMar>
      </w:tblPr>
      <w:tr>
        <w:trPr>
          <w:trHeight w:val="268"/>
        </w:trPr>
        <w:tc>
          <w:tcPr>
            <w:tcW w:w="46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9"/>
                <w:szCs w:val="19"/>
                <w:b w:val="1"/>
                <w:bCs w:val="1"/>
                <w:color w:val="auto"/>
              </w:rPr>
              <w:t>Fiscal Year Ended</w:t>
            </w:r>
          </w:p>
        </w:tc>
        <w:tc>
          <w:tcPr>
            <w:tcW w:w="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4620" w:type="dxa"/>
            <w:vAlign w:val="bottom"/>
          </w:tcPr>
          <w:p>
            <w:pPr>
              <w:spacing w:after="0"/>
              <w:rPr>
                <w:sz w:val="22"/>
                <w:szCs w:val="22"/>
                <w:color w:val="auto"/>
              </w:rPr>
            </w:pPr>
          </w:p>
        </w:tc>
        <w:tc>
          <w:tcPr>
            <w:tcW w:w="1660" w:type="dxa"/>
            <w:vAlign w:val="bottom"/>
            <w:tcBorders>
              <w:bottom w:val="single" w:sz="8" w:color="auto"/>
            </w:tcBorders>
            <w:gridSpan w:val="3"/>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80" w:type="dxa"/>
            <w:vAlign w:val="bottom"/>
          </w:tcPr>
          <w:p>
            <w:pPr>
              <w:spacing w:after="0"/>
              <w:rPr>
                <w:sz w:val="22"/>
                <w:szCs w:val="22"/>
                <w:color w:val="auto"/>
              </w:rPr>
            </w:pPr>
          </w:p>
        </w:tc>
        <w:tc>
          <w:tcPr>
            <w:tcW w:w="1660" w:type="dxa"/>
            <w:vAlign w:val="bottom"/>
            <w:tcBorders>
              <w:bottom w:val="single" w:sz="8" w:color="auto"/>
            </w:tcBorders>
            <w:gridSpan w:val="3"/>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January 27, 2024</w:t>
            </w:r>
          </w:p>
        </w:tc>
        <w:tc>
          <w:tcPr>
            <w:tcW w:w="80" w:type="dxa"/>
            <w:vAlign w:val="bottom"/>
          </w:tcPr>
          <w:p>
            <w:pPr>
              <w:spacing w:after="0"/>
              <w:rPr>
                <w:sz w:val="22"/>
                <w:szCs w:val="22"/>
                <w:color w:val="auto"/>
              </w:rPr>
            </w:pPr>
          </w:p>
        </w:tc>
        <w:tc>
          <w:tcPr>
            <w:tcW w:w="1680" w:type="dxa"/>
            <w:vAlign w:val="bottom"/>
            <w:tcBorders>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January 28, 2023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88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Amount</w:t>
            </w:r>
          </w:p>
        </w:tc>
        <w:tc>
          <w:tcPr>
            <w:tcW w:w="7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 of</w:t>
            </w:r>
          </w:p>
        </w:tc>
        <w:tc>
          <w:tcPr>
            <w:tcW w:w="80" w:type="dxa"/>
            <w:vAlign w:val="bottom"/>
          </w:tcPr>
          <w:p>
            <w:pPr>
              <w:spacing w:after="0"/>
              <w:rPr>
                <w:sz w:val="19"/>
                <w:szCs w:val="19"/>
                <w:color w:val="auto"/>
              </w:rPr>
            </w:pPr>
          </w:p>
        </w:tc>
        <w:tc>
          <w:tcPr>
            <w:tcW w:w="86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Amount</w:t>
            </w:r>
          </w:p>
        </w:tc>
        <w:tc>
          <w:tcPr>
            <w:tcW w:w="8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 of</w:t>
            </w:r>
          </w:p>
        </w:tc>
        <w:tc>
          <w:tcPr>
            <w:tcW w:w="80" w:type="dxa"/>
            <w:vAlign w:val="bottom"/>
          </w:tcPr>
          <w:p>
            <w:pPr>
              <w:spacing w:after="0"/>
              <w:rPr>
                <w:sz w:val="19"/>
                <w:szCs w:val="19"/>
                <w:color w:val="auto"/>
              </w:rPr>
            </w:pPr>
          </w:p>
        </w:tc>
        <w:tc>
          <w:tcPr>
            <w:tcW w:w="860" w:type="dxa"/>
            <w:vAlign w:val="bottom"/>
            <w:vMerge w:val="restart"/>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Amount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 of</w:t>
            </w:r>
          </w:p>
        </w:tc>
        <w:tc>
          <w:tcPr>
            <w:tcW w:w="0" w:type="dxa"/>
            <w:vAlign w:val="bottom"/>
          </w:tcPr>
          <w:p>
            <w:pPr>
              <w:spacing w:after="0"/>
              <w:rPr>
                <w:sz w:val="1"/>
                <w:szCs w:val="1"/>
                <w:color w:val="auto"/>
              </w:rPr>
            </w:pPr>
          </w:p>
        </w:tc>
      </w:tr>
      <w:tr>
        <w:trPr>
          <w:trHeight w:val="261"/>
        </w:trPr>
        <w:tc>
          <w:tcPr>
            <w:tcW w:w="4620" w:type="dxa"/>
            <w:vAlign w:val="bottom"/>
            <w:tcBorders>
              <w:bottom w:val="single" w:sz="8" w:color="D5D5D5"/>
            </w:tcBorders>
          </w:tcPr>
          <w:p>
            <w:pPr>
              <w:spacing w:after="0"/>
              <w:rPr>
                <w:sz w:val="22"/>
                <w:szCs w:val="22"/>
                <w:color w:val="auto"/>
              </w:rPr>
            </w:pPr>
          </w:p>
        </w:tc>
        <w:tc>
          <w:tcPr>
            <w:tcW w:w="880" w:type="dxa"/>
            <w:vAlign w:val="bottom"/>
            <w:tcBorders>
              <w:bottom w:val="single" w:sz="8" w:color="auto"/>
            </w:tcBorders>
            <w:gridSpan w:val="2"/>
            <w:vMerge w:val="continue"/>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Total</w:t>
            </w:r>
          </w:p>
        </w:tc>
        <w:tc>
          <w:tcPr>
            <w:tcW w:w="80" w:type="dxa"/>
            <w:vAlign w:val="bottom"/>
            <w:tcBorders>
              <w:bottom w:val="single" w:sz="8" w:color="D5D5D5"/>
            </w:tcBorders>
          </w:tcPr>
          <w:p>
            <w:pPr>
              <w:spacing w:after="0"/>
              <w:rPr>
                <w:sz w:val="22"/>
                <w:szCs w:val="22"/>
                <w:color w:val="auto"/>
              </w:rPr>
            </w:pPr>
          </w:p>
        </w:tc>
        <w:tc>
          <w:tcPr>
            <w:tcW w:w="860" w:type="dxa"/>
            <w:vAlign w:val="bottom"/>
            <w:tcBorders>
              <w:bottom w:val="single" w:sz="8" w:color="auto"/>
            </w:tcBorders>
            <w:gridSpan w:val="2"/>
            <w:vMerge w:val="continue"/>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Total</w:t>
            </w:r>
          </w:p>
        </w:tc>
        <w:tc>
          <w:tcPr>
            <w:tcW w:w="80" w:type="dxa"/>
            <w:vAlign w:val="bottom"/>
            <w:tcBorders>
              <w:bottom w:val="single" w:sz="8" w:color="D5D5D5"/>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Total</w:t>
            </w:r>
          </w:p>
        </w:tc>
        <w:tc>
          <w:tcPr>
            <w:tcW w:w="20" w:type="dxa"/>
            <w:vAlign w:val="bottom"/>
            <w:tcBorders>
              <w:bottom w:val="single" w:sz="8" w:color="D5D5D5"/>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462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AT&amp;T Inc.</w:t>
            </w:r>
          </w:p>
        </w:tc>
        <w:tc>
          <w:tcPr>
            <w:tcW w:w="16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942.8</w:t>
            </w:r>
          </w:p>
        </w:tc>
        <w:tc>
          <w:tcPr>
            <w:tcW w:w="7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20.1 %</w:t>
            </w:r>
          </w:p>
        </w:tc>
        <w:tc>
          <w:tcPr>
            <w:tcW w:w="240" w:type="dxa"/>
            <w:vAlign w:val="bottom"/>
            <w:gridSpan w:val="2"/>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706.5</w:t>
            </w:r>
          </w:p>
        </w:tc>
        <w:tc>
          <w:tcPr>
            <w:tcW w:w="8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16.9 %</w:t>
            </w:r>
          </w:p>
        </w:tc>
        <w:tc>
          <w:tcPr>
            <w:tcW w:w="940" w:type="dxa"/>
            <w:vAlign w:val="bottom"/>
            <w:gridSpan w:val="2"/>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  958.0</w:t>
            </w:r>
          </w:p>
        </w:tc>
        <w:tc>
          <w:tcPr>
            <w:tcW w:w="8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25.2 %</w:t>
            </w:r>
          </w:p>
        </w:tc>
        <w:tc>
          <w:tcPr>
            <w:tcW w:w="20" w:type="dxa"/>
            <w:vAlign w:val="bottom"/>
            <w:shd w:val="clear" w:color="auto" w:fill="D5D5D5"/>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6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Lumen Technologies</w:t>
            </w:r>
          </w:p>
        </w:tc>
        <w:tc>
          <w:tcPr>
            <w:tcW w:w="160" w:type="dxa"/>
            <w:vAlign w:val="bottom"/>
          </w:tcPr>
          <w:p>
            <w:pPr>
              <w:spacing w:after="0"/>
              <w:rPr>
                <w:sz w:val="24"/>
                <w:szCs w:val="24"/>
                <w:color w:val="auto"/>
              </w:rPr>
            </w:pPr>
          </w:p>
        </w:tc>
        <w:tc>
          <w:tcPr>
            <w:tcW w:w="7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570.4</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650.6</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15.6 %</w:t>
            </w:r>
          </w:p>
        </w:tc>
        <w:tc>
          <w:tcPr>
            <w:tcW w:w="94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483.5</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62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Comcast Corporation</w:t>
            </w:r>
          </w:p>
        </w:tc>
        <w:tc>
          <w:tcPr>
            <w:tcW w:w="160" w:type="dxa"/>
            <w:vAlign w:val="bottom"/>
            <w:shd w:val="clear" w:color="auto" w:fill="D5D5D5"/>
          </w:tcPr>
          <w:p>
            <w:pPr>
              <w:spacing w:after="0"/>
              <w:rPr>
                <w:sz w:val="24"/>
                <w:szCs w:val="24"/>
                <w:color w:val="auto"/>
              </w:rPr>
            </w:pPr>
          </w:p>
        </w:tc>
        <w:tc>
          <w:tcPr>
            <w:tcW w:w="720" w:type="dxa"/>
            <w:vAlign w:val="bottom"/>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401.6</w:t>
            </w:r>
          </w:p>
        </w:tc>
        <w:tc>
          <w:tcPr>
            <w:tcW w:w="78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8.5 %</w:t>
            </w:r>
          </w:p>
        </w:tc>
        <w:tc>
          <w:tcPr>
            <w:tcW w:w="80" w:type="dxa"/>
            <w:vAlign w:val="bottom"/>
            <w:shd w:val="clear" w:color="auto" w:fill="D5D5D5"/>
          </w:tcPr>
          <w:p>
            <w:pPr>
              <w:spacing w:after="0"/>
              <w:rPr>
                <w:sz w:val="24"/>
                <w:szCs w:val="24"/>
                <w:color w:val="auto"/>
              </w:rPr>
            </w:pPr>
          </w:p>
        </w:tc>
        <w:tc>
          <w:tcPr>
            <w:tcW w:w="160" w:type="dxa"/>
            <w:vAlign w:val="bottom"/>
            <w:shd w:val="clear" w:color="auto" w:fill="D5D5D5"/>
          </w:tcPr>
          <w:p>
            <w:pPr>
              <w:spacing w:after="0"/>
              <w:rPr>
                <w:sz w:val="24"/>
                <w:szCs w:val="24"/>
                <w:color w:val="auto"/>
              </w:rPr>
            </w:pPr>
          </w:p>
        </w:tc>
        <w:tc>
          <w:tcPr>
            <w:tcW w:w="700" w:type="dxa"/>
            <w:vAlign w:val="bottom"/>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448.6</w:t>
            </w:r>
          </w:p>
        </w:tc>
        <w:tc>
          <w:tcPr>
            <w:tcW w:w="80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10.7 %</w:t>
            </w:r>
          </w:p>
        </w:tc>
        <w:tc>
          <w:tcPr>
            <w:tcW w:w="940" w:type="dxa"/>
            <w:vAlign w:val="bottom"/>
            <w:gridSpan w:val="2"/>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430.6</w:t>
            </w:r>
          </w:p>
        </w:tc>
        <w:tc>
          <w:tcPr>
            <w:tcW w:w="820" w:type="dxa"/>
            <w:vAlign w:val="bottom"/>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11.3 %</w:t>
            </w:r>
          </w:p>
        </w:tc>
        <w:tc>
          <w:tcPr>
            <w:tcW w:w="20" w:type="dxa"/>
            <w:vAlign w:val="bottom"/>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D5D5D5"/>
            </w:tcBorders>
          </w:tcPr>
          <w:p>
            <w:pPr>
              <w:ind w:left="40"/>
              <w:spacing w:after="0"/>
              <w:rPr>
                <w:sz w:val="20"/>
                <w:szCs w:val="20"/>
                <w:color w:val="auto"/>
              </w:rPr>
            </w:pPr>
            <w:r>
              <w:rPr>
                <w:rFonts w:ascii="Times New Roman" w:cs="Times New Roman" w:eastAsia="Times New Roman" w:hAnsi="Times New Roman"/>
                <w:sz w:val="19"/>
                <w:szCs w:val="19"/>
                <w:color w:val="auto"/>
              </w:rPr>
              <w:t>Total other customers combined</w:t>
            </w: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2,787.2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59.3 %</w:t>
            </w:r>
          </w:p>
        </w:tc>
        <w:tc>
          <w:tcPr>
            <w:tcW w:w="80" w:type="dxa"/>
            <w:vAlign w:val="bottom"/>
            <w:tcBorders>
              <w:bottom w:val="single" w:sz="8" w:color="D5D5D5"/>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w w:val="98"/>
              </w:rPr>
              <w:t>2,369.9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56.8 %</w:t>
            </w:r>
          </w:p>
        </w:tc>
        <w:tc>
          <w:tcPr>
            <w:tcW w:w="80" w:type="dxa"/>
            <w:vAlign w:val="bottom"/>
            <w:tcBorders>
              <w:bottom w:val="single" w:sz="8" w:color="D5D5D5"/>
            </w:tcBorders>
          </w:tcPr>
          <w:p>
            <w:pPr>
              <w:spacing w:after="0"/>
              <w:rPr>
                <w:sz w:val="22"/>
                <w:szCs w:val="22"/>
                <w:color w:val="auto"/>
              </w:rPr>
            </w:pPr>
          </w:p>
        </w:tc>
        <w:tc>
          <w:tcPr>
            <w:tcW w:w="8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1,936.4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50.8 %</w:t>
            </w:r>
          </w:p>
        </w:tc>
        <w:tc>
          <w:tcPr>
            <w:tcW w:w="20" w:type="dxa"/>
            <w:vAlign w:val="bottom"/>
            <w:tcBorders>
              <w:bottom w:val="single" w:sz="8" w:color="D5D5D5"/>
            </w:tcBorders>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4620" w:type="dxa"/>
            <w:vAlign w:val="bottom"/>
            <w:tcBorders>
              <w:bottom w:val="single" w:sz="8" w:color="D5D5D5"/>
            </w:tcBorders>
            <w:shd w:val="clear" w:color="auto" w:fill="D5D5D5"/>
          </w:tcPr>
          <w:p>
            <w:pPr>
              <w:ind w:left="180"/>
              <w:spacing w:after="0"/>
              <w:rPr>
                <w:sz w:val="20"/>
                <w:szCs w:val="20"/>
                <w:color w:val="auto"/>
              </w:rPr>
            </w:pPr>
            <w:r>
              <w:rPr>
                <w:rFonts w:ascii="Times New Roman" w:cs="Times New Roman" w:eastAsia="Times New Roman" w:hAnsi="Times New Roman"/>
                <w:sz w:val="19"/>
                <w:szCs w:val="19"/>
                <w:color w:val="auto"/>
              </w:rPr>
              <w:t>Total contract revenues</w:t>
            </w:r>
          </w:p>
        </w:tc>
        <w:tc>
          <w:tcPr>
            <w:tcW w:w="1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Borders>
              <w:bottom w:val="single" w:sz="8" w:color="auto"/>
            </w:tcBorders>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4,702.0</w:t>
            </w:r>
          </w:p>
        </w:tc>
        <w:tc>
          <w:tcPr>
            <w:tcW w:w="780" w:type="dxa"/>
            <w:vAlign w:val="bottom"/>
            <w:tcBorders>
              <w:bottom w:val="single" w:sz="8" w:color="auto"/>
            </w:tcBorders>
            <w:shd w:val="clear" w:color="auto" w:fill="D5D5D5"/>
          </w:tcPr>
          <w:p>
            <w:pPr>
              <w:jc w:val="center"/>
              <w:spacing w:after="0"/>
              <w:rPr>
                <w:sz w:val="20"/>
                <w:szCs w:val="20"/>
                <w:color w:val="auto"/>
              </w:rPr>
            </w:pPr>
            <w:r>
              <w:rPr>
                <w:rFonts w:ascii="Times New Roman" w:cs="Times New Roman" w:eastAsia="Times New Roman" w:hAnsi="Times New Roman"/>
                <w:sz w:val="19"/>
                <w:szCs w:val="19"/>
                <w:color w:val="auto"/>
              </w:rPr>
              <w:t>100.0%</w:t>
            </w:r>
          </w:p>
        </w:tc>
        <w:tc>
          <w:tcPr>
            <w:tcW w:w="80" w:type="dxa"/>
            <w:vAlign w:val="bottom"/>
            <w:tcBorders>
              <w:bottom w:val="single" w:sz="8" w:color="D5D5D5"/>
            </w:tcBorders>
            <w:shd w:val="clear" w:color="auto" w:fill="D5D5D5"/>
          </w:tcPr>
          <w:p>
            <w:pPr>
              <w:spacing w:after="0"/>
              <w:rPr>
                <w:sz w:val="24"/>
                <w:szCs w:val="24"/>
                <w:color w:val="auto"/>
              </w:rPr>
            </w:pPr>
          </w:p>
        </w:tc>
        <w:tc>
          <w:tcPr>
            <w:tcW w:w="160" w:type="dxa"/>
            <w:vAlign w:val="bottom"/>
            <w:tcBorders>
              <w:bottom w:val="single" w:sz="8" w:color="auto"/>
            </w:tcBorders>
            <w:shd w:val="clear" w:color="auto" w:fill="D5D5D5"/>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Borders>
              <w:bottom w:val="single" w:sz="8" w:color="auto"/>
            </w:tcBorders>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w w:val="98"/>
              </w:rPr>
              <w:t>4,175.6</w:t>
            </w:r>
          </w:p>
        </w:tc>
        <w:tc>
          <w:tcPr>
            <w:tcW w:w="800" w:type="dxa"/>
            <w:vAlign w:val="bottom"/>
            <w:tcBorders>
              <w:bottom w:val="single" w:sz="8" w:color="auto"/>
            </w:tcBorders>
            <w:shd w:val="clear" w:color="auto" w:fill="D5D5D5"/>
          </w:tcPr>
          <w:p>
            <w:pPr>
              <w:jc w:val="center"/>
              <w:spacing w:after="0"/>
              <w:rPr>
                <w:sz w:val="20"/>
                <w:szCs w:val="20"/>
                <w:color w:val="auto"/>
              </w:rPr>
            </w:pPr>
            <w:r>
              <w:rPr>
                <w:rFonts w:ascii="Times New Roman" w:cs="Times New Roman" w:eastAsia="Times New Roman" w:hAnsi="Times New Roman"/>
                <w:sz w:val="19"/>
                <w:szCs w:val="19"/>
                <w:color w:val="auto"/>
              </w:rPr>
              <w:t>100.0%</w:t>
            </w:r>
          </w:p>
        </w:tc>
        <w:tc>
          <w:tcPr>
            <w:tcW w:w="80" w:type="dxa"/>
            <w:vAlign w:val="bottom"/>
            <w:tcBorders>
              <w:bottom w:val="single" w:sz="8" w:color="D5D5D5"/>
            </w:tcBorders>
            <w:shd w:val="clear" w:color="auto" w:fill="D5D5D5"/>
          </w:tcPr>
          <w:p>
            <w:pPr>
              <w:spacing w:after="0"/>
              <w:rPr>
                <w:sz w:val="24"/>
                <w:szCs w:val="24"/>
                <w:color w:val="auto"/>
              </w:rPr>
            </w:pPr>
          </w:p>
        </w:tc>
        <w:tc>
          <w:tcPr>
            <w:tcW w:w="860" w:type="dxa"/>
            <w:vAlign w:val="bottom"/>
            <w:tcBorders>
              <w:bottom w:val="single" w:sz="8" w:color="auto"/>
            </w:tcBorders>
            <w:shd w:val="clear" w:color="auto" w:fill="D5D5D5"/>
          </w:tcPr>
          <w:p>
            <w:pPr>
              <w:jc w:val="right"/>
              <w:ind w:right="4"/>
              <w:spacing w:after="0"/>
              <w:rPr>
                <w:sz w:val="20"/>
                <w:szCs w:val="20"/>
                <w:color w:val="auto"/>
              </w:rPr>
            </w:pPr>
            <w:r>
              <w:rPr>
                <w:rFonts w:ascii="Times New Roman" w:cs="Times New Roman" w:eastAsia="Times New Roman" w:hAnsi="Times New Roman"/>
                <w:sz w:val="19"/>
                <w:szCs w:val="19"/>
                <w:color w:val="auto"/>
              </w:rPr>
              <w:t>$3,808.5</w:t>
            </w:r>
          </w:p>
        </w:tc>
        <w:tc>
          <w:tcPr>
            <w:tcW w:w="820" w:type="dxa"/>
            <w:vAlign w:val="bottom"/>
            <w:tcBorders>
              <w:bottom w:val="single" w:sz="8" w:color="auto"/>
            </w:tcBorders>
            <w:shd w:val="clear" w:color="auto" w:fill="D5D5D5"/>
          </w:tcPr>
          <w:p>
            <w:pPr>
              <w:jc w:val="center"/>
              <w:spacing w:after="0"/>
              <w:rPr>
                <w:sz w:val="20"/>
                <w:szCs w:val="20"/>
                <w:color w:val="auto"/>
              </w:rPr>
            </w:pPr>
            <w:r>
              <w:rPr>
                <w:rFonts w:ascii="Times New Roman" w:cs="Times New Roman" w:eastAsia="Times New Roman" w:hAnsi="Times New Roman"/>
                <w:sz w:val="19"/>
                <w:szCs w:val="19"/>
                <w:color w:val="auto"/>
              </w:rPr>
              <w:t>100.0%</w:t>
            </w:r>
          </w:p>
        </w:tc>
        <w:tc>
          <w:tcPr>
            <w:tcW w:w="20" w:type="dxa"/>
            <w:vAlign w:val="bottom"/>
            <w:tcBorders>
              <w:bottom w:val="single" w:sz="8" w:color="D5D5D5"/>
            </w:tcBorders>
            <w:shd w:val="clear" w:color="auto" w:fill="D5D5D5"/>
          </w:tcPr>
          <w:p>
            <w:pPr>
              <w:spacing w:after="0"/>
              <w:rPr>
                <w:sz w:val="24"/>
                <w:szCs w:val="24"/>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5" w:right="640" w:firstLine="345"/>
        <w:spacing w:after="0" w:line="292" w:lineRule="auto"/>
        <w:rPr>
          <w:sz w:val="20"/>
          <w:szCs w:val="20"/>
          <w:color w:val="auto"/>
        </w:rPr>
      </w:pPr>
      <w:r>
        <w:rPr>
          <w:rFonts w:ascii="Times New Roman" w:cs="Times New Roman" w:eastAsia="Times New Roman" w:hAnsi="Times New Roman"/>
          <w:sz w:val="19"/>
          <w:szCs w:val="19"/>
          <w:color w:val="auto"/>
        </w:rPr>
        <w:t xml:space="preserve">See Note 6, </w:t>
      </w:r>
      <w:r>
        <w:rPr>
          <w:rFonts w:ascii="Times New Roman" w:cs="Times New Roman" w:eastAsia="Times New Roman" w:hAnsi="Times New Roman"/>
          <w:sz w:val="19"/>
          <w:szCs w:val="19"/>
          <w:b w:val="1"/>
          <w:bCs w:val="1"/>
          <w:i w:val="1"/>
          <w:iCs w:val="1"/>
          <w:color w:val="auto"/>
        </w:rPr>
        <w:t>Accounts Receivable, Contract Assets, and Contract Liabilities</w:t>
      </w:r>
      <w:r>
        <w:rPr>
          <w:rFonts w:ascii="Times New Roman" w:cs="Times New Roman" w:eastAsia="Times New Roman" w:hAnsi="Times New Roman"/>
          <w:sz w:val="19"/>
          <w:szCs w:val="19"/>
          <w:color w:val="auto"/>
        </w:rPr>
        <w:t>, for information on our customer credit concentration and collectability of trade accounts receivable and contract assets (liabilities).</w:t>
      </w:r>
    </w:p>
    <w:p>
      <w:pPr>
        <w:spacing w:after="0" w:line="156" w:lineRule="exact"/>
        <w:rPr>
          <w:sz w:val="20"/>
          <w:szCs w:val="20"/>
          <w:color w:val="auto"/>
        </w:rPr>
      </w:pPr>
    </w:p>
    <w:p>
      <w:pPr>
        <w:ind w:left="345"/>
        <w:spacing w:after="0"/>
        <w:rPr>
          <w:sz w:val="20"/>
          <w:szCs w:val="20"/>
          <w:color w:val="auto"/>
        </w:rPr>
      </w:pPr>
      <w:r>
        <w:rPr>
          <w:rFonts w:ascii="Times New Roman" w:cs="Times New Roman" w:eastAsia="Times New Roman" w:hAnsi="Times New Roman"/>
          <w:sz w:val="19"/>
          <w:szCs w:val="19"/>
          <w:b w:val="1"/>
          <w:bCs w:val="1"/>
          <w:color w:val="auto"/>
        </w:rPr>
        <w:t>Customer Type</w:t>
      </w:r>
    </w:p>
    <w:p>
      <w:pPr>
        <w:spacing w:after="0" w:line="249" w:lineRule="exact"/>
        <w:rPr>
          <w:sz w:val="20"/>
          <w:szCs w:val="20"/>
          <w:color w:val="auto"/>
        </w:rPr>
      </w:pPr>
    </w:p>
    <w:p>
      <w:pPr>
        <w:ind w:left="5" w:right="500" w:firstLine="345"/>
        <w:spacing w:after="0" w:line="289" w:lineRule="auto"/>
        <w:rPr>
          <w:sz w:val="20"/>
          <w:szCs w:val="20"/>
          <w:color w:val="auto"/>
        </w:rPr>
      </w:pPr>
      <w:r>
        <w:rPr>
          <w:rFonts w:ascii="Times New Roman" w:cs="Times New Roman" w:eastAsia="Times New Roman" w:hAnsi="Times New Roman"/>
          <w:sz w:val="19"/>
          <w:szCs w:val="19"/>
          <w:color w:val="auto"/>
        </w:rPr>
        <w:t>Total contract revenues by customer type during fiscal 2025, fiscal 2024, and fiscal 2023, were as follows (dollars in millions):</w:t>
      </w:r>
    </w:p>
    <w:p>
      <w:pPr>
        <w:spacing w:after="0" w:line="131" w:lineRule="exact"/>
        <w:rPr>
          <w:sz w:val="20"/>
          <w:szCs w:val="20"/>
          <w:color w:val="auto"/>
        </w:rPr>
      </w:pPr>
    </w:p>
    <w:tbl>
      <w:tblPr>
        <w:tblLayout w:type="fixed"/>
        <w:tblInd w:w="45" w:type="dxa"/>
        <w:tblCellMar>
          <w:top w:w="0" w:type="dxa"/>
          <w:left w:w="0" w:type="dxa"/>
          <w:bottom w:w="0" w:type="dxa"/>
          <w:right w:w="0" w:type="dxa"/>
        </w:tblCellMar>
      </w:tblPr>
      <w:tr>
        <w:trPr>
          <w:trHeight w:val="266"/>
        </w:trPr>
        <w:tc>
          <w:tcPr>
            <w:tcW w:w="4760" w:type="dxa"/>
            <w:vAlign w:val="bottom"/>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rPr>
              <w:t>Fiscal Year Ended</w:t>
            </w:r>
          </w:p>
        </w:tc>
        <w:tc>
          <w:tcPr>
            <w:tcW w:w="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4760" w:type="dxa"/>
            <w:vAlign w:val="bottom"/>
          </w:tcPr>
          <w:p>
            <w:pPr>
              <w:spacing w:after="0"/>
              <w:rPr>
                <w:sz w:val="23"/>
                <w:szCs w:val="23"/>
                <w:color w:val="auto"/>
              </w:rPr>
            </w:pPr>
          </w:p>
        </w:tc>
        <w:tc>
          <w:tcPr>
            <w:tcW w:w="16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9"/>
                <w:szCs w:val="19"/>
                <w:b w:val="1"/>
                <w:bCs w:val="1"/>
                <w:color w:val="auto"/>
              </w:rPr>
              <w:t>January 25, 2025</w:t>
            </w:r>
          </w:p>
        </w:tc>
        <w:tc>
          <w:tcPr>
            <w:tcW w:w="80" w:type="dxa"/>
            <w:vAlign w:val="bottom"/>
          </w:tcPr>
          <w:p>
            <w:pPr>
              <w:spacing w:after="0"/>
              <w:rPr>
                <w:sz w:val="23"/>
                <w:szCs w:val="23"/>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rPr>
              <w:t>January 27, 2024</w:t>
            </w:r>
          </w:p>
        </w:tc>
        <w:tc>
          <w:tcPr>
            <w:tcW w:w="80" w:type="dxa"/>
            <w:vAlign w:val="bottom"/>
          </w:tcPr>
          <w:p>
            <w:pPr>
              <w:spacing w:after="0"/>
              <w:rPr>
                <w:sz w:val="23"/>
                <w:szCs w:val="23"/>
                <w:color w:val="auto"/>
              </w:rPr>
            </w:pPr>
          </w:p>
        </w:tc>
        <w:tc>
          <w:tcPr>
            <w:tcW w:w="16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9"/>
                <w:szCs w:val="19"/>
                <w:b w:val="1"/>
                <w:bCs w:val="1"/>
                <w:color w:val="auto"/>
              </w:rPr>
              <w:t>January 28, 2023</w:t>
            </w:r>
          </w:p>
        </w:tc>
        <w:tc>
          <w:tcPr>
            <w:tcW w:w="0" w:type="dxa"/>
            <w:vAlign w:val="bottom"/>
          </w:tcPr>
          <w:p>
            <w:pPr>
              <w:spacing w:after="0"/>
              <w:rPr>
                <w:sz w:val="1"/>
                <w:szCs w:val="1"/>
                <w:color w:val="auto"/>
              </w:rPr>
            </w:pPr>
          </w:p>
        </w:tc>
      </w:tr>
      <w:tr>
        <w:trPr>
          <w:trHeight w:val="180"/>
        </w:trPr>
        <w:tc>
          <w:tcPr>
            <w:tcW w:w="4760" w:type="dxa"/>
            <w:vAlign w:val="bottom"/>
          </w:tcPr>
          <w:p>
            <w:pPr>
              <w:spacing w:after="0"/>
              <w:rPr>
                <w:sz w:val="15"/>
                <w:szCs w:val="15"/>
                <w:color w:val="auto"/>
              </w:rPr>
            </w:pPr>
          </w:p>
        </w:tc>
        <w:tc>
          <w:tcPr>
            <w:tcW w:w="840" w:type="dxa"/>
            <w:vAlign w:val="bottom"/>
            <w:vMerge w:val="restart"/>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Amount</w:t>
            </w:r>
          </w:p>
        </w:tc>
        <w:tc>
          <w:tcPr>
            <w:tcW w:w="760" w:type="dxa"/>
            <w:vAlign w:val="bottom"/>
          </w:tcPr>
          <w:p>
            <w:pPr>
              <w:ind w:left="160"/>
              <w:spacing w:after="0" w:line="180" w:lineRule="exact"/>
              <w:rPr>
                <w:sz w:val="20"/>
                <w:szCs w:val="20"/>
                <w:color w:val="auto"/>
              </w:rPr>
            </w:pPr>
            <w:r>
              <w:rPr>
                <w:rFonts w:ascii="Times New Roman" w:cs="Times New Roman" w:eastAsia="Times New Roman" w:hAnsi="Times New Roman"/>
                <w:sz w:val="19"/>
                <w:szCs w:val="19"/>
                <w:b w:val="1"/>
                <w:bCs w:val="1"/>
                <w:color w:val="auto"/>
              </w:rPr>
              <w:t>% of</w:t>
            </w:r>
          </w:p>
        </w:tc>
        <w:tc>
          <w:tcPr>
            <w:tcW w:w="80" w:type="dxa"/>
            <w:vAlign w:val="bottom"/>
          </w:tcPr>
          <w:p>
            <w:pPr>
              <w:spacing w:after="0"/>
              <w:rPr>
                <w:sz w:val="15"/>
                <w:szCs w:val="15"/>
                <w:color w:val="auto"/>
              </w:rPr>
            </w:pPr>
          </w:p>
        </w:tc>
        <w:tc>
          <w:tcPr>
            <w:tcW w:w="860" w:type="dxa"/>
            <w:vAlign w:val="bottom"/>
            <w:vMerge w:val="restart"/>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Amount</w:t>
            </w:r>
          </w:p>
        </w:tc>
        <w:tc>
          <w:tcPr>
            <w:tcW w:w="780" w:type="dxa"/>
            <w:vAlign w:val="bottom"/>
          </w:tcPr>
          <w:p>
            <w:pPr>
              <w:ind w:left="180"/>
              <w:spacing w:after="0" w:line="180" w:lineRule="exact"/>
              <w:rPr>
                <w:sz w:val="20"/>
                <w:szCs w:val="20"/>
                <w:color w:val="auto"/>
              </w:rPr>
            </w:pPr>
            <w:r>
              <w:rPr>
                <w:rFonts w:ascii="Times New Roman" w:cs="Times New Roman" w:eastAsia="Times New Roman" w:hAnsi="Times New Roman"/>
                <w:sz w:val="19"/>
                <w:szCs w:val="19"/>
                <w:b w:val="1"/>
                <w:bCs w:val="1"/>
                <w:color w:val="auto"/>
              </w:rPr>
              <w:t>% of</w:t>
            </w:r>
          </w:p>
        </w:tc>
        <w:tc>
          <w:tcPr>
            <w:tcW w:w="80" w:type="dxa"/>
            <w:vAlign w:val="bottom"/>
          </w:tcPr>
          <w:p>
            <w:pPr>
              <w:spacing w:after="0"/>
              <w:rPr>
                <w:sz w:val="15"/>
                <w:szCs w:val="15"/>
                <w:color w:val="auto"/>
              </w:rPr>
            </w:pPr>
          </w:p>
        </w:tc>
        <w:tc>
          <w:tcPr>
            <w:tcW w:w="840" w:type="dxa"/>
            <w:vAlign w:val="bottom"/>
            <w:vMerge w:val="restart"/>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Amount</w:t>
            </w:r>
          </w:p>
        </w:tc>
        <w:tc>
          <w:tcPr>
            <w:tcW w:w="760" w:type="dxa"/>
            <w:vAlign w:val="bottom"/>
          </w:tcPr>
          <w:p>
            <w:pPr>
              <w:ind w:left="160"/>
              <w:spacing w:after="0" w:line="180" w:lineRule="exact"/>
              <w:rPr>
                <w:sz w:val="20"/>
                <w:szCs w:val="20"/>
                <w:color w:val="auto"/>
              </w:rPr>
            </w:pPr>
            <w:r>
              <w:rPr>
                <w:rFonts w:ascii="Times New Roman" w:cs="Times New Roman" w:eastAsia="Times New Roman" w:hAnsi="Times New Roman"/>
                <w:sz w:val="19"/>
                <w:szCs w:val="19"/>
                <w:b w:val="1"/>
                <w:bCs w:val="1"/>
                <w:color w:val="auto"/>
              </w:rPr>
              <w:t>% of</w:t>
            </w:r>
          </w:p>
        </w:tc>
        <w:tc>
          <w:tcPr>
            <w:tcW w:w="0" w:type="dxa"/>
            <w:vAlign w:val="bottom"/>
          </w:tcPr>
          <w:p>
            <w:pPr>
              <w:spacing w:after="0"/>
              <w:rPr>
                <w:sz w:val="1"/>
                <w:szCs w:val="1"/>
                <w:color w:val="auto"/>
              </w:rPr>
            </w:pPr>
          </w:p>
        </w:tc>
      </w:tr>
      <w:tr>
        <w:trPr>
          <w:trHeight w:val="261"/>
        </w:trPr>
        <w:tc>
          <w:tcPr>
            <w:tcW w:w="4760" w:type="dxa"/>
            <w:vAlign w:val="bottom"/>
            <w:tcBorders>
              <w:bottom w:val="single" w:sz="8" w:color="D5D5D5"/>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9"/>
                <w:szCs w:val="19"/>
                <w:b w:val="1"/>
                <w:bCs w:val="1"/>
                <w:color w:val="auto"/>
              </w:rPr>
              <w:t>Total</w:t>
            </w:r>
          </w:p>
        </w:tc>
        <w:tc>
          <w:tcPr>
            <w:tcW w:w="80" w:type="dxa"/>
            <w:vAlign w:val="bottom"/>
            <w:tcBorders>
              <w:bottom w:val="single" w:sz="8" w:color="D5D5D5"/>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7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9"/>
                <w:szCs w:val="19"/>
                <w:b w:val="1"/>
                <w:bCs w:val="1"/>
                <w:color w:val="auto"/>
              </w:rPr>
              <w:t>Total</w:t>
            </w:r>
          </w:p>
        </w:tc>
        <w:tc>
          <w:tcPr>
            <w:tcW w:w="80" w:type="dxa"/>
            <w:vAlign w:val="bottom"/>
            <w:tcBorders>
              <w:bottom w:val="single" w:sz="8" w:color="D5D5D5"/>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9"/>
                <w:szCs w:val="19"/>
                <w:b w:val="1"/>
                <w:bCs w:val="1"/>
                <w:color w:val="auto"/>
              </w:rPr>
              <w:t>Total</w:t>
            </w:r>
          </w:p>
        </w:tc>
        <w:tc>
          <w:tcPr>
            <w:tcW w:w="0" w:type="dxa"/>
            <w:vAlign w:val="bottom"/>
          </w:tcPr>
          <w:p>
            <w:pPr>
              <w:spacing w:after="0"/>
              <w:rPr>
                <w:sz w:val="1"/>
                <w:szCs w:val="1"/>
                <w:color w:val="auto"/>
              </w:rPr>
            </w:pPr>
          </w:p>
        </w:tc>
      </w:tr>
      <w:tr>
        <w:trPr>
          <w:trHeight w:val="269"/>
        </w:trPr>
        <w:tc>
          <w:tcPr>
            <w:tcW w:w="4760" w:type="dxa"/>
            <w:vAlign w:val="bottom"/>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Telecommunications</w:t>
            </w:r>
          </w:p>
        </w:tc>
        <w:tc>
          <w:tcPr>
            <w:tcW w:w="840" w:type="dxa"/>
            <w:vAlign w:val="bottom"/>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w w:val="98"/>
              </w:rPr>
              <w:t>$ 4,250.2</w:t>
            </w:r>
          </w:p>
        </w:tc>
        <w:tc>
          <w:tcPr>
            <w:tcW w:w="760" w:type="dxa"/>
            <w:vAlign w:val="bottom"/>
            <w:shd w:val="clear" w:color="auto" w:fill="D5D5D5"/>
          </w:tcPr>
          <w:p>
            <w:pPr>
              <w:jc w:val="center"/>
              <w:spacing w:after="0"/>
              <w:rPr>
                <w:sz w:val="20"/>
                <w:szCs w:val="20"/>
                <w:color w:val="auto"/>
              </w:rPr>
            </w:pPr>
            <w:r>
              <w:rPr>
                <w:rFonts w:ascii="Times New Roman" w:cs="Times New Roman" w:eastAsia="Times New Roman" w:hAnsi="Times New Roman"/>
                <w:sz w:val="19"/>
                <w:szCs w:val="19"/>
                <w:color w:val="auto"/>
              </w:rPr>
              <w:t>90.4%</w:t>
            </w:r>
          </w:p>
        </w:tc>
        <w:tc>
          <w:tcPr>
            <w:tcW w:w="940" w:type="dxa"/>
            <w:vAlign w:val="bottom"/>
            <w:gridSpan w:val="2"/>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$ 3,743.3</w:t>
            </w:r>
          </w:p>
        </w:tc>
        <w:tc>
          <w:tcPr>
            <w:tcW w:w="780" w:type="dxa"/>
            <w:vAlign w:val="bottom"/>
            <w:shd w:val="clear" w:color="auto" w:fill="D5D5D5"/>
          </w:tcPr>
          <w:p>
            <w:pPr>
              <w:jc w:val="center"/>
              <w:spacing w:after="0"/>
              <w:rPr>
                <w:sz w:val="20"/>
                <w:szCs w:val="20"/>
                <w:color w:val="auto"/>
              </w:rPr>
            </w:pPr>
            <w:r>
              <w:rPr>
                <w:rFonts w:ascii="Times New Roman" w:cs="Times New Roman" w:eastAsia="Times New Roman" w:hAnsi="Times New Roman"/>
                <w:sz w:val="19"/>
                <w:szCs w:val="19"/>
                <w:color w:val="auto"/>
              </w:rPr>
              <w:t>89.6%</w:t>
            </w:r>
          </w:p>
        </w:tc>
        <w:tc>
          <w:tcPr>
            <w:tcW w:w="920" w:type="dxa"/>
            <w:vAlign w:val="bottom"/>
            <w:gridSpan w:val="2"/>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$ 3,415.8</w:t>
            </w:r>
          </w:p>
        </w:tc>
        <w:tc>
          <w:tcPr>
            <w:tcW w:w="760" w:type="dxa"/>
            <w:vAlign w:val="bottom"/>
            <w:shd w:val="clear" w:color="auto" w:fill="D5D5D5"/>
          </w:tcPr>
          <w:p>
            <w:pPr>
              <w:jc w:val="center"/>
              <w:spacing w:after="0"/>
              <w:rPr>
                <w:sz w:val="20"/>
                <w:szCs w:val="20"/>
                <w:color w:val="auto"/>
              </w:rPr>
            </w:pPr>
            <w:r>
              <w:rPr>
                <w:rFonts w:ascii="Times New Roman" w:cs="Times New Roman" w:eastAsia="Times New Roman" w:hAnsi="Times New Roman"/>
                <w:sz w:val="19"/>
                <w:szCs w:val="19"/>
                <w:color w:val="auto"/>
              </w:rPr>
              <w:t>89.7%</w:t>
            </w:r>
          </w:p>
        </w:tc>
        <w:tc>
          <w:tcPr>
            <w:tcW w:w="0" w:type="dxa"/>
            <w:vAlign w:val="bottom"/>
          </w:tcPr>
          <w:p>
            <w:pPr>
              <w:spacing w:after="0"/>
              <w:rPr>
                <w:sz w:val="1"/>
                <w:szCs w:val="1"/>
                <w:color w:val="auto"/>
              </w:rPr>
            </w:pPr>
          </w:p>
        </w:tc>
      </w:tr>
      <w:tr>
        <w:trPr>
          <w:trHeight w:val="282"/>
        </w:trPr>
        <w:tc>
          <w:tcPr>
            <w:tcW w:w="4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Underground facility locating</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314.7</w:t>
            </w:r>
          </w:p>
        </w:tc>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6.7%</w:t>
            </w:r>
          </w:p>
        </w:tc>
        <w:tc>
          <w:tcPr>
            <w:tcW w:w="94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295.3</w:t>
            </w:r>
          </w:p>
        </w:tc>
        <w:tc>
          <w:tcPr>
            <w:tcW w:w="7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7.1%</w:t>
            </w:r>
          </w:p>
        </w:tc>
        <w:tc>
          <w:tcPr>
            <w:tcW w:w="92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274.9</w:t>
            </w:r>
          </w:p>
        </w:tc>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7.2%</w:t>
            </w:r>
          </w:p>
        </w:tc>
        <w:tc>
          <w:tcPr>
            <w:tcW w:w="0" w:type="dxa"/>
            <w:vAlign w:val="bottom"/>
          </w:tcPr>
          <w:p>
            <w:pPr>
              <w:spacing w:after="0"/>
              <w:rPr>
                <w:sz w:val="1"/>
                <w:szCs w:val="1"/>
                <w:color w:val="auto"/>
              </w:rPr>
            </w:pPr>
          </w:p>
        </w:tc>
      </w:tr>
      <w:tr>
        <w:trPr>
          <w:trHeight w:val="284"/>
        </w:trPr>
        <w:tc>
          <w:tcPr>
            <w:tcW w:w="4760" w:type="dxa"/>
            <w:vAlign w:val="bottom"/>
            <w:tcBorders>
              <w:bottom w:val="single" w:sz="8" w:color="D5D5D5"/>
            </w:tcBorders>
            <w:shd w:val="clear" w:color="auto" w:fill="D5D5D5"/>
          </w:tcPr>
          <w:p>
            <w:pPr>
              <w:ind w:left="40"/>
              <w:spacing w:after="0"/>
              <w:rPr>
                <w:sz w:val="20"/>
                <w:szCs w:val="20"/>
                <w:color w:val="auto"/>
              </w:rPr>
            </w:pPr>
            <w:r>
              <w:rPr>
                <w:rFonts w:ascii="Times New Roman" w:cs="Times New Roman" w:eastAsia="Times New Roman" w:hAnsi="Times New Roman"/>
                <w:sz w:val="19"/>
                <w:szCs w:val="19"/>
                <w:color w:val="auto"/>
              </w:rPr>
              <w:t>Electrical and gas utilities and other</w:t>
            </w:r>
          </w:p>
        </w:tc>
        <w:tc>
          <w:tcPr>
            <w:tcW w:w="840" w:type="dxa"/>
            <w:vAlign w:val="bottom"/>
            <w:tcBorders>
              <w:bottom w:val="single" w:sz="8" w:color="auto"/>
            </w:tcBorders>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137.1</w:t>
            </w:r>
          </w:p>
        </w:tc>
        <w:tc>
          <w:tcPr>
            <w:tcW w:w="760" w:type="dxa"/>
            <w:vAlign w:val="bottom"/>
            <w:tcBorders>
              <w:bottom w:val="single" w:sz="8" w:color="auto"/>
            </w:tcBorders>
            <w:shd w:val="clear" w:color="auto" w:fill="D5D5D5"/>
          </w:tcPr>
          <w:p>
            <w:pPr>
              <w:jc w:val="center"/>
              <w:spacing w:after="0"/>
              <w:rPr>
                <w:sz w:val="20"/>
                <w:szCs w:val="20"/>
                <w:color w:val="auto"/>
              </w:rPr>
            </w:pPr>
            <w:r>
              <w:rPr>
                <w:rFonts w:ascii="Times New Roman" w:cs="Times New Roman" w:eastAsia="Times New Roman" w:hAnsi="Times New Roman"/>
                <w:sz w:val="19"/>
                <w:szCs w:val="19"/>
                <w:color w:val="auto"/>
              </w:rPr>
              <w:t>2.9%</w:t>
            </w:r>
          </w:p>
        </w:tc>
        <w:tc>
          <w:tcPr>
            <w:tcW w:w="80" w:type="dxa"/>
            <w:vAlign w:val="bottom"/>
            <w:tcBorders>
              <w:bottom w:val="single" w:sz="8" w:color="D5D5D5"/>
            </w:tcBorders>
            <w:shd w:val="clear" w:color="auto" w:fill="D5D5D5"/>
          </w:tcPr>
          <w:p>
            <w:pPr>
              <w:spacing w:after="0"/>
              <w:rPr>
                <w:sz w:val="24"/>
                <w:szCs w:val="24"/>
                <w:color w:val="auto"/>
              </w:rPr>
            </w:pPr>
          </w:p>
        </w:tc>
        <w:tc>
          <w:tcPr>
            <w:tcW w:w="860" w:type="dxa"/>
            <w:vAlign w:val="bottom"/>
            <w:tcBorders>
              <w:bottom w:val="single" w:sz="8" w:color="auto"/>
            </w:tcBorders>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137.0</w:t>
            </w:r>
          </w:p>
        </w:tc>
        <w:tc>
          <w:tcPr>
            <w:tcW w:w="780" w:type="dxa"/>
            <w:vAlign w:val="bottom"/>
            <w:tcBorders>
              <w:bottom w:val="single" w:sz="8" w:color="auto"/>
            </w:tcBorders>
            <w:shd w:val="clear" w:color="auto" w:fill="D5D5D5"/>
          </w:tcPr>
          <w:p>
            <w:pPr>
              <w:jc w:val="center"/>
              <w:spacing w:after="0"/>
              <w:rPr>
                <w:sz w:val="20"/>
                <w:szCs w:val="20"/>
                <w:color w:val="auto"/>
              </w:rPr>
            </w:pPr>
            <w:r>
              <w:rPr>
                <w:rFonts w:ascii="Times New Roman" w:cs="Times New Roman" w:eastAsia="Times New Roman" w:hAnsi="Times New Roman"/>
                <w:sz w:val="19"/>
                <w:szCs w:val="19"/>
                <w:color w:val="auto"/>
              </w:rPr>
              <w:t>3.3%</w:t>
            </w:r>
          </w:p>
        </w:tc>
        <w:tc>
          <w:tcPr>
            <w:tcW w:w="80" w:type="dxa"/>
            <w:vAlign w:val="bottom"/>
            <w:tcBorders>
              <w:bottom w:val="single" w:sz="8" w:color="D5D5D5"/>
            </w:tcBorders>
            <w:shd w:val="clear" w:color="auto" w:fill="D5D5D5"/>
          </w:tcPr>
          <w:p>
            <w:pPr>
              <w:spacing w:after="0"/>
              <w:rPr>
                <w:sz w:val="24"/>
                <w:szCs w:val="24"/>
                <w:color w:val="auto"/>
              </w:rPr>
            </w:pPr>
          </w:p>
        </w:tc>
        <w:tc>
          <w:tcPr>
            <w:tcW w:w="840" w:type="dxa"/>
            <w:vAlign w:val="bottom"/>
            <w:tcBorders>
              <w:bottom w:val="single" w:sz="8" w:color="auto"/>
            </w:tcBorders>
            <w:shd w:val="clear" w:color="auto" w:fill="D5D5D5"/>
          </w:tcPr>
          <w:p>
            <w:pPr>
              <w:jc w:val="right"/>
              <w:ind w:right="24"/>
              <w:spacing w:after="0"/>
              <w:rPr>
                <w:sz w:val="20"/>
                <w:szCs w:val="20"/>
                <w:color w:val="auto"/>
              </w:rPr>
            </w:pPr>
            <w:r>
              <w:rPr>
                <w:rFonts w:ascii="Times New Roman" w:cs="Times New Roman" w:eastAsia="Times New Roman" w:hAnsi="Times New Roman"/>
                <w:sz w:val="19"/>
                <w:szCs w:val="19"/>
                <w:color w:val="auto"/>
              </w:rPr>
              <w:t>117.8</w:t>
            </w:r>
          </w:p>
        </w:tc>
        <w:tc>
          <w:tcPr>
            <w:tcW w:w="760" w:type="dxa"/>
            <w:vAlign w:val="bottom"/>
            <w:tcBorders>
              <w:bottom w:val="single" w:sz="8" w:color="auto"/>
            </w:tcBorders>
            <w:shd w:val="clear" w:color="auto" w:fill="D5D5D5"/>
          </w:tcPr>
          <w:p>
            <w:pPr>
              <w:jc w:val="center"/>
              <w:spacing w:after="0"/>
              <w:rPr>
                <w:sz w:val="20"/>
                <w:szCs w:val="20"/>
                <w:color w:val="auto"/>
              </w:rPr>
            </w:pPr>
            <w:r>
              <w:rPr>
                <w:rFonts w:ascii="Times New Roman" w:cs="Times New Roman" w:eastAsia="Times New Roman" w:hAnsi="Times New Roman"/>
                <w:sz w:val="19"/>
                <w:szCs w:val="19"/>
                <w:color w:val="auto"/>
              </w:rPr>
              <w:t>3.1%</w:t>
            </w:r>
          </w:p>
        </w:tc>
        <w:tc>
          <w:tcPr>
            <w:tcW w:w="0" w:type="dxa"/>
            <w:vAlign w:val="bottom"/>
          </w:tcPr>
          <w:p>
            <w:pPr>
              <w:spacing w:after="0"/>
              <w:rPr>
                <w:sz w:val="1"/>
                <w:szCs w:val="1"/>
                <w:color w:val="auto"/>
              </w:rPr>
            </w:pPr>
          </w:p>
        </w:tc>
      </w:tr>
      <w:tr>
        <w:trPr>
          <w:trHeight w:val="250"/>
        </w:trPr>
        <w:tc>
          <w:tcPr>
            <w:tcW w:w="47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Total contract revenues</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w w:val="98"/>
              </w:rPr>
              <w:t>$ 4,702.0</w:t>
            </w:r>
          </w:p>
        </w:tc>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100.0%</w:t>
            </w:r>
          </w:p>
        </w:tc>
        <w:tc>
          <w:tcPr>
            <w:tcW w:w="94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$ 4,175.6</w:t>
            </w:r>
          </w:p>
        </w:tc>
        <w:tc>
          <w:tcPr>
            <w:tcW w:w="7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100.0%</w:t>
            </w:r>
          </w:p>
        </w:tc>
        <w:tc>
          <w:tcPr>
            <w:tcW w:w="92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$ 3,808.5</w:t>
            </w:r>
          </w:p>
        </w:tc>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100.0%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345"/>
        <w:spacing w:after="0"/>
        <w:rPr>
          <w:sz w:val="20"/>
          <w:szCs w:val="20"/>
          <w:color w:val="auto"/>
        </w:rPr>
      </w:pPr>
      <w:r>
        <w:rPr>
          <w:rFonts w:ascii="Times New Roman" w:cs="Times New Roman" w:eastAsia="Times New Roman" w:hAnsi="Times New Roman"/>
          <w:sz w:val="19"/>
          <w:szCs w:val="19"/>
          <w:b w:val="1"/>
          <w:bCs w:val="1"/>
          <w:color w:val="auto"/>
        </w:rPr>
        <w:t>Remaining Performance Obligations</w:t>
      </w:r>
    </w:p>
    <w:p>
      <w:pPr>
        <w:spacing w:after="0" w:line="249" w:lineRule="exact"/>
        <w:rPr>
          <w:sz w:val="20"/>
          <w:szCs w:val="20"/>
          <w:color w:val="auto"/>
        </w:rPr>
      </w:pPr>
    </w:p>
    <w:p>
      <w:pPr>
        <w:ind w:left="5" w:right="380" w:firstLine="345"/>
        <w:spacing w:after="0" w:line="271" w:lineRule="auto"/>
        <w:rPr>
          <w:sz w:val="20"/>
          <w:szCs w:val="20"/>
          <w:color w:val="auto"/>
        </w:rPr>
      </w:pPr>
      <w:r>
        <w:rPr>
          <w:rFonts w:ascii="Times New Roman" w:cs="Times New Roman" w:eastAsia="Times New Roman" w:hAnsi="Times New Roman"/>
          <w:sz w:val="19"/>
          <w:szCs w:val="19"/>
          <w:color w:val="auto"/>
        </w:rPr>
        <w:t>Master service agreements and other contractual agreements with customers contain customer-specified service requirements, such as discrete pricing for individual tasks. In most cases, our customers are not contractually committed to procure specific volumes of services under these agreements.</w:t>
      </w:r>
    </w:p>
    <w:p>
      <w:pPr>
        <w:spacing w:after="0" w:line="181" w:lineRule="exact"/>
        <w:rPr>
          <w:sz w:val="20"/>
          <w:szCs w:val="20"/>
          <w:color w:val="auto"/>
        </w:rPr>
      </w:pPr>
    </w:p>
    <w:p>
      <w:pPr>
        <w:ind w:left="5" w:right="180" w:firstLine="345"/>
        <w:spacing w:after="0" w:line="262" w:lineRule="auto"/>
        <w:rPr>
          <w:sz w:val="20"/>
          <w:szCs w:val="20"/>
          <w:color w:val="auto"/>
        </w:rPr>
      </w:pPr>
      <w:r>
        <w:rPr>
          <w:rFonts w:ascii="Times New Roman" w:cs="Times New Roman" w:eastAsia="Times New Roman" w:hAnsi="Times New Roman"/>
          <w:sz w:val="19"/>
          <w:szCs w:val="19"/>
          <w:color w:val="auto"/>
        </w:rPr>
        <w:t xml:space="preserve">Services are generally performed pursuant to these agreements in accordance with individual work orders. An individual work order generally is completed within one year. As a result, our remaining performance obligations under the work orders not yet completed is not meaningful in relation to our overall revenue at any given point in time. We apply the practical expedient in Accounting Standards Codification Topic 606, </w:t>
      </w:r>
      <w:r>
        <w:rPr>
          <w:rFonts w:ascii="Times New Roman" w:cs="Times New Roman" w:eastAsia="Times New Roman" w:hAnsi="Times New Roman"/>
          <w:sz w:val="19"/>
          <w:szCs w:val="19"/>
          <w:b w:val="1"/>
          <w:bCs w:val="1"/>
          <w:i w:val="1"/>
          <w:iCs w:val="1"/>
          <w:color w:val="auto"/>
        </w:rPr>
        <w:t>Revenue from Contracts with Customers,</w:t>
      </w:r>
      <w:r>
        <w:rPr>
          <w:rFonts w:ascii="Times New Roman" w:cs="Times New Roman" w:eastAsia="Times New Roman" w:hAnsi="Times New Roman"/>
          <w:sz w:val="19"/>
          <w:szCs w:val="19"/>
          <w:color w:val="auto"/>
        </w:rPr>
        <w:t xml:space="preserve"> and do not disclose information about remaining performance obligations that have original expected durations of one year or less.</w:t>
      </w:r>
    </w:p>
    <w:p>
      <w:pPr>
        <w:sectPr>
          <w:pgSz w:w="11880" w:h="15480" w:orient="portrait"/>
          <w:cols w:equalWidth="0" w:num="1">
            <w:col w:w="9805"/>
          </w:cols>
          <w:pgMar w:left="995" w:top="88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24"/>
        <w:spacing w:after="0"/>
        <w:rPr>
          <w:sz w:val="20"/>
          <w:szCs w:val="20"/>
          <w:color w:val="auto"/>
        </w:rPr>
      </w:pPr>
      <w:r>
        <w:rPr>
          <w:rFonts w:ascii="Times New Roman" w:cs="Times New Roman" w:eastAsia="Times New Roman" w:hAnsi="Times New Roman"/>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254000</wp:posOffset>
            </wp:positionV>
            <wp:extent cx="76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7">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6903720</wp:posOffset>
            </wp:positionH>
            <wp:positionV relativeFrom="paragraph">
              <wp:posOffset>254000</wp:posOffset>
            </wp:positionV>
            <wp:extent cx="76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8">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05"/>
          </w:cols>
          <w:pgMar w:left="995" w:top="889" w:right="1080" w:bottom="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9"/>
          <w:szCs w:val="19"/>
          <w:b w:val="1"/>
          <w:bCs w:val="1"/>
          <w:i w:val="1"/>
          <w:iCs w:val="1"/>
          <w:color w:val="auto"/>
        </w:rPr>
        <w:t>21. Segment Reporting</w:t>
      </w:r>
    </w:p>
    <w:p>
      <w:pPr>
        <w:spacing w:after="0" w:line="250" w:lineRule="exact"/>
        <w:rPr>
          <w:sz w:val="20"/>
          <w:szCs w:val="20"/>
          <w:color w:val="auto"/>
        </w:rPr>
      </w:pPr>
    </w:p>
    <w:p>
      <w:pPr>
        <w:jc w:val="both"/>
        <w:ind w:firstLine="345"/>
        <w:spacing w:after="0" w:line="235" w:lineRule="auto"/>
        <w:rPr>
          <w:sz w:val="20"/>
          <w:szCs w:val="20"/>
          <w:color w:val="auto"/>
        </w:rPr>
      </w:pPr>
      <w:r>
        <w:rPr>
          <w:rFonts w:ascii="Times New Roman" w:cs="Times New Roman" w:eastAsia="Times New Roman" w:hAnsi="Times New Roman"/>
          <w:sz w:val="19"/>
          <w:szCs w:val="19"/>
          <w:color w:val="auto"/>
        </w:rPr>
        <w:t>The Company operates in one reportable segment which derives revenues by providing specialty contracting services throughout the United States. These services include program management, planning engineering and design; aerial, underground and wireless construction; maintenance; and fulfillment services for telecommunications providers. Additionally, we provide underground facility locating services for various utilities, including telecommunications providers, as well as other construction and maintenance for electric and gas utilities.</w:t>
      </w:r>
    </w:p>
    <w:p>
      <w:pPr>
        <w:spacing w:after="0" w:line="163" w:lineRule="exact"/>
        <w:rPr>
          <w:sz w:val="20"/>
          <w:szCs w:val="20"/>
          <w:color w:val="auto"/>
        </w:rPr>
      </w:pPr>
    </w:p>
    <w:p>
      <w:pPr>
        <w:jc w:val="both"/>
        <w:ind w:firstLine="345"/>
        <w:spacing w:after="0" w:line="235" w:lineRule="auto"/>
        <w:rPr>
          <w:sz w:val="20"/>
          <w:szCs w:val="20"/>
          <w:color w:val="auto"/>
        </w:rPr>
      </w:pPr>
      <w:r>
        <w:rPr>
          <w:rFonts w:ascii="Times New Roman" w:cs="Times New Roman" w:eastAsia="Times New Roman" w:hAnsi="Times New Roman"/>
          <w:sz w:val="19"/>
          <w:szCs w:val="19"/>
          <w:color w:val="auto"/>
        </w:rPr>
        <w:t>The Company’s services are provided by its operating segments on a decentralized basis. Each operating segment consists of a subsidiary (or in certain instances, the combination of two or more subsidiaries), whose results are regularly reviewed by the Company's Chief Executive Officer, the chief operating decision maker (CODM). All the Company’s operating segments have been aggregated into one reportable segment based on their similar economic characteristics, nature of services and production processes, type of customers, and service distribution methods.</w:t>
      </w:r>
    </w:p>
    <w:p>
      <w:pPr>
        <w:spacing w:after="0" w:line="163" w:lineRule="exact"/>
        <w:rPr>
          <w:sz w:val="20"/>
          <w:szCs w:val="20"/>
          <w:color w:val="auto"/>
        </w:rPr>
      </w:pPr>
    </w:p>
    <w:p>
      <w:pPr>
        <w:jc w:val="both"/>
        <w:ind w:firstLine="345"/>
        <w:spacing w:after="0" w:line="243" w:lineRule="auto"/>
        <w:rPr>
          <w:sz w:val="20"/>
          <w:szCs w:val="20"/>
          <w:color w:val="auto"/>
        </w:rPr>
      </w:pPr>
      <w:r>
        <w:rPr>
          <w:rFonts w:ascii="Times New Roman" w:cs="Times New Roman" w:eastAsia="Times New Roman" w:hAnsi="Times New Roman"/>
          <w:sz w:val="19"/>
          <w:szCs w:val="19"/>
          <w:color w:val="auto"/>
        </w:rPr>
        <w:t>This segment structure reflects the financial information and reports used by the Company's CODM to make decisions regarding the Company's business, including performance assessments and strategic and operational planning in compliance with ASC 280, Segment Reporting.</w:t>
      </w:r>
    </w:p>
    <w:p>
      <w:pPr>
        <w:spacing w:after="0" w:line="158" w:lineRule="exact"/>
        <w:rPr>
          <w:sz w:val="20"/>
          <w:szCs w:val="20"/>
          <w:color w:val="auto"/>
        </w:rPr>
      </w:pPr>
    </w:p>
    <w:p>
      <w:pPr>
        <w:jc w:val="both"/>
        <w:ind w:firstLine="345"/>
        <w:spacing w:after="0" w:line="234" w:lineRule="auto"/>
        <w:rPr>
          <w:sz w:val="20"/>
          <w:szCs w:val="20"/>
          <w:color w:val="auto"/>
        </w:rPr>
      </w:pPr>
      <w:r>
        <w:rPr>
          <w:rFonts w:ascii="Times New Roman" w:cs="Times New Roman" w:eastAsia="Times New Roman" w:hAnsi="Times New Roman"/>
          <w:sz w:val="19"/>
          <w:szCs w:val="19"/>
          <w:color w:val="auto"/>
        </w:rPr>
        <w:t>The key measure of segment profit or loss utilized by the CODM to assess performance of and allocate resources to the Company’s operating segments is income before income taxes. This measure is presented on the consolidated statement of operations. Significant segment expenses included in income before income taxes are cost of earned revenues, general and administrative expenses, depreciation and amortization, interest expense and other income (expense), which are presented on the consolidated statement of operations. The measure of segment assets is reported on the consolidated balance sheet as total consolidated assets.</w:t>
      </w:r>
    </w:p>
    <w:p>
      <w:pPr>
        <w:spacing w:after="0" w:line="160" w:lineRule="exact"/>
        <w:rPr>
          <w:sz w:val="20"/>
          <w:szCs w:val="20"/>
          <w:color w:val="auto"/>
        </w:rPr>
      </w:pPr>
    </w:p>
    <w:p>
      <w:pPr>
        <w:jc w:val="both"/>
        <w:ind w:firstLine="345"/>
        <w:spacing w:after="0" w:line="261" w:lineRule="auto"/>
        <w:rPr>
          <w:sz w:val="20"/>
          <w:szCs w:val="20"/>
          <w:color w:val="auto"/>
        </w:rPr>
      </w:pPr>
      <w:r>
        <w:rPr>
          <w:rFonts w:ascii="Times New Roman" w:cs="Times New Roman" w:eastAsia="Times New Roman" w:hAnsi="Times New Roman"/>
          <w:sz w:val="19"/>
          <w:szCs w:val="19"/>
          <w:color w:val="auto"/>
        </w:rPr>
        <w:t>The CODM reviews contract revenues and income before income taxes compared to historical, forecasted and budgeted amounts to assess the performance of the Company’s operating segments and allocate resources.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22. Commitments and Contingencies</w:t>
      </w:r>
    </w:p>
    <w:p>
      <w:pPr>
        <w:spacing w:after="0" w:line="250" w:lineRule="exact"/>
        <w:rPr>
          <w:sz w:val="20"/>
          <w:szCs w:val="20"/>
          <w:color w:val="auto"/>
        </w:rPr>
      </w:pPr>
    </w:p>
    <w:p>
      <w:pPr>
        <w:jc w:val="both"/>
        <w:ind w:firstLine="345"/>
        <w:spacing w:after="0" w:line="249" w:lineRule="auto"/>
        <w:rPr>
          <w:sz w:val="20"/>
          <w:szCs w:val="20"/>
          <w:color w:val="auto"/>
        </w:rPr>
      </w:pPr>
      <w:r>
        <w:rPr>
          <w:rFonts w:ascii="Times New Roman" w:cs="Times New Roman" w:eastAsia="Times New Roman" w:hAnsi="Times New Roman"/>
          <w:sz w:val="19"/>
          <w:szCs w:val="19"/>
          <w:color w:val="auto"/>
        </w:rPr>
        <w:t>During the fourth quarter of fiscal 2016, one of the Company’s subsidiaries ceased operations. This subsidiary contributed to a multiemployer pension plan, the Pension, Hospitalization and Benefit Plan of the Electrical Industry - Pension Trust Fund (the “Plan”). In October 2016, the Plan demanded payment for a claimed withdrawal liability pursuant to its interpretation of ERISA. The subsidiary disputed, among other things, the amount of the withdrawal liability demanded by the Plan and submitted this dispute to arbitration, as required by ERISA. During the third quarter of fiscal 2025, the Company and the Plan reached an agreement to fully resolve this matter and there was no material financial impact to the Company.</w:t>
      </w:r>
    </w:p>
    <w:p>
      <w:pPr>
        <w:spacing w:after="0" w:line="195" w:lineRule="exact"/>
        <w:rPr>
          <w:sz w:val="20"/>
          <w:szCs w:val="20"/>
          <w:color w:val="auto"/>
        </w:rPr>
      </w:pPr>
    </w:p>
    <w:p>
      <w:pPr>
        <w:ind w:right="80" w:firstLine="345"/>
        <w:spacing w:after="0" w:line="262" w:lineRule="auto"/>
        <w:rPr>
          <w:sz w:val="20"/>
          <w:szCs w:val="20"/>
          <w:color w:val="auto"/>
        </w:rPr>
      </w:pPr>
      <w:r>
        <w:rPr>
          <w:rFonts w:ascii="Times New Roman" w:cs="Times New Roman" w:eastAsia="Times New Roman" w:hAnsi="Times New Roman"/>
          <w:sz w:val="19"/>
          <w:szCs w:val="19"/>
          <w:color w:val="auto"/>
        </w:rPr>
        <w:t>From time to time, we are party to other various claims and legal proceedings arising in the ordinary course of business. While the resolution of these matters cannot be predicted with certainty, it is the opinion of management, based on information available at this time, that the ultimate resolution of any such claims or legal proceedings will not, after considering applicable insurance coverage or other indemnities to which we may be entitled, have a material effect on our financial position, results of operations, or cash flow.</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Commitments</w:t>
      </w:r>
    </w:p>
    <w:p>
      <w:pPr>
        <w:spacing w:after="0" w:line="246" w:lineRule="exact"/>
        <w:rPr>
          <w:sz w:val="20"/>
          <w:szCs w:val="20"/>
          <w:color w:val="auto"/>
        </w:rPr>
      </w:pPr>
    </w:p>
    <w:p>
      <w:pPr>
        <w:ind w:firstLine="345"/>
        <w:spacing w:after="0" w:line="253" w:lineRule="auto"/>
        <w:rPr>
          <w:sz w:val="20"/>
          <w:szCs w:val="20"/>
          <w:color w:val="auto"/>
        </w:rPr>
      </w:pPr>
      <w:r>
        <w:rPr>
          <w:rFonts w:ascii="Times New Roman" w:cs="Times New Roman" w:eastAsia="Times New Roman" w:hAnsi="Times New Roman"/>
          <w:sz w:val="19"/>
          <w:szCs w:val="19"/>
          <w:b w:val="1"/>
          <w:bCs w:val="1"/>
          <w:i w:val="1"/>
          <w:iCs w:val="1"/>
          <w:color w:val="auto"/>
        </w:rPr>
        <w:t xml:space="preserve">Performance and Payment Bonds and Guarantees. </w:t>
      </w:r>
      <w:r>
        <w:rPr>
          <w:rFonts w:ascii="Times New Roman" w:cs="Times New Roman" w:eastAsia="Times New Roman" w:hAnsi="Times New Roman"/>
          <w:sz w:val="19"/>
          <w:szCs w:val="19"/>
          <w:color w:val="auto"/>
        </w:rPr>
        <w:t>We have obligations under performance and other surety contract bonds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related to certain of our customer contracts. Performance bonds generally provide a customer with the right to obtain payment and/or performance from the issuer of the bond if we fail to perform our contractual obligations. As of January 25, 2025 and January 27, 2024, we had $413.5 million and $409.6 million, respectively, of outstanding performance and other surety contract bonds. In addition to performance and other surety contract bonds, as part of our insurance program, we also provide surety bonds that collateralize our obligations to our insurance carriers. As of January 25, 2025 and January 27, 2024, we had</w:t>
      </w:r>
    </w:p>
    <w:p>
      <w:pPr>
        <w:spacing w:after="0" w:line="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$31.0 million and $20.4 million, respectively, of outstanding surety bonds related to our insurance obligations. Additionally, the Company periodically guarantees certain obligations of its subsidiaries, including obligations in connection with obtaining state contractor licenses and leasing real property and equipment.</w:t>
      </w:r>
    </w:p>
    <w:p>
      <w:pPr>
        <w:spacing w:after="0" w:line="179" w:lineRule="exact"/>
        <w:rPr>
          <w:sz w:val="20"/>
          <w:szCs w:val="20"/>
          <w:color w:val="auto"/>
        </w:rPr>
      </w:pPr>
    </w:p>
    <w:p>
      <w:pPr>
        <w:jc w:val="both"/>
        <w:ind w:right="180" w:firstLine="345"/>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 xml:space="preserve">Letters of Credit. </w:t>
      </w:r>
      <w:r>
        <w:rPr>
          <w:rFonts w:ascii="Times New Roman" w:cs="Times New Roman" w:eastAsia="Times New Roman" w:hAnsi="Times New Roman"/>
          <w:sz w:val="19"/>
          <w:szCs w:val="19"/>
          <w:color w:val="auto"/>
        </w:rPr>
        <w:t>We have issued standby letters of credit under our credit agreement that collateralize our obligations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our insurance carriers. As of both January 25, 2025 and January 27, 2024, we had $47.5 million of outstanding standby letters of credit issued under our credit agreement.</w:t>
      </w:r>
    </w:p>
    <w:p>
      <w:pPr>
        <w:sectPr>
          <w:pgSz w:w="11880" w:h="15480" w:orient="portrait"/>
          <w:cols w:equalWidth="0" w:num="1">
            <w:col w:w="9840"/>
          </w:cols>
          <w:pgMar w:left="1000" w:top="889"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73</w:t>
      </w:r>
    </w:p>
    <w:p>
      <w:pPr>
        <w:spacing w:after="0" w:line="20" w:lineRule="exact"/>
        <w:rPr>
          <w:sz w:val="20"/>
          <w:szCs w:val="20"/>
          <w:color w:val="auto"/>
        </w:rPr>
      </w:pPr>
    </w:p>
    <w:p>
      <w:pPr>
        <w:sectPr>
          <w:pgSz w:w="11880" w:h="15480" w:orient="portrait"/>
          <w:cols w:equalWidth="0" w:num="1">
            <w:col w:w="9840"/>
          </w:cols>
          <w:pgMar w:left="1000" w:top="889" w:right="1040" w:bottom="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9"/>
          <w:szCs w:val="19"/>
          <w:b w:val="1"/>
          <w:bCs w:val="1"/>
          <w:i w:val="1"/>
          <w:iCs w:val="1"/>
          <w:color w:val="auto"/>
        </w:rPr>
        <w:t>23. Subsequent Events</w:t>
      </w:r>
    </w:p>
    <w:p>
      <w:pPr>
        <w:spacing w:after="0" w:line="250" w:lineRule="exact"/>
        <w:rPr>
          <w:sz w:val="20"/>
          <w:szCs w:val="20"/>
          <w:color w:val="auto"/>
        </w:rPr>
      </w:pPr>
    </w:p>
    <w:p>
      <w:pPr>
        <w:jc w:val="both"/>
        <w:ind w:firstLine="346"/>
        <w:spacing w:after="0" w:line="238" w:lineRule="auto"/>
        <w:rPr>
          <w:sz w:val="20"/>
          <w:szCs w:val="20"/>
          <w:color w:val="auto"/>
        </w:rPr>
      </w:pPr>
      <w:r>
        <w:rPr>
          <w:rFonts w:ascii="Times New Roman" w:cs="Times New Roman" w:eastAsia="Times New Roman" w:hAnsi="Times New Roman"/>
          <w:sz w:val="19"/>
          <w:szCs w:val="19"/>
          <w:color w:val="auto"/>
        </w:rPr>
        <w:t>On February 26, 2025 the Company announced that its Board of Directors had authorized a new $150.0 million program to repurchase shares of the Company’s outstanding common stock through August 2026 in open market or private transactions. The new authorization replaces the remaining $55.0 million that was available under the prior authorization. As of February 28, 2025, the full $150.0 million of the new authorization was available for repurchases.</w:t>
      </w:r>
    </w:p>
    <w:p>
      <w:pPr>
        <w:sectPr>
          <w:pgSz w:w="11880" w:h="15480" w:orient="portrait"/>
          <w:cols w:equalWidth="0" w:num="1">
            <w:col w:w="9840"/>
          </w:cols>
          <w:pgMar w:left="1000" w:top="889"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74</w:t>
      </w:r>
    </w:p>
    <w:p>
      <w:pPr>
        <w:spacing w:after="0" w:line="20" w:lineRule="exact"/>
        <w:rPr>
          <w:sz w:val="20"/>
          <w:szCs w:val="20"/>
          <w:color w:val="auto"/>
        </w:rPr>
      </w:pPr>
    </w:p>
    <w:p>
      <w:pPr>
        <w:sectPr>
          <w:pgSz w:w="11880" w:h="15480" w:orient="portrait"/>
          <w:cols w:equalWidth="0" w:num="1">
            <w:col w:w="9840"/>
          </w:cols>
          <w:pgMar w:left="1000" w:top="889" w:right="1040" w:bottom="0" w:gutter="0" w:footer="0" w:header="0"/>
          <w:type w:val="continuous"/>
        </w:sectPr>
      </w:pPr>
    </w:p>
    <w:bookmarkStart w:id="80" w:name="page81"/>
    <w:bookmarkEnd w:id="80"/>
    <w:p>
      <w:pPr>
        <w:ind w:left="2520"/>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Board of Directors and Stockholders of Dycom Industries, Inc.</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Opinions on the Financial Statements and Internal Control over Financial Reporting</w:t>
      </w:r>
    </w:p>
    <w:p>
      <w:pPr>
        <w:spacing w:after="0" w:line="22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Dycom Industries, Inc. and its subsidiaries (the “Company”) as of January 25, 2025 and January 27, 2024, and the related consolidated statements of operations, of comprehensive income, of stockholders’ equity and of cash flows for each of the three years in the period ended January 25, 2025, including the related notes (collectively referred to as the “consolidated financial statements”). We also have audited the Company's internal control over financial reporting as of January 25, 2025, based on criteria established in Internal Control - Integrated Framework (2013) issued by the Committee of Sponsoring Organizations of the Treadway Commission (COSO).</w:t>
      </w:r>
    </w:p>
    <w:p>
      <w:pPr>
        <w:spacing w:after="0" w:line="184"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9"/>
          <w:szCs w:val="19"/>
          <w:color w:val="auto"/>
        </w:rPr>
        <w:t>In our opinion, the consolidated financial statements referred to above present fairly, in all material respects, the financial position of the Company as of January 25, 2025 and January 27, 2024, and the results of its operations and its cash flows for each of the three years in the period ended January 25, 2025 in conformity with accounting principles generally accepted in the United States of America. Also in our opinion, the Company maintained, in all material respects, effective internal control over financial reporting as of January 25, 2025, based on criteria established in Internal Control - Integrated Framework (2013) issued by the COSO.</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Opinions</w:t>
      </w:r>
    </w:p>
    <w:p>
      <w:pPr>
        <w:spacing w:after="0" w:line="22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8"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9"/>
          <w:szCs w:val="19"/>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Definition and Limitations of Internal Control over Financial Reporting</w:t>
      </w:r>
    </w:p>
    <w:p>
      <w:pPr>
        <w:spacing w:after="0" w:line="22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0" w:lineRule="exact"/>
        <w:rPr>
          <w:sz w:val="20"/>
          <w:szCs w:val="20"/>
          <w:color w:val="auto"/>
        </w:rPr>
      </w:pPr>
    </w:p>
    <w:p>
      <w:pPr>
        <w:jc w:val="both"/>
        <w:ind w:right="440"/>
        <w:spacing w:after="0" w:line="254"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880" w:h="15480" w:orient="portrait"/>
          <w:cols w:equalWidth="0" w:num="1">
            <w:col w:w="9840"/>
          </w:cols>
          <w:pgMar w:left="1000" w:top="89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75</w:t>
      </w:r>
    </w:p>
    <w:p>
      <w:pPr>
        <w:spacing w:after="0" w:line="20" w:lineRule="exact"/>
        <w:rPr>
          <w:sz w:val="20"/>
          <w:szCs w:val="20"/>
          <w:color w:val="auto"/>
        </w:rPr>
      </w:pPr>
    </w:p>
    <w:p>
      <w:pPr>
        <w:sectPr>
          <w:pgSz w:w="11880" w:h="15480" w:orient="portrait"/>
          <w:cols w:equalWidth="0" w:num="1">
            <w:col w:w="9840"/>
          </w:cols>
          <w:pgMar w:left="1000" w:top="891" w:right="104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9"/>
          <w:szCs w:val="19"/>
          <w:b w:val="1"/>
          <w:bCs w:val="1"/>
          <w:color w:val="auto"/>
        </w:rPr>
        <w:t>Critical Audit Matters</w:t>
      </w:r>
    </w:p>
    <w:p>
      <w:pPr>
        <w:spacing w:after="0" w:line="224"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9"/>
          <w:szCs w:val="19"/>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Acquisition of Certain Assets of a Telecommunications Construction Contractor - Valuation of Customer Relationships</w:t>
      </w:r>
    </w:p>
    <w:p>
      <w:pPr>
        <w:spacing w:after="0" w:line="22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9"/>
          <w:szCs w:val="19"/>
          <w:color w:val="auto"/>
        </w:rPr>
        <w:t>As described in Note 5 to the consolidated financial statements, during the third quarter of fiscal 2025, the Company acquired certain assets and assumed certain liabilities of a telecommunications construction contractor for $150.7 million, which resulted in the recognition of $130.2 million of intangible assets, a significant portion of which related to customer relationships. The fair value of the customer relationships was estimated using the multi-period excess earnings method. Significant judgments and assumptions included projected revenue growth rates, profit margins, discount rate, and customer attrition rates.</w:t>
      </w:r>
    </w:p>
    <w:p>
      <w:pPr>
        <w:spacing w:after="0" w:line="18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9"/>
          <w:szCs w:val="19"/>
          <w:color w:val="auto"/>
        </w:rPr>
        <w:t>The principal considerations for our determination that performing procedures relating to the valuation of the customer relationships acquired in the acquisition of certain assets of a telecommunications construction contractor is a critical audit matter are (i) the significant judgment by management when developing the fair value estimate of the customer relationships acquired; (ii) a high degree of auditor judgment, subjectivity, and effort in performing procedures and evaluating management’s significant assumptions related to projected revenue growth rates, profit margins, discount rate, and customer attrition rates; and (iii) the audit effort involved the use of professionals with specialized skill and knowledge.</w:t>
      </w:r>
    </w:p>
    <w:p>
      <w:pPr>
        <w:spacing w:after="0" w:line="184"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9"/>
          <w:szCs w:val="19"/>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customer relationships acquired. These procedures also included, among others (i) reading the purchase agreement; (ii) testing management’s process for developing the fair value estimate of the customer relationships acquired; (iii) evaluating the appropriateness of the multi-period excess earnings method used by management; (iv) testing the completeness and accuracy of the underlying data used by management in the multi-period excess earnings method; and (v) evaluating the reasonableness of the significant assumptions used by management related to projected revenue growth rates, profit margins, discount rate, and customer attrition rates. Evaluating management’s assumptions related to projected revenue growth rates and profit margins involved considering (i) the telecommunications construction contractor’s historical performance; (ii) the consistency with economic and industry data; and</w:t>
      </w:r>
    </w:p>
    <w:p>
      <w:pPr>
        <w:spacing w:after="0" w:line="2" w:lineRule="exact"/>
        <w:rPr>
          <w:sz w:val="20"/>
          <w:szCs w:val="20"/>
          <w:color w:val="auto"/>
        </w:rPr>
      </w:pPr>
    </w:p>
    <w:p>
      <w:pPr>
        <w:ind w:right="20" w:firstLine="4"/>
        <w:spacing w:after="0" w:line="254" w:lineRule="auto"/>
        <w:tabs>
          <w:tab w:leader="none" w:pos="335"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the assumptions were consistent with evidence obtained in other areas of the audit. Professionals with specialized skill and knowledge were used to assist in evaluating (i) the appropriateness of the multi-period excess earnings method and (ii) the reasonableness of the significant assumptions related to the discount rate and customer attrition rates.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PricewaterhouseCoopers LLP</w:t>
      </w:r>
    </w:p>
    <w:p>
      <w:pPr>
        <w:spacing w:after="0" w:line="236" w:lineRule="auto"/>
        <w:rPr>
          <w:sz w:val="20"/>
          <w:szCs w:val="20"/>
          <w:color w:val="auto"/>
        </w:rPr>
      </w:pPr>
      <w:r>
        <w:rPr>
          <w:rFonts w:ascii="Times New Roman" w:cs="Times New Roman" w:eastAsia="Times New Roman" w:hAnsi="Times New Roman"/>
          <w:sz w:val="19"/>
          <w:szCs w:val="19"/>
          <w:color w:val="auto"/>
        </w:rPr>
        <w:t>Miami, Florida</w:t>
      </w:r>
    </w:p>
    <w:p>
      <w:pPr>
        <w:spacing w:after="0"/>
        <w:rPr>
          <w:sz w:val="20"/>
          <w:szCs w:val="20"/>
          <w:color w:val="auto"/>
        </w:rPr>
      </w:pPr>
      <w:r>
        <w:rPr>
          <w:rFonts w:ascii="Times New Roman" w:cs="Times New Roman" w:eastAsia="Times New Roman" w:hAnsi="Times New Roman"/>
          <w:sz w:val="19"/>
          <w:szCs w:val="19"/>
          <w:color w:val="auto"/>
        </w:rPr>
        <w:t>February 28,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2014.</w:t>
      </w:r>
    </w:p>
    <w:p>
      <w:pPr>
        <w:sectPr>
          <w:pgSz w:w="11880" w:h="15480" w:orient="portrait"/>
          <w:cols w:equalWidth="0" w:num="1">
            <w:col w:w="9840"/>
          </w:cols>
          <w:pgMar w:left="1000" w:top="891"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76</w:t>
      </w:r>
    </w:p>
    <w:p>
      <w:pPr>
        <w:spacing w:after="0" w:line="20" w:lineRule="exact"/>
        <w:rPr>
          <w:sz w:val="20"/>
          <w:szCs w:val="20"/>
          <w:color w:val="auto"/>
        </w:rPr>
      </w:pPr>
    </w:p>
    <w:p>
      <w:pPr>
        <w:sectPr>
          <w:pgSz w:w="11880" w:h="15480" w:orient="portrait"/>
          <w:cols w:equalWidth="0" w:num="1">
            <w:col w:w="9840"/>
          </w:cols>
          <w:pgMar w:left="1000" w:top="891" w:right="104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t xml:space="preserve">Item 9. </w:t>
      </w:r>
      <w:r>
        <w:rPr>
          <w:rFonts w:ascii="Times New Roman" w:cs="Times New Roman" w:eastAsia="Times New Roman" w:hAnsi="Times New Roman"/>
          <w:sz w:val="19"/>
          <w:szCs w:val="19"/>
          <w:b w:val="1"/>
          <w:bCs w:val="1"/>
          <w:i w:val="1"/>
          <w:iCs w:val="1"/>
          <w:color w:val="auto"/>
        </w:rPr>
        <w:t>Changes in and Disagreements with Accountants on Accounting and Financial Disclosure.</w:t>
      </w:r>
    </w:p>
    <w:p>
      <w:pPr>
        <w:spacing w:after="0" w:line="250" w:lineRule="exact"/>
        <w:rPr>
          <w:sz w:val="20"/>
          <w:szCs w:val="20"/>
          <w:color w:val="auto"/>
        </w:rPr>
      </w:pPr>
    </w:p>
    <w:p>
      <w:pPr>
        <w:ind w:right="540" w:firstLine="346"/>
        <w:spacing w:after="0" w:line="289" w:lineRule="auto"/>
        <w:rPr>
          <w:sz w:val="20"/>
          <w:szCs w:val="20"/>
          <w:color w:val="auto"/>
        </w:rPr>
      </w:pPr>
      <w:r>
        <w:rPr>
          <w:rFonts w:ascii="Times New Roman" w:cs="Times New Roman" w:eastAsia="Times New Roman" w:hAnsi="Times New Roman"/>
          <w:sz w:val="19"/>
          <w:szCs w:val="19"/>
          <w:color w:val="auto"/>
        </w:rPr>
        <w:t>There have been no changes in or disagreements with accountants on accounting and financial disclosures within the meaning of Item 304 of Regulation S-K.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9A. </w:t>
      </w:r>
      <w:r>
        <w:rPr>
          <w:rFonts w:ascii="Times New Roman" w:cs="Times New Roman" w:eastAsia="Times New Roman" w:hAnsi="Times New Roman"/>
          <w:sz w:val="19"/>
          <w:szCs w:val="19"/>
          <w:b w:val="1"/>
          <w:bCs w:val="1"/>
          <w:i w:val="1"/>
          <w:iCs w:val="1"/>
          <w:color w:val="auto"/>
        </w:rPr>
        <w:t>Controls and Procedures.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Disclosure Controls and Procedures</w:t>
      </w: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Company carried out an evaluation under the supervision and with the participation of the Company’s management,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including the Company’s Chief Executive Officer and its Chief Financial Officer, of the effectiveness of the design and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operation of the Company’s disclosure controls and procedures (as defined in Rule 13a-15(e) under the Securities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Exchange Act of 1934 (the “Exchange Act”)) as of January 25, 2025, the end of the period covered by this Annual Report 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10-K. Based on this evaluation, the Chief Executive Officer and Chief Financial Officer concluded that, as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January 25, 2025, the Company’s disclosure controls and procedures are effective to provide reasonable assurance that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information required to be disclosed by the Company in the reports that it files or submits under the Exchange Act is</w:t>
      </w:r>
    </w:p>
    <w:p>
      <w:pPr>
        <w:spacing w:after="0" w:line="12" w:lineRule="exact"/>
        <w:rPr>
          <w:sz w:val="20"/>
          <w:szCs w:val="20"/>
          <w:color w:val="auto"/>
        </w:rPr>
      </w:pPr>
    </w:p>
    <w:p>
      <w:pPr>
        <w:ind w:right="240"/>
        <w:spacing w:after="0" w:line="265" w:lineRule="auto"/>
        <w:tabs>
          <w:tab w:leader="none" w:pos="272"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recorded, processed, summarized and reported within the time periods specified by the Securities and Exchange Commission’s rules and forms, and (2) accumulated and communicated to the Company’s management, including the Company’s Chief Executive Officer and Chief Financial Officer, in a manner that allows timely decisions regarding required disclosure.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Changes in Internal Control Over Financial Reporting</w:t>
      </w:r>
    </w:p>
    <w:p>
      <w:pPr>
        <w:spacing w:after="0" w:line="249" w:lineRule="exact"/>
        <w:rPr>
          <w:sz w:val="20"/>
          <w:szCs w:val="20"/>
          <w:color w:val="auto"/>
        </w:rPr>
      </w:pPr>
    </w:p>
    <w:p>
      <w:pPr>
        <w:ind w:right="20" w:firstLine="346"/>
        <w:spacing w:after="0" w:line="271" w:lineRule="auto"/>
        <w:rPr>
          <w:sz w:val="20"/>
          <w:szCs w:val="20"/>
          <w:color w:val="auto"/>
        </w:rPr>
      </w:pPr>
      <w:r>
        <w:rPr>
          <w:rFonts w:ascii="Times New Roman" w:cs="Times New Roman" w:eastAsia="Times New Roman" w:hAnsi="Times New Roman"/>
          <w:sz w:val="19"/>
          <w:szCs w:val="19"/>
          <w:color w:val="auto"/>
        </w:rPr>
        <w:t>There were no changes in the Company’s internal control over financial reporting (as defined in Rule 13a-15(f) under the Exchange Act) that occurred during the Company’s fourth quarter of fiscal 2025 that have materially affected, or are reasonably likely to materially affect, the Company’s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Management’s Report on Internal Control Over Financial Reporting</w:t>
      </w:r>
    </w:p>
    <w:p>
      <w:pPr>
        <w:spacing w:after="0" w:line="249" w:lineRule="exact"/>
        <w:rPr>
          <w:sz w:val="20"/>
          <w:szCs w:val="20"/>
          <w:color w:val="auto"/>
        </w:rPr>
      </w:pPr>
    </w:p>
    <w:p>
      <w:pPr>
        <w:ind w:right="220" w:firstLine="346"/>
        <w:spacing w:after="0" w:line="258" w:lineRule="auto"/>
        <w:rPr>
          <w:sz w:val="20"/>
          <w:szCs w:val="20"/>
          <w:color w:val="auto"/>
        </w:rPr>
      </w:pPr>
      <w:r>
        <w:rPr>
          <w:rFonts w:ascii="Times New Roman" w:cs="Times New Roman" w:eastAsia="Times New Roman" w:hAnsi="Times New Roman"/>
          <w:sz w:val="19"/>
          <w:szCs w:val="19"/>
          <w:color w:val="auto"/>
        </w:rPr>
        <w:t>Management of Dycom Industries, Inc. and subsidiaries is responsible for establishing and maintaining adequate internal control over financial reporting as defined in Rule 13a-15(f) and 15(d)-15(f)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There are inherent limitations in the effectiveness of any system of internal control, including the possibility of human error and overriding of controls. Consequently, an effective internal control system can only provide reasonable, not absolute assurance, with respect to reporting financial information. Further, because of changes in conditions, effectiveness of internal control over financial reporting may vary over time.</w:t>
      </w:r>
    </w:p>
    <w:p>
      <w:pPr>
        <w:spacing w:after="0" w:line="195" w:lineRule="exact"/>
        <w:rPr>
          <w:sz w:val="20"/>
          <w:szCs w:val="20"/>
          <w:color w:val="auto"/>
        </w:rPr>
      </w:pPr>
    </w:p>
    <w:p>
      <w:pPr>
        <w:ind w:firstLine="346"/>
        <w:spacing w:after="0" w:line="265" w:lineRule="auto"/>
        <w:rPr>
          <w:sz w:val="20"/>
          <w:szCs w:val="20"/>
          <w:color w:val="auto"/>
        </w:rPr>
      </w:pPr>
      <w:r>
        <w:rPr>
          <w:rFonts w:ascii="Times New Roman" w:cs="Times New Roman" w:eastAsia="Times New Roman" w:hAnsi="Times New Roman"/>
          <w:sz w:val="19"/>
          <w:szCs w:val="19"/>
          <w:color w:val="auto"/>
        </w:rPr>
        <w:t xml:space="preserve">Management conducted an evaluation of the effectiveness of our internal control over financial reporting based on the </w:t>
      </w:r>
      <w:r>
        <w:rPr>
          <w:rFonts w:ascii="Times New Roman" w:cs="Times New Roman" w:eastAsia="Times New Roman" w:hAnsi="Times New Roman"/>
          <w:sz w:val="19"/>
          <w:szCs w:val="19"/>
          <w:b w:val="1"/>
          <w:bCs w:val="1"/>
          <w:i w:val="1"/>
          <w:iCs w:val="1"/>
          <w:color w:val="auto"/>
        </w:rPr>
        <w:t xml:space="preserve">Internal Control-Integrated Framework (2013) </w:t>
      </w:r>
      <w:r>
        <w:rPr>
          <w:rFonts w:ascii="Times New Roman" w:cs="Times New Roman" w:eastAsia="Times New Roman" w:hAnsi="Times New Roman"/>
          <w:sz w:val="19"/>
          <w:szCs w:val="19"/>
          <w:color w:val="auto"/>
        </w:rPr>
        <w:t>issued by the Committee of Sponsoring Organizations of the Treadway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Commission. Based on this evaluation, management concluded that the Company’s internal control over financial reporting was effective as of January 25, 2025.</w:t>
      </w:r>
    </w:p>
    <w:p>
      <w:pPr>
        <w:spacing w:after="0" w:line="187" w:lineRule="exact"/>
        <w:rPr>
          <w:sz w:val="20"/>
          <w:szCs w:val="20"/>
          <w:color w:val="auto"/>
        </w:rPr>
      </w:pPr>
    </w:p>
    <w:p>
      <w:pPr>
        <w:ind w:right="60" w:firstLine="346"/>
        <w:spacing w:after="0" w:line="265" w:lineRule="auto"/>
        <w:rPr>
          <w:sz w:val="20"/>
          <w:szCs w:val="20"/>
          <w:color w:val="auto"/>
        </w:rPr>
      </w:pPr>
      <w:r>
        <w:rPr>
          <w:rFonts w:ascii="Times New Roman" w:cs="Times New Roman" w:eastAsia="Times New Roman" w:hAnsi="Times New Roman"/>
          <w:sz w:val="19"/>
          <w:szCs w:val="19"/>
          <w:color w:val="auto"/>
        </w:rPr>
        <w:t xml:space="preserve">The effectiveness of the Company’s internal control over financial reporting as of January 25, 2025 has been audited by PricewaterhouseCoopers LLP, the Company’s independent registered public accounting firm. Their report, which is set forth in Part II, Item 8, </w:t>
      </w:r>
      <w:r>
        <w:rPr>
          <w:rFonts w:ascii="Times New Roman" w:cs="Times New Roman" w:eastAsia="Times New Roman" w:hAnsi="Times New Roman"/>
          <w:sz w:val="19"/>
          <w:szCs w:val="19"/>
          <w:b w:val="1"/>
          <w:bCs w:val="1"/>
          <w:i w:val="1"/>
          <w:iCs w:val="1"/>
          <w:color w:val="auto"/>
        </w:rPr>
        <w:t>Financial Statements</w:t>
      </w:r>
      <w:r>
        <w:rPr>
          <w:rFonts w:ascii="Times New Roman" w:cs="Times New Roman" w:eastAsia="Times New Roman" w:hAnsi="Times New Roman"/>
          <w:sz w:val="19"/>
          <w:szCs w:val="19"/>
          <w:color w:val="auto"/>
        </w:rPr>
        <w:t>, of this Annual Report on Form 10-K, expresses an unqualified opinion on the effectiveness of the Company’s internal control over financial reporting as of January 25,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9B. </w:t>
      </w:r>
      <w:r>
        <w:rPr>
          <w:rFonts w:ascii="Times New Roman" w:cs="Times New Roman" w:eastAsia="Times New Roman" w:hAnsi="Times New Roman"/>
          <w:sz w:val="19"/>
          <w:szCs w:val="19"/>
          <w:b w:val="1"/>
          <w:bCs w:val="1"/>
          <w:i w:val="1"/>
          <w:iCs w:val="1"/>
          <w:color w:val="auto"/>
        </w:rPr>
        <w:t>Other Information.</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u w:val="single" w:color="auto"/>
          <w:color w:val="auto"/>
        </w:rPr>
        <w:t>Rule 10b5-1 and Non-Rule 10b5-1 Trading Arrangements by our Directors and Officers</w:t>
      </w:r>
    </w:p>
    <w:p>
      <w:pPr>
        <w:spacing w:after="0" w:line="249" w:lineRule="exact"/>
        <w:rPr>
          <w:sz w:val="20"/>
          <w:szCs w:val="20"/>
          <w:color w:val="auto"/>
        </w:rPr>
      </w:pPr>
    </w:p>
    <w:p>
      <w:pPr>
        <w:ind w:right="260" w:firstLine="346"/>
        <w:spacing w:after="0" w:line="271" w:lineRule="auto"/>
        <w:rPr>
          <w:sz w:val="20"/>
          <w:szCs w:val="20"/>
          <w:color w:val="auto"/>
        </w:rPr>
      </w:pPr>
      <w:r>
        <w:rPr>
          <w:rFonts w:ascii="Times New Roman" w:cs="Times New Roman" w:eastAsia="Times New Roman" w:hAnsi="Times New Roman"/>
          <w:sz w:val="19"/>
          <w:szCs w:val="19"/>
          <w:color w:val="auto"/>
        </w:rPr>
        <w:t>During the three months ended January 25, 2025, our directors and officers (as defined in Rule 16a-1(f) of the Securities and Exchange Act of 1934, as amended) did not adopt, terminate or modify Rule 10b5-1 or non-Rule 10b5-1 trading arrangements (as defined in Item 408 of Regulation 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9C. </w:t>
      </w:r>
      <w:r>
        <w:rPr>
          <w:rFonts w:ascii="Times New Roman" w:cs="Times New Roman" w:eastAsia="Times New Roman" w:hAnsi="Times New Roman"/>
          <w:sz w:val="19"/>
          <w:szCs w:val="19"/>
          <w:b w:val="1"/>
          <w:bCs w:val="1"/>
          <w:i w:val="1"/>
          <w:iCs w:val="1"/>
          <w:color w:val="auto"/>
        </w:rPr>
        <w:t>Disclosure Regarding Foreign Jurisdictions that Prevent Inspections.</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Not Applicable.</w:t>
      </w:r>
    </w:p>
    <w:p>
      <w:pPr>
        <w:sectPr>
          <w:pgSz w:w="11880" w:h="15480" w:orient="portrait"/>
          <w:cols w:equalWidth="0" w:num="1">
            <w:col w:w="9840"/>
          </w:cols>
          <w:pgMar w:left="1000" w:top="889" w:right="1040" w:bottom="0" w:gutter="0" w:footer="0" w:header="0"/>
        </w:sectPr>
      </w:pP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254000</wp:posOffset>
            </wp:positionV>
            <wp:extent cx="76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1">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254000</wp:posOffset>
            </wp:positionV>
            <wp:extent cx="76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2">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40"/>
          </w:cols>
          <w:pgMar w:left="1000" w:top="889" w:right="1040" w:bottom="0" w:gutter="0" w:footer="0" w:header="0"/>
          <w:type w:val="continuous"/>
        </w:sectPr>
      </w:pPr>
    </w:p>
    <w:bookmarkStart w:id="83" w:name="page84"/>
    <w:bookmarkEnd w:id="83"/>
    <w:p>
      <w:pPr>
        <w:jc w:val="right"/>
        <w:ind w:right="4500"/>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241" w:lineRule="exact"/>
        <w:rPr>
          <w:sz w:val="20"/>
          <w:szCs w:val="20"/>
          <w:color w:val="auto"/>
        </w:rPr>
      </w:pPr>
    </w:p>
    <w:p>
      <w:pPr>
        <w:jc w:val="right"/>
        <w:ind w:right="4560"/>
        <w:spacing w:after="0"/>
        <w:rPr>
          <w:sz w:val="20"/>
          <w:szCs w:val="20"/>
          <w:color w:val="auto"/>
        </w:rPr>
      </w:pPr>
      <w:r>
        <w:rPr>
          <w:rFonts w:ascii="Times New Roman" w:cs="Times New Roman" w:eastAsia="Times New Roman" w:hAnsi="Times New Roman"/>
          <w:sz w:val="19"/>
          <w:szCs w:val="19"/>
          <w:b w:val="1"/>
          <w:bCs w:val="1"/>
          <w:color w:val="auto"/>
        </w:rPr>
        <w:t>Item 10</w:t>
      </w:r>
      <w:r>
        <w:rPr>
          <w:rFonts w:ascii="Times New Roman" w:cs="Times New Roman" w:eastAsia="Times New Roman" w:hAnsi="Times New Roman"/>
          <w:sz w:val="19"/>
          <w:szCs w:val="19"/>
          <w:b w:val="1"/>
          <w:bCs w:val="1"/>
          <w:i w:val="1"/>
          <w:iCs w:val="1"/>
          <w:color w:val="auto"/>
        </w:rPr>
        <w:t>. Directors, Executive Officers and Corporate Governance.</w:t>
      </w:r>
    </w:p>
    <w:p>
      <w:pPr>
        <w:spacing w:after="0" w:line="212" w:lineRule="exact"/>
        <w:rPr>
          <w:sz w:val="20"/>
          <w:szCs w:val="20"/>
          <w:color w:val="auto"/>
        </w:rPr>
      </w:pPr>
    </w:p>
    <w:p>
      <w:pPr>
        <w:ind w:right="80" w:firstLine="346"/>
        <w:spacing w:after="0" w:line="262" w:lineRule="auto"/>
        <w:rPr>
          <w:sz w:val="20"/>
          <w:szCs w:val="20"/>
          <w:color w:val="auto"/>
        </w:rPr>
      </w:pPr>
      <w:r>
        <w:rPr>
          <w:rFonts w:ascii="Times New Roman" w:cs="Times New Roman" w:eastAsia="Times New Roman" w:hAnsi="Times New Roman"/>
          <w:sz w:val="19"/>
          <w:szCs w:val="19"/>
          <w:color w:val="auto"/>
        </w:rPr>
        <w:t>We have adopted an insider trading policy related to the purchase, sale and other transactions in our securities entered into by our directors, officers, employees and related other persons by us. The insider trading policy is designed to promote compliance with the securities laws and related rules and regulations, NYSE listing standards and our own Code of Business Conduct and Ethics and Code of Ethics for Senior Financial Officers. Our insider trading policy is filed as Exhibit 19 to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Code of Ethics</w:t>
      </w:r>
    </w:p>
    <w:p>
      <w:pPr>
        <w:spacing w:after="0" w:line="249" w:lineRule="exact"/>
        <w:rPr>
          <w:sz w:val="20"/>
          <w:szCs w:val="20"/>
          <w:color w:val="auto"/>
        </w:rPr>
      </w:pPr>
    </w:p>
    <w:p>
      <w:pPr>
        <w:ind w:right="120" w:firstLine="346"/>
        <w:spacing w:after="0" w:line="259" w:lineRule="auto"/>
        <w:rPr>
          <w:sz w:val="20"/>
          <w:szCs w:val="20"/>
          <w:color w:val="auto"/>
        </w:rPr>
      </w:pPr>
      <w:r>
        <w:rPr>
          <w:rFonts w:ascii="Times New Roman" w:cs="Times New Roman" w:eastAsia="Times New Roman" w:hAnsi="Times New Roman"/>
          <w:sz w:val="19"/>
          <w:szCs w:val="19"/>
          <w:color w:val="auto"/>
        </w:rPr>
        <w:t>The Company has adopted a Code of Ethics for Senior Financial Officers, which is a code of ethics as that term is defined in Item 406(b) of Regulation S-K and which applies to its Chief Executive Officer, Chief Financial Officer, Chief Accounting Officer, Controller, and other persons performing similar functions. The Code of Ethics for Senior Financial Officers is available on the Company’s website at www.dycomind.com. If the Company makes any substantive amendments to, or a waiver from, provisions of the Code of Ethics for Senior Financial Officers, it will disclose the nature of such amendment, or waiver, on its website or in a report on Form 8-K. Information on the Company’s website is not deemed to be incorporated by reference into this Annual Report on Form 10-K.</w:t>
      </w:r>
    </w:p>
    <w:p>
      <w:pPr>
        <w:spacing w:after="0" w:line="193" w:lineRule="exact"/>
        <w:rPr>
          <w:sz w:val="20"/>
          <w:szCs w:val="20"/>
          <w:color w:val="auto"/>
        </w:rPr>
      </w:pPr>
    </w:p>
    <w:p>
      <w:pPr>
        <w:ind w:right="80" w:firstLine="346"/>
        <w:spacing w:after="0" w:line="265" w:lineRule="auto"/>
        <w:rPr>
          <w:sz w:val="20"/>
          <w:szCs w:val="20"/>
          <w:color w:val="auto"/>
        </w:rPr>
      </w:pPr>
      <w:r>
        <w:rPr>
          <w:rFonts w:ascii="Times New Roman" w:cs="Times New Roman" w:eastAsia="Times New Roman" w:hAnsi="Times New Roman"/>
          <w:sz w:val="19"/>
          <w:szCs w:val="19"/>
          <w:color w:val="auto"/>
        </w:rPr>
        <w:t>Information concerning directors and nominees of the Registrant and other information as required by this item are hereby incorporated by reference from the Company’s definitive proxy statement to be filed with the Securities and Exchange Commission pursuant to Regulation 14A. The information set forth under the caption “</w:t>
      </w:r>
      <w:r>
        <w:rPr>
          <w:rFonts w:ascii="Times New Roman" w:cs="Times New Roman" w:eastAsia="Times New Roman" w:hAnsi="Times New Roman"/>
          <w:sz w:val="19"/>
          <w:szCs w:val="19"/>
          <w:b w:val="1"/>
          <w:bCs w:val="1"/>
          <w:i w:val="1"/>
          <w:iCs w:val="1"/>
          <w:color w:val="auto"/>
        </w:rPr>
        <w:t>Information About Our Executive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Officers</w:t>
      </w:r>
      <w:r>
        <w:rPr>
          <w:rFonts w:ascii="Times New Roman" w:cs="Times New Roman" w:eastAsia="Times New Roman" w:hAnsi="Times New Roman"/>
          <w:sz w:val="19"/>
          <w:szCs w:val="19"/>
          <w:color w:val="auto"/>
        </w:rPr>
        <w:t>” in Part I, Item 1 of this Annual Report on Form 10-K is incorporated herein by reference.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11. </w:t>
      </w:r>
      <w:r>
        <w:rPr>
          <w:rFonts w:ascii="Times New Roman" w:cs="Times New Roman" w:eastAsia="Times New Roman" w:hAnsi="Times New Roman"/>
          <w:sz w:val="19"/>
          <w:szCs w:val="19"/>
          <w:b w:val="1"/>
          <w:bCs w:val="1"/>
          <w:i w:val="1"/>
          <w:iCs w:val="1"/>
          <w:color w:val="auto"/>
        </w:rPr>
        <w:t>Executive Compensation.</w:t>
      </w:r>
    </w:p>
    <w:p>
      <w:pPr>
        <w:spacing w:after="0" w:line="209" w:lineRule="exact"/>
        <w:rPr>
          <w:sz w:val="20"/>
          <w:szCs w:val="20"/>
          <w:color w:val="auto"/>
        </w:rPr>
      </w:pPr>
    </w:p>
    <w:p>
      <w:pPr>
        <w:ind w:firstLine="346"/>
        <w:spacing w:after="0" w:line="266" w:lineRule="auto"/>
        <w:rPr>
          <w:sz w:val="20"/>
          <w:szCs w:val="20"/>
          <w:color w:val="auto"/>
        </w:rPr>
      </w:pPr>
      <w:r>
        <w:rPr>
          <w:rFonts w:ascii="Times New Roman" w:cs="Times New Roman" w:eastAsia="Times New Roman" w:hAnsi="Times New Roman"/>
          <w:sz w:val="19"/>
          <w:szCs w:val="19"/>
          <w:color w:val="auto"/>
        </w:rPr>
        <w:t>The information required by Item 11 regarding executive compensation is included under the headings “</w:t>
      </w:r>
      <w:r>
        <w:rPr>
          <w:rFonts w:ascii="Times New Roman" w:cs="Times New Roman" w:eastAsia="Times New Roman" w:hAnsi="Times New Roman"/>
          <w:sz w:val="19"/>
          <w:szCs w:val="19"/>
          <w:b w:val="1"/>
          <w:bCs w:val="1"/>
          <w:i w:val="1"/>
          <w:iCs w:val="1"/>
          <w:color w:val="auto"/>
        </w:rPr>
        <w:t>Compensation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Discussion and Analysis</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Compensation Committee Report</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i w:val="1"/>
          <w:iCs w:val="1"/>
          <w:color w:val="auto"/>
        </w:rPr>
        <w:t>Compensation Committee Interlocks and Insider Participation</w:t>
      </w:r>
      <w:r>
        <w:rPr>
          <w:rFonts w:ascii="Times New Roman" w:cs="Times New Roman" w:eastAsia="Times New Roman" w:hAnsi="Times New Roman"/>
          <w:sz w:val="19"/>
          <w:szCs w:val="19"/>
          <w:color w:val="auto"/>
        </w:rPr>
        <w:t>” in the Company’s definitive proxy statement to be filed with the Commission pursuant to Regulation 14A, and is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incorporated herein by reference.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12. </w:t>
      </w:r>
      <w:r>
        <w:rPr>
          <w:rFonts w:ascii="Times New Roman" w:cs="Times New Roman" w:eastAsia="Times New Roman" w:hAnsi="Times New Roman"/>
          <w:sz w:val="19"/>
          <w:szCs w:val="19"/>
          <w:b w:val="1"/>
          <w:bCs w:val="1"/>
          <w:i w:val="1"/>
          <w:iCs w:val="1"/>
          <w:color w:val="auto"/>
        </w:rPr>
        <w:t>Security Ownership of Certain Beneficial Owners and Management and Related Stockholder Matters.</w:t>
      </w:r>
    </w:p>
    <w:p>
      <w:pPr>
        <w:spacing w:after="0" w:line="250" w:lineRule="exact"/>
        <w:rPr>
          <w:sz w:val="20"/>
          <w:szCs w:val="20"/>
          <w:color w:val="auto"/>
        </w:rPr>
      </w:pPr>
    </w:p>
    <w:p>
      <w:pPr>
        <w:ind w:right="360" w:firstLine="346"/>
        <w:spacing w:after="0" w:line="271" w:lineRule="auto"/>
        <w:rPr>
          <w:sz w:val="20"/>
          <w:szCs w:val="20"/>
          <w:color w:val="auto"/>
        </w:rPr>
      </w:pPr>
      <w:r>
        <w:rPr>
          <w:rFonts w:ascii="Times New Roman" w:cs="Times New Roman" w:eastAsia="Times New Roman" w:hAnsi="Times New Roman"/>
          <w:sz w:val="19"/>
          <w:szCs w:val="19"/>
          <w:color w:val="auto"/>
        </w:rPr>
        <w:t>Information concerning the ownership of certain of the Registrant’s beneficial owners and management and related stockholder matters is hereby incorporated by reference from the Company’s definitive proxy statement to be filed with the Commission pursuant to Regulation 14A.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13. </w:t>
      </w:r>
      <w:r>
        <w:rPr>
          <w:rFonts w:ascii="Times New Roman" w:cs="Times New Roman" w:eastAsia="Times New Roman" w:hAnsi="Times New Roman"/>
          <w:sz w:val="19"/>
          <w:szCs w:val="19"/>
          <w:b w:val="1"/>
          <w:bCs w:val="1"/>
          <w:i w:val="1"/>
          <w:iCs w:val="1"/>
          <w:color w:val="auto"/>
        </w:rPr>
        <w:t>Certain Relationships, Related Transactions and Director Independence.</w:t>
      </w:r>
    </w:p>
    <w:p>
      <w:pPr>
        <w:spacing w:after="0" w:line="212" w:lineRule="exact"/>
        <w:rPr>
          <w:sz w:val="20"/>
          <w:szCs w:val="20"/>
          <w:color w:val="auto"/>
        </w:rPr>
      </w:pPr>
    </w:p>
    <w:p>
      <w:pPr>
        <w:ind w:right="380" w:firstLine="346"/>
        <w:spacing w:after="0" w:line="289" w:lineRule="auto"/>
        <w:rPr>
          <w:sz w:val="20"/>
          <w:szCs w:val="20"/>
          <w:color w:val="auto"/>
        </w:rPr>
      </w:pPr>
      <w:r>
        <w:rPr>
          <w:rFonts w:ascii="Times New Roman" w:cs="Times New Roman" w:eastAsia="Times New Roman" w:hAnsi="Times New Roman"/>
          <w:sz w:val="19"/>
          <w:szCs w:val="19"/>
          <w:color w:val="auto"/>
        </w:rPr>
        <w:t>Information concerning relationships and related transactions is hereby incorporated by reference from the Company’s definitive proxy statement to be filed with the Commission pursuant to Regulation 14A.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14. </w:t>
      </w:r>
      <w:r>
        <w:rPr>
          <w:rFonts w:ascii="Times New Roman" w:cs="Times New Roman" w:eastAsia="Times New Roman" w:hAnsi="Times New Roman"/>
          <w:sz w:val="19"/>
          <w:szCs w:val="19"/>
          <w:b w:val="1"/>
          <w:bCs w:val="1"/>
          <w:i w:val="1"/>
          <w:iCs w:val="1"/>
          <w:color w:val="auto"/>
        </w:rPr>
        <w:t>Principal Accounting Fees and Services.</w:t>
      </w:r>
    </w:p>
    <w:p>
      <w:pPr>
        <w:spacing w:after="0" w:line="212" w:lineRule="exact"/>
        <w:rPr>
          <w:sz w:val="20"/>
          <w:szCs w:val="20"/>
          <w:color w:val="auto"/>
        </w:rPr>
      </w:pPr>
    </w:p>
    <w:p>
      <w:pPr>
        <w:ind w:right="300" w:firstLine="346"/>
        <w:spacing w:after="0" w:line="289" w:lineRule="auto"/>
        <w:rPr>
          <w:sz w:val="20"/>
          <w:szCs w:val="20"/>
          <w:color w:val="auto"/>
        </w:rPr>
      </w:pPr>
      <w:r>
        <w:rPr>
          <w:rFonts w:ascii="Times New Roman" w:cs="Times New Roman" w:eastAsia="Times New Roman" w:hAnsi="Times New Roman"/>
          <w:sz w:val="19"/>
          <w:szCs w:val="19"/>
          <w:color w:val="auto"/>
        </w:rPr>
        <w:t>Information concerning principal accounting fees and services is hereby incorporated by reference from the Company’s definitive proxy statement to be filed with the Commission pursuant to Regulation 14A.</w:t>
      </w:r>
    </w:p>
    <w:p>
      <w:pPr>
        <w:sectPr>
          <w:pgSz w:w="11880" w:h="15480" w:orient="portrait"/>
          <w:cols w:equalWidth="0" w:num="1">
            <w:col w:w="9820"/>
          </w:cols>
          <w:pgMar w:left="1000" w:top="891"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78</w:t>
      </w:r>
    </w:p>
    <w:p>
      <w:pPr>
        <w:spacing w:after="0" w:line="20" w:lineRule="exact"/>
        <w:rPr>
          <w:sz w:val="20"/>
          <w:szCs w:val="20"/>
          <w:color w:val="auto"/>
        </w:rPr>
      </w:pPr>
    </w:p>
    <w:p>
      <w:pPr>
        <w:sectPr>
          <w:pgSz w:w="11880" w:h="15480" w:orient="portrait"/>
          <w:cols w:equalWidth="0" w:num="1">
            <w:col w:w="9820"/>
          </w:cols>
          <w:pgMar w:left="1000" w:top="891" w:right="1060" w:bottom="0" w:gutter="0" w:footer="0" w:header="0"/>
          <w:type w:val="continuous"/>
        </w:sectPr>
      </w:pPr>
    </w:p>
    <w:bookmarkStart w:id="84" w:name="page85"/>
    <w:bookmarkEnd w:id="84"/>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IV</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15. </w:t>
      </w:r>
      <w:r>
        <w:rPr>
          <w:rFonts w:ascii="Times New Roman" w:cs="Times New Roman" w:eastAsia="Times New Roman" w:hAnsi="Times New Roman"/>
          <w:sz w:val="19"/>
          <w:szCs w:val="19"/>
          <w:b w:val="1"/>
          <w:bCs w:val="1"/>
          <w:i w:val="1"/>
          <w:iCs w:val="1"/>
          <w:color w:val="auto"/>
        </w:rPr>
        <w:t>Exhibits and Financial Statement Schedules.</w:t>
      </w:r>
    </w:p>
    <w:p>
      <w:pPr>
        <w:spacing w:after="0" w:line="247" w:lineRule="exact"/>
        <w:rPr>
          <w:sz w:val="20"/>
          <w:szCs w:val="20"/>
          <w:color w:val="auto"/>
        </w:rPr>
      </w:pPr>
    </w:p>
    <w:p>
      <w:pPr>
        <w:ind w:left="600" w:hanging="264"/>
        <w:spacing w:after="0"/>
        <w:tabs>
          <w:tab w:leader="none" w:pos="60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following documents are filed as a part of this report:</w:t>
      </w:r>
    </w:p>
    <w:p>
      <w:pPr>
        <w:spacing w:after="0" w:line="239" w:lineRule="exact"/>
        <w:rPr>
          <w:rFonts w:ascii="Times New Roman" w:cs="Times New Roman" w:eastAsia="Times New Roman" w:hAnsi="Times New Roman"/>
          <w:sz w:val="19"/>
          <w:szCs w:val="19"/>
          <w:color w:val="auto"/>
        </w:rPr>
      </w:pPr>
    </w:p>
    <w:p>
      <w:pPr>
        <w:ind w:left="500" w:right="100" w:firstLine="9"/>
        <w:spacing w:after="0" w:line="272" w:lineRule="auto"/>
        <w:tabs>
          <w:tab w:leader="none" w:pos="721"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Consolidated financial statements</w:t>
      </w:r>
      <w:r>
        <w:rPr>
          <w:rFonts w:ascii="Times New Roman" w:cs="Times New Roman" w:eastAsia="Times New Roman" w:hAnsi="Times New Roman"/>
          <w:sz w:val="19"/>
          <w:szCs w:val="19"/>
          <w:color w:val="auto"/>
        </w:rPr>
        <w:t>: the consolidated financial statements and the Report of Independent Registered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Certified Public Accounting Firm are included in Part II, Item 8, </w:t>
      </w:r>
      <w:r>
        <w:rPr>
          <w:rFonts w:ascii="Times New Roman" w:cs="Times New Roman" w:eastAsia="Times New Roman" w:hAnsi="Times New Roman"/>
          <w:sz w:val="19"/>
          <w:szCs w:val="19"/>
          <w:b w:val="1"/>
          <w:bCs w:val="1"/>
          <w:i w:val="1"/>
          <w:iCs w:val="1"/>
          <w:color w:val="auto"/>
        </w:rPr>
        <w:t>Financial Statements and Supplementary Data</w:t>
      </w:r>
      <w:r>
        <w:rPr>
          <w:rFonts w:ascii="Times New Roman" w:cs="Times New Roman" w:eastAsia="Times New Roman" w:hAnsi="Times New Roman"/>
          <w:sz w:val="19"/>
          <w:szCs w:val="19"/>
          <w:color w:val="auto"/>
        </w:rPr>
        <w:t>, of this Annual Report on Form 10-K.</w:t>
      </w:r>
    </w:p>
    <w:p>
      <w:pPr>
        <w:spacing w:after="0" w:line="178" w:lineRule="exact"/>
        <w:rPr>
          <w:rFonts w:ascii="Times New Roman" w:cs="Times New Roman" w:eastAsia="Times New Roman" w:hAnsi="Times New Roman"/>
          <w:sz w:val="19"/>
          <w:szCs w:val="19"/>
          <w:color w:val="auto"/>
        </w:rPr>
      </w:pPr>
    </w:p>
    <w:p>
      <w:pPr>
        <w:ind w:left="500" w:right="260" w:firstLine="9"/>
        <w:spacing w:after="0" w:line="292" w:lineRule="auto"/>
        <w:tabs>
          <w:tab w:leader="none" w:pos="721"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Financial statement schedules</w:t>
      </w:r>
      <w:r>
        <w:rPr>
          <w:rFonts w:ascii="Times New Roman" w:cs="Times New Roman" w:eastAsia="Times New Roman" w:hAnsi="Times New Roman"/>
          <w:sz w:val="19"/>
          <w:szCs w:val="19"/>
          <w:color w:val="auto"/>
        </w:rPr>
        <w:t>: All schedules have been omitted because they are inapplicable, not required, or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information is included in the above referenced consolidated financial statements or the notes thereto.</w:t>
      </w:r>
    </w:p>
    <w:p>
      <w:pPr>
        <w:spacing w:after="0" w:line="159" w:lineRule="exact"/>
        <w:rPr>
          <w:rFonts w:ascii="Times New Roman" w:cs="Times New Roman" w:eastAsia="Times New Roman" w:hAnsi="Times New Roman"/>
          <w:sz w:val="19"/>
          <w:szCs w:val="19"/>
          <w:color w:val="auto"/>
        </w:rPr>
      </w:pPr>
    </w:p>
    <w:p>
      <w:pPr>
        <w:ind w:left="720" w:hanging="211"/>
        <w:spacing w:after="0"/>
        <w:tabs>
          <w:tab w:leader="none" w:pos="720"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Exhibits furnished pursuant to the requirements of Form 10-K</w:t>
      </w:r>
      <w:r>
        <w:rPr>
          <w:rFonts w:ascii="Times New Roman" w:cs="Times New Roman" w:eastAsia="Times New Roman" w:hAnsi="Times New Roman"/>
          <w:sz w:val="19"/>
          <w:szCs w:val="19"/>
          <w:color w:val="auto"/>
        </w:rPr>
        <w:t>:</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u w:val="single" w:color="auto"/>
          <w:color w:val="auto"/>
        </w:rPr>
        <w:t>Exhibit Number</w:t>
      </w:r>
    </w:p>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00" w:type="dxa"/>
            <w:vAlign w:val="bottom"/>
          </w:tcPr>
          <w:p>
            <w:pPr>
              <w:spacing w:after="0"/>
              <w:rPr>
                <w:sz w:val="20"/>
                <w:szCs w:val="20"/>
                <w:color w:val="auto"/>
              </w:rPr>
            </w:pPr>
            <w:r>
              <w:rPr>
                <w:rFonts w:ascii="Times New Roman" w:cs="Times New Roman" w:eastAsia="Times New Roman" w:hAnsi="Times New Roman"/>
                <w:sz w:val="19"/>
                <w:szCs w:val="19"/>
                <w:color w:val="auto"/>
              </w:rPr>
              <w:t>3(i)</w:t>
            </w: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Restated Articles of Incorporation of Dycom Industries, Inc. (incorporated by reference to Dycom Industries, Inc.’s</w:t>
            </w:r>
          </w:p>
        </w:tc>
      </w:tr>
      <w:tr>
        <w:trPr>
          <w:trHeight w:val="251"/>
        </w:trPr>
        <w:tc>
          <w:tcPr>
            <w:tcW w:w="700" w:type="dxa"/>
            <w:vAlign w:val="bottom"/>
          </w:tcPr>
          <w:p>
            <w:pPr>
              <w:spacing w:after="0"/>
              <w:rPr>
                <w:sz w:val="21"/>
                <w:szCs w:val="21"/>
                <w:color w:val="auto"/>
              </w:rPr>
            </w:pP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Quarterly Report on Form 10-Q filed with the SEC on June 11, 2002).</w:t>
            </w:r>
          </w:p>
        </w:tc>
      </w:tr>
      <w:tr>
        <w:trPr>
          <w:trHeight w:val="224"/>
        </w:trPr>
        <w:tc>
          <w:tcPr>
            <w:tcW w:w="700" w:type="dxa"/>
            <w:vAlign w:val="bottom"/>
          </w:tcPr>
          <w:p>
            <w:pPr>
              <w:spacing w:after="0"/>
              <w:rPr>
                <w:sz w:val="20"/>
                <w:szCs w:val="20"/>
                <w:color w:val="auto"/>
              </w:rPr>
            </w:pPr>
            <w:r>
              <w:rPr>
                <w:rFonts w:ascii="Times New Roman" w:cs="Times New Roman" w:eastAsia="Times New Roman" w:hAnsi="Times New Roman"/>
                <w:sz w:val="19"/>
                <w:szCs w:val="19"/>
                <w:color w:val="auto"/>
              </w:rPr>
              <w:t>3(ii)</w:t>
            </w: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Fourth Amended and Restated By-Laws of Dycom Industries, Inc., as amended August 20, 2024 (incorporated by</w:t>
            </w:r>
          </w:p>
        </w:tc>
      </w:tr>
      <w:tr>
        <w:trPr>
          <w:trHeight w:val="251"/>
        </w:trPr>
        <w:tc>
          <w:tcPr>
            <w:tcW w:w="700" w:type="dxa"/>
            <w:vAlign w:val="bottom"/>
          </w:tcPr>
          <w:p>
            <w:pPr>
              <w:spacing w:after="0"/>
              <w:rPr>
                <w:sz w:val="21"/>
                <w:szCs w:val="21"/>
                <w:color w:val="auto"/>
              </w:rPr>
            </w:pP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reference to Dycom Industries, Inc.’s Current Report on Form 8-K filed with the SEC on August 23, 2024).</w:t>
            </w:r>
          </w:p>
        </w:tc>
      </w:tr>
      <w:tr>
        <w:trPr>
          <w:trHeight w:val="224"/>
        </w:trPr>
        <w:tc>
          <w:tcPr>
            <w:tcW w:w="700" w:type="dxa"/>
            <w:vAlign w:val="bottom"/>
          </w:tcPr>
          <w:p>
            <w:pPr>
              <w:spacing w:after="0"/>
              <w:rPr>
                <w:sz w:val="20"/>
                <w:szCs w:val="20"/>
                <w:color w:val="auto"/>
              </w:rPr>
            </w:pPr>
            <w:r>
              <w:rPr>
                <w:rFonts w:ascii="Times New Roman" w:cs="Times New Roman" w:eastAsia="Times New Roman" w:hAnsi="Times New Roman"/>
                <w:sz w:val="19"/>
                <w:szCs w:val="19"/>
                <w:color w:val="auto"/>
              </w:rPr>
              <w:t>4.1</w:t>
            </w: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Indenture, dated as of April 1, 2021, among Dycom Industries, Inc., the subsidiary guarantors and U.S. Bank</w:t>
            </w:r>
          </w:p>
        </w:tc>
      </w:tr>
      <w:tr>
        <w:trPr>
          <w:trHeight w:val="192"/>
        </w:trPr>
        <w:tc>
          <w:tcPr>
            <w:tcW w:w="700" w:type="dxa"/>
            <w:vAlign w:val="bottom"/>
          </w:tcPr>
          <w:p>
            <w:pPr>
              <w:spacing w:after="0"/>
              <w:rPr>
                <w:sz w:val="16"/>
                <w:szCs w:val="16"/>
                <w:color w:val="auto"/>
              </w:rPr>
            </w:pPr>
          </w:p>
        </w:tc>
        <w:tc>
          <w:tcPr>
            <w:tcW w:w="9040" w:type="dxa"/>
            <w:vAlign w:val="bottom"/>
          </w:tcPr>
          <w:p>
            <w:pPr>
              <w:ind w:left="180"/>
              <w:spacing w:after="0" w:line="192" w:lineRule="exact"/>
              <w:rPr>
                <w:sz w:val="20"/>
                <w:szCs w:val="20"/>
                <w:color w:val="auto"/>
              </w:rPr>
            </w:pPr>
            <w:r>
              <w:rPr>
                <w:rFonts w:ascii="Times New Roman" w:cs="Times New Roman" w:eastAsia="Times New Roman" w:hAnsi="Times New Roman"/>
                <w:sz w:val="19"/>
                <w:szCs w:val="19"/>
                <w:color w:val="auto"/>
              </w:rPr>
              <w:t>National Association, as Trustee (incorporated by reference to Dycom Industries, Inc.’s Current Report on Form 8-</w:t>
            </w:r>
          </w:p>
        </w:tc>
      </w:tr>
      <w:tr>
        <w:trPr>
          <w:trHeight w:val="251"/>
        </w:trPr>
        <w:tc>
          <w:tcPr>
            <w:tcW w:w="700" w:type="dxa"/>
            <w:vAlign w:val="bottom"/>
          </w:tcPr>
          <w:p>
            <w:pPr>
              <w:spacing w:after="0"/>
              <w:rPr>
                <w:sz w:val="21"/>
                <w:szCs w:val="21"/>
                <w:color w:val="auto"/>
              </w:rPr>
            </w:pP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K filed with the SEC on April 2, 2021).</w:t>
            </w:r>
          </w:p>
        </w:tc>
      </w:tr>
      <w:tr>
        <w:trPr>
          <w:trHeight w:val="233"/>
        </w:trPr>
        <w:tc>
          <w:tcPr>
            <w:tcW w:w="700" w:type="dxa"/>
            <w:vAlign w:val="bottom"/>
          </w:tcPr>
          <w:p>
            <w:pPr>
              <w:spacing w:after="0"/>
              <w:rPr>
                <w:sz w:val="20"/>
                <w:szCs w:val="20"/>
                <w:color w:val="auto"/>
              </w:rPr>
            </w:pPr>
            <w:r>
              <w:rPr>
                <w:rFonts w:ascii="Times New Roman" w:cs="Times New Roman" w:eastAsia="Times New Roman" w:hAnsi="Times New Roman"/>
                <w:sz w:val="19"/>
                <w:szCs w:val="19"/>
                <w:color w:val="auto"/>
              </w:rPr>
              <w:t>4.2</w:t>
            </w: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Description of Common Stock Registered Pursuant to Section 12 of the Securities Exchange Act of 1934</w:t>
            </w:r>
          </w:p>
        </w:tc>
      </w:tr>
      <w:tr>
        <w:trPr>
          <w:trHeight w:val="192"/>
        </w:trPr>
        <w:tc>
          <w:tcPr>
            <w:tcW w:w="700" w:type="dxa"/>
            <w:vAlign w:val="bottom"/>
          </w:tcPr>
          <w:p>
            <w:pPr>
              <w:spacing w:after="0"/>
              <w:rPr>
                <w:sz w:val="16"/>
                <w:szCs w:val="16"/>
                <w:color w:val="auto"/>
              </w:rPr>
            </w:pPr>
          </w:p>
        </w:tc>
        <w:tc>
          <w:tcPr>
            <w:tcW w:w="9040" w:type="dxa"/>
            <w:vAlign w:val="bottom"/>
          </w:tcPr>
          <w:p>
            <w:pPr>
              <w:ind w:left="180"/>
              <w:spacing w:after="0" w:line="192" w:lineRule="exact"/>
              <w:rPr>
                <w:sz w:val="20"/>
                <w:szCs w:val="20"/>
                <w:color w:val="auto"/>
              </w:rPr>
            </w:pPr>
            <w:r>
              <w:rPr>
                <w:rFonts w:ascii="Times New Roman" w:cs="Times New Roman" w:eastAsia="Times New Roman" w:hAnsi="Times New Roman"/>
                <w:sz w:val="19"/>
                <w:szCs w:val="19"/>
                <w:color w:val="auto"/>
              </w:rPr>
              <w:t>(incorporated by reference to Dycom Industries, Inc.’s Annual Report on Form 10-K filed with the SEC on March</w:t>
            </w:r>
          </w:p>
        </w:tc>
      </w:tr>
      <w:tr>
        <w:trPr>
          <w:trHeight w:val="251"/>
        </w:trPr>
        <w:tc>
          <w:tcPr>
            <w:tcW w:w="700" w:type="dxa"/>
            <w:vAlign w:val="bottom"/>
          </w:tcPr>
          <w:p>
            <w:pPr>
              <w:spacing w:after="0"/>
              <w:rPr>
                <w:sz w:val="21"/>
                <w:szCs w:val="21"/>
                <w:color w:val="auto"/>
              </w:rPr>
            </w:pP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2, 2020).</w:t>
            </w:r>
          </w:p>
        </w:tc>
      </w:tr>
      <w:tr>
        <w:trPr>
          <w:trHeight w:val="233"/>
        </w:trPr>
        <w:tc>
          <w:tcPr>
            <w:tcW w:w="700" w:type="dxa"/>
            <w:vAlign w:val="bottom"/>
          </w:tcPr>
          <w:p>
            <w:pPr>
              <w:spacing w:after="0"/>
              <w:rPr>
                <w:sz w:val="20"/>
                <w:szCs w:val="20"/>
                <w:color w:val="auto"/>
              </w:rPr>
            </w:pPr>
            <w:r>
              <w:rPr>
                <w:rFonts w:ascii="Times New Roman" w:cs="Times New Roman" w:eastAsia="Times New Roman" w:hAnsi="Times New Roman"/>
                <w:sz w:val="19"/>
                <w:szCs w:val="19"/>
                <w:color w:val="auto"/>
              </w:rPr>
              <w:t>10.1*</w:t>
            </w: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2003 Long Term Incentive Plan, amended and restated effective as of September 19, 2011 (incorporated by</w:t>
            </w:r>
          </w:p>
        </w:tc>
      </w:tr>
      <w:tr>
        <w:trPr>
          <w:trHeight w:val="251"/>
        </w:trPr>
        <w:tc>
          <w:tcPr>
            <w:tcW w:w="700" w:type="dxa"/>
            <w:vAlign w:val="bottom"/>
          </w:tcPr>
          <w:p>
            <w:pPr>
              <w:spacing w:after="0"/>
              <w:rPr>
                <w:sz w:val="21"/>
                <w:szCs w:val="21"/>
                <w:color w:val="auto"/>
              </w:rPr>
            </w:pP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reference to Dycom Industries, Inc.’s Current Report on Form 8-K filed with the SEC on September 23, 2011).</w:t>
            </w:r>
          </w:p>
        </w:tc>
      </w:tr>
      <w:tr>
        <w:trPr>
          <w:trHeight w:val="224"/>
        </w:trPr>
        <w:tc>
          <w:tcPr>
            <w:tcW w:w="700" w:type="dxa"/>
            <w:vAlign w:val="bottom"/>
          </w:tcPr>
          <w:p>
            <w:pPr>
              <w:spacing w:after="0"/>
              <w:rPr>
                <w:sz w:val="20"/>
                <w:szCs w:val="20"/>
                <w:color w:val="auto"/>
              </w:rPr>
            </w:pPr>
            <w:r>
              <w:rPr>
                <w:rFonts w:ascii="Times New Roman" w:cs="Times New Roman" w:eastAsia="Times New Roman" w:hAnsi="Times New Roman"/>
                <w:sz w:val="19"/>
                <w:szCs w:val="19"/>
                <w:color w:val="auto"/>
              </w:rPr>
              <w:t>10.2*</w:t>
            </w: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Form of Non-Qualified Stock Option Agreement under the 2003 Long-Term Incentive Plan, as amended and</w:t>
            </w:r>
          </w:p>
        </w:tc>
      </w:tr>
      <w:tr>
        <w:trPr>
          <w:trHeight w:val="192"/>
        </w:trPr>
        <w:tc>
          <w:tcPr>
            <w:tcW w:w="700" w:type="dxa"/>
            <w:vAlign w:val="bottom"/>
          </w:tcPr>
          <w:p>
            <w:pPr>
              <w:spacing w:after="0"/>
              <w:rPr>
                <w:sz w:val="16"/>
                <w:szCs w:val="16"/>
                <w:color w:val="auto"/>
              </w:rPr>
            </w:pPr>
          </w:p>
        </w:tc>
        <w:tc>
          <w:tcPr>
            <w:tcW w:w="9040" w:type="dxa"/>
            <w:vAlign w:val="bottom"/>
          </w:tcPr>
          <w:p>
            <w:pPr>
              <w:ind w:left="180"/>
              <w:spacing w:after="0" w:line="192" w:lineRule="exact"/>
              <w:rPr>
                <w:sz w:val="20"/>
                <w:szCs w:val="20"/>
                <w:color w:val="auto"/>
              </w:rPr>
            </w:pPr>
            <w:r>
              <w:rPr>
                <w:rFonts w:ascii="Times New Roman" w:cs="Times New Roman" w:eastAsia="Times New Roman" w:hAnsi="Times New Roman"/>
                <w:sz w:val="19"/>
                <w:szCs w:val="19"/>
                <w:color w:val="auto"/>
              </w:rPr>
              <w:t>restated (incorporated by reference to Dycom Industries, Inc.’s Annual Report on Form 10-K filed with the SEC on</w:t>
            </w:r>
          </w:p>
        </w:tc>
      </w:tr>
      <w:tr>
        <w:trPr>
          <w:trHeight w:val="251"/>
        </w:trPr>
        <w:tc>
          <w:tcPr>
            <w:tcW w:w="700" w:type="dxa"/>
            <w:vAlign w:val="bottom"/>
          </w:tcPr>
          <w:p>
            <w:pPr>
              <w:spacing w:after="0"/>
              <w:rPr>
                <w:sz w:val="21"/>
                <w:szCs w:val="21"/>
                <w:color w:val="auto"/>
              </w:rPr>
            </w:pP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September 4, 2012).</w:t>
            </w:r>
          </w:p>
        </w:tc>
      </w:tr>
      <w:tr>
        <w:trPr>
          <w:trHeight w:val="233"/>
        </w:trPr>
        <w:tc>
          <w:tcPr>
            <w:tcW w:w="700" w:type="dxa"/>
            <w:vAlign w:val="bottom"/>
          </w:tcPr>
          <w:p>
            <w:pPr>
              <w:spacing w:after="0"/>
              <w:rPr>
                <w:sz w:val="20"/>
                <w:szCs w:val="20"/>
                <w:color w:val="auto"/>
              </w:rPr>
            </w:pPr>
            <w:r>
              <w:rPr>
                <w:rFonts w:ascii="Times New Roman" w:cs="Times New Roman" w:eastAsia="Times New Roman" w:hAnsi="Times New Roman"/>
                <w:sz w:val="19"/>
                <w:szCs w:val="19"/>
                <w:color w:val="auto"/>
              </w:rPr>
              <w:t>10.3*</w:t>
            </w: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Form of Incentive Stock Option Agreement under the 2003 Long-Term Incentive Plan, as amended and restated</w:t>
            </w:r>
          </w:p>
        </w:tc>
      </w:tr>
      <w:tr>
        <w:trPr>
          <w:trHeight w:val="192"/>
        </w:trPr>
        <w:tc>
          <w:tcPr>
            <w:tcW w:w="700" w:type="dxa"/>
            <w:vAlign w:val="bottom"/>
          </w:tcPr>
          <w:p>
            <w:pPr>
              <w:spacing w:after="0"/>
              <w:rPr>
                <w:sz w:val="16"/>
                <w:szCs w:val="16"/>
                <w:color w:val="auto"/>
              </w:rPr>
            </w:pPr>
          </w:p>
        </w:tc>
        <w:tc>
          <w:tcPr>
            <w:tcW w:w="9040" w:type="dxa"/>
            <w:vAlign w:val="bottom"/>
          </w:tcPr>
          <w:p>
            <w:pPr>
              <w:ind w:left="180"/>
              <w:spacing w:after="0" w:line="192" w:lineRule="exact"/>
              <w:rPr>
                <w:sz w:val="20"/>
                <w:szCs w:val="20"/>
                <w:color w:val="auto"/>
              </w:rPr>
            </w:pPr>
            <w:r>
              <w:rPr>
                <w:rFonts w:ascii="Times New Roman" w:cs="Times New Roman" w:eastAsia="Times New Roman" w:hAnsi="Times New Roman"/>
                <w:sz w:val="19"/>
                <w:szCs w:val="19"/>
                <w:color w:val="auto"/>
              </w:rPr>
              <w:t>(incorporated by reference to Dycom Industries, Inc.’s Annual Report on Form 10-K filed with the SEC on</w:t>
            </w:r>
          </w:p>
        </w:tc>
      </w:tr>
      <w:tr>
        <w:trPr>
          <w:trHeight w:val="251"/>
        </w:trPr>
        <w:tc>
          <w:tcPr>
            <w:tcW w:w="700" w:type="dxa"/>
            <w:vAlign w:val="bottom"/>
          </w:tcPr>
          <w:p>
            <w:pPr>
              <w:spacing w:after="0"/>
              <w:rPr>
                <w:sz w:val="21"/>
                <w:szCs w:val="21"/>
                <w:color w:val="auto"/>
              </w:rPr>
            </w:pP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September 4, 2012).</w:t>
            </w:r>
          </w:p>
        </w:tc>
      </w:tr>
      <w:tr>
        <w:trPr>
          <w:trHeight w:val="233"/>
        </w:trPr>
        <w:tc>
          <w:tcPr>
            <w:tcW w:w="700" w:type="dxa"/>
            <w:vAlign w:val="bottom"/>
          </w:tcPr>
          <w:p>
            <w:pPr>
              <w:spacing w:after="0"/>
              <w:rPr>
                <w:sz w:val="20"/>
                <w:szCs w:val="20"/>
                <w:color w:val="auto"/>
              </w:rPr>
            </w:pPr>
            <w:r>
              <w:rPr>
                <w:rFonts w:ascii="Times New Roman" w:cs="Times New Roman" w:eastAsia="Times New Roman" w:hAnsi="Times New Roman"/>
                <w:sz w:val="19"/>
                <w:szCs w:val="19"/>
                <w:color w:val="auto"/>
              </w:rPr>
              <w:t>10.4*</w:t>
            </w: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2012 Long-Term Incentive Plan, amended and restated effective as of November 21, 2017 (incorporated by</w:t>
            </w:r>
          </w:p>
        </w:tc>
      </w:tr>
      <w:tr>
        <w:trPr>
          <w:trHeight w:val="251"/>
        </w:trPr>
        <w:tc>
          <w:tcPr>
            <w:tcW w:w="700" w:type="dxa"/>
            <w:vAlign w:val="bottom"/>
          </w:tcPr>
          <w:p>
            <w:pPr>
              <w:spacing w:after="0"/>
              <w:rPr>
                <w:sz w:val="21"/>
                <w:szCs w:val="21"/>
                <w:color w:val="auto"/>
              </w:rPr>
            </w:pP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reference to Dycom Industries, Inc.’s Definitive Proxy Statement filed with the SEC on October 12, 2017).</w:t>
            </w:r>
          </w:p>
        </w:tc>
      </w:tr>
      <w:tr>
        <w:trPr>
          <w:trHeight w:val="224"/>
        </w:trPr>
        <w:tc>
          <w:tcPr>
            <w:tcW w:w="700" w:type="dxa"/>
            <w:vAlign w:val="bottom"/>
          </w:tcPr>
          <w:p>
            <w:pPr>
              <w:spacing w:after="0"/>
              <w:rPr>
                <w:sz w:val="20"/>
                <w:szCs w:val="20"/>
                <w:color w:val="auto"/>
              </w:rPr>
            </w:pPr>
            <w:r>
              <w:rPr>
                <w:rFonts w:ascii="Times New Roman" w:cs="Times New Roman" w:eastAsia="Times New Roman" w:hAnsi="Times New Roman"/>
                <w:sz w:val="19"/>
                <w:szCs w:val="19"/>
                <w:color w:val="auto"/>
              </w:rPr>
              <w:t>10.5*</w:t>
            </w: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Amendment to the Dycom Industries, Inc. 2012 Long-Term Incentive Plan, as amended and restated as of</w:t>
            </w:r>
          </w:p>
        </w:tc>
      </w:tr>
      <w:tr>
        <w:trPr>
          <w:trHeight w:val="192"/>
        </w:trPr>
        <w:tc>
          <w:tcPr>
            <w:tcW w:w="700" w:type="dxa"/>
            <w:vAlign w:val="bottom"/>
          </w:tcPr>
          <w:p>
            <w:pPr>
              <w:spacing w:after="0"/>
              <w:rPr>
                <w:sz w:val="16"/>
                <w:szCs w:val="16"/>
                <w:color w:val="auto"/>
              </w:rPr>
            </w:pPr>
          </w:p>
        </w:tc>
        <w:tc>
          <w:tcPr>
            <w:tcW w:w="9040" w:type="dxa"/>
            <w:vAlign w:val="bottom"/>
          </w:tcPr>
          <w:p>
            <w:pPr>
              <w:ind w:left="180"/>
              <w:spacing w:after="0" w:line="192" w:lineRule="exact"/>
              <w:rPr>
                <w:sz w:val="20"/>
                <w:szCs w:val="20"/>
                <w:color w:val="auto"/>
              </w:rPr>
            </w:pPr>
            <w:r>
              <w:rPr>
                <w:rFonts w:ascii="Times New Roman" w:cs="Times New Roman" w:eastAsia="Times New Roman" w:hAnsi="Times New Roman"/>
                <w:sz w:val="19"/>
                <w:szCs w:val="19"/>
                <w:color w:val="auto"/>
              </w:rPr>
              <w:t>November 21, 2017 (incorporated by reference to Appendix A of the Dycom Industries, Inc.’s Definitive Proxy</w:t>
            </w:r>
          </w:p>
        </w:tc>
      </w:tr>
      <w:tr>
        <w:trPr>
          <w:trHeight w:val="251"/>
        </w:trPr>
        <w:tc>
          <w:tcPr>
            <w:tcW w:w="700" w:type="dxa"/>
            <w:vAlign w:val="bottom"/>
          </w:tcPr>
          <w:p>
            <w:pPr>
              <w:spacing w:after="0"/>
              <w:rPr>
                <w:sz w:val="21"/>
                <w:szCs w:val="21"/>
                <w:color w:val="auto"/>
              </w:rPr>
            </w:pP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Statement, filed with the SEC on April 11, 2019).</w:t>
            </w:r>
          </w:p>
        </w:tc>
      </w:tr>
      <w:tr>
        <w:trPr>
          <w:trHeight w:val="233"/>
        </w:trPr>
        <w:tc>
          <w:tcPr>
            <w:tcW w:w="700" w:type="dxa"/>
            <w:vAlign w:val="bottom"/>
          </w:tcPr>
          <w:p>
            <w:pPr>
              <w:spacing w:after="0"/>
              <w:rPr>
                <w:sz w:val="20"/>
                <w:szCs w:val="20"/>
                <w:color w:val="auto"/>
              </w:rPr>
            </w:pPr>
            <w:r>
              <w:rPr>
                <w:rFonts w:ascii="Times New Roman" w:cs="Times New Roman" w:eastAsia="Times New Roman" w:hAnsi="Times New Roman"/>
                <w:sz w:val="19"/>
                <w:szCs w:val="19"/>
                <w:color w:val="auto"/>
              </w:rPr>
              <w:t>10.6*</w:t>
            </w: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Amendment to the Dycom Industries, Inc. 2012 Long-Term Incentive Plan, as amended and restated as of May 26,</w:t>
            </w:r>
          </w:p>
        </w:tc>
      </w:tr>
      <w:tr>
        <w:trPr>
          <w:trHeight w:val="192"/>
        </w:trPr>
        <w:tc>
          <w:tcPr>
            <w:tcW w:w="700" w:type="dxa"/>
            <w:vAlign w:val="bottom"/>
          </w:tcPr>
          <w:p>
            <w:pPr>
              <w:spacing w:after="0"/>
              <w:rPr>
                <w:sz w:val="16"/>
                <w:szCs w:val="16"/>
                <w:color w:val="auto"/>
              </w:rPr>
            </w:pPr>
          </w:p>
        </w:tc>
        <w:tc>
          <w:tcPr>
            <w:tcW w:w="9040" w:type="dxa"/>
            <w:vAlign w:val="bottom"/>
          </w:tcPr>
          <w:p>
            <w:pPr>
              <w:ind w:left="180"/>
              <w:spacing w:after="0" w:line="192" w:lineRule="exact"/>
              <w:rPr>
                <w:sz w:val="20"/>
                <w:szCs w:val="20"/>
                <w:color w:val="auto"/>
              </w:rPr>
            </w:pPr>
            <w:r>
              <w:rPr>
                <w:rFonts w:ascii="Times New Roman" w:cs="Times New Roman" w:eastAsia="Times New Roman" w:hAnsi="Times New Roman"/>
                <w:sz w:val="19"/>
                <w:szCs w:val="19"/>
                <w:color w:val="auto"/>
              </w:rPr>
              <w:t>2022 (incorporated by reference to Appendix A of the Dycom Industries, Inc.’s Definitive Proxy Statement, filed</w:t>
            </w:r>
          </w:p>
        </w:tc>
      </w:tr>
      <w:tr>
        <w:trPr>
          <w:trHeight w:val="251"/>
        </w:trPr>
        <w:tc>
          <w:tcPr>
            <w:tcW w:w="700" w:type="dxa"/>
            <w:vAlign w:val="bottom"/>
          </w:tcPr>
          <w:p>
            <w:pPr>
              <w:spacing w:after="0"/>
              <w:rPr>
                <w:sz w:val="21"/>
                <w:szCs w:val="21"/>
                <w:color w:val="auto"/>
              </w:rPr>
            </w:pP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with the SEC on April 15, 2022).</w:t>
            </w:r>
          </w:p>
        </w:tc>
      </w:tr>
      <w:tr>
        <w:trPr>
          <w:trHeight w:val="233"/>
        </w:trPr>
        <w:tc>
          <w:tcPr>
            <w:tcW w:w="700" w:type="dxa"/>
            <w:vAlign w:val="bottom"/>
          </w:tcPr>
          <w:p>
            <w:pPr>
              <w:spacing w:after="0"/>
              <w:rPr>
                <w:sz w:val="20"/>
                <w:szCs w:val="20"/>
                <w:color w:val="auto"/>
              </w:rPr>
            </w:pPr>
            <w:r>
              <w:rPr>
                <w:rFonts w:ascii="Times New Roman" w:cs="Times New Roman" w:eastAsia="Times New Roman" w:hAnsi="Times New Roman"/>
                <w:sz w:val="19"/>
                <w:szCs w:val="19"/>
                <w:color w:val="auto"/>
              </w:rPr>
              <w:t>10.7*</w:t>
            </w: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Form of Non-Qualified Stock Option Agreement under the 2012 Long-Term Incentive Plan (incorporated by</w:t>
            </w:r>
          </w:p>
        </w:tc>
      </w:tr>
      <w:tr>
        <w:trPr>
          <w:trHeight w:val="251"/>
        </w:trPr>
        <w:tc>
          <w:tcPr>
            <w:tcW w:w="700" w:type="dxa"/>
            <w:vAlign w:val="bottom"/>
          </w:tcPr>
          <w:p>
            <w:pPr>
              <w:spacing w:after="0"/>
              <w:rPr>
                <w:sz w:val="21"/>
                <w:szCs w:val="21"/>
                <w:color w:val="auto"/>
              </w:rPr>
            </w:pP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reference to Dycom Industries, Inc.’s Current Report on Form 8-K filed with the SEC on December 20, 2012).</w:t>
            </w:r>
          </w:p>
        </w:tc>
      </w:tr>
      <w:tr>
        <w:trPr>
          <w:trHeight w:val="224"/>
        </w:trPr>
        <w:tc>
          <w:tcPr>
            <w:tcW w:w="700" w:type="dxa"/>
            <w:vAlign w:val="bottom"/>
          </w:tcPr>
          <w:p>
            <w:pPr>
              <w:spacing w:after="0"/>
              <w:rPr>
                <w:sz w:val="20"/>
                <w:szCs w:val="20"/>
                <w:color w:val="auto"/>
              </w:rPr>
            </w:pPr>
            <w:r>
              <w:rPr>
                <w:rFonts w:ascii="Times New Roman" w:cs="Times New Roman" w:eastAsia="Times New Roman" w:hAnsi="Times New Roman"/>
                <w:sz w:val="19"/>
                <w:szCs w:val="19"/>
                <w:color w:val="auto"/>
              </w:rPr>
              <w:t>10.8*</w:t>
            </w: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Form of Incentive Stock Option Agreement under the 2012 Long-Term Incentive Plan (incorporated by reference</w:t>
            </w:r>
          </w:p>
        </w:tc>
      </w:tr>
      <w:tr>
        <w:trPr>
          <w:trHeight w:val="251"/>
        </w:trPr>
        <w:tc>
          <w:tcPr>
            <w:tcW w:w="700" w:type="dxa"/>
            <w:vAlign w:val="bottom"/>
          </w:tcPr>
          <w:p>
            <w:pPr>
              <w:spacing w:after="0"/>
              <w:rPr>
                <w:sz w:val="21"/>
                <w:szCs w:val="21"/>
                <w:color w:val="auto"/>
              </w:rPr>
            </w:pP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to Dycom Industries, Inc.’s Current Report on Form 8-K filed with the SEC on December 20, 2012).</w:t>
            </w:r>
          </w:p>
        </w:tc>
      </w:tr>
      <w:tr>
        <w:trPr>
          <w:trHeight w:val="224"/>
        </w:trPr>
        <w:tc>
          <w:tcPr>
            <w:tcW w:w="700" w:type="dxa"/>
            <w:vAlign w:val="bottom"/>
          </w:tcPr>
          <w:p>
            <w:pPr>
              <w:spacing w:after="0"/>
              <w:rPr>
                <w:sz w:val="20"/>
                <w:szCs w:val="20"/>
                <w:color w:val="auto"/>
              </w:rPr>
            </w:pPr>
            <w:r>
              <w:rPr>
                <w:rFonts w:ascii="Times New Roman" w:cs="Times New Roman" w:eastAsia="Times New Roman" w:hAnsi="Times New Roman"/>
                <w:sz w:val="19"/>
                <w:szCs w:val="19"/>
                <w:color w:val="auto"/>
              </w:rPr>
              <w:t>10.9*</w:t>
            </w: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Form of Restricted Stock Unit Agreement under the 2012 Long-Term Incentive Plan (incorporated by reference to</w:t>
            </w:r>
          </w:p>
        </w:tc>
      </w:tr>
      <w:tr>
        <w:trPr>
          <w:trHeight w:val="251"/>
        </w:trPr>
        <w:tc>
          <w:tcPr>
            <w:tcW w:w="700" w:type="dxa"/>
            <w:vAlign w:val="bottom"/>
          </w:tcPr>
          <w:p>
            <w:pPr>
              <w:spacing w:after="0"/>
              <w:rPr>
                <w:sz w:val="21"/>
                <w:szCs w:val="21"/>
                <w:color w:val="auto"/>
              </w:rPr>
            </w:pP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Dycom Industries, Inc.’s Current Report on Form 8-K filed with the SEC on December 20, 2012).</w:t>
            </w:r>
          </w:p>
        </w:tc>
      </w:tr>
      <w:tr>
        <w:trPr>
          <w:trHeight w:val="224"/>
        </w:trPr>
        <w:tc>
          <w:tcPr>
            <w:tcW w:w="700" w:type="dxa"/>
            <w:vAlign w:val="bottom"/>
          </w:tcPr>
          <w:p>
            <w:pPr>
              <w:spacing w:after="0"/>
              <w:rPr>
                <w:sz w:val="20"/>
                <w:szCs w:val="20"/>
                <w:color w:val="auto"/>
              </w:rPr>
            </w:pPr>
            <w:r>
              <w:rPr>
                <w:rFonts w:ascii="Times New Roman" w:cs="Times New Roman" w:eastAsia="Times New Roman" w:hAnsi="Times New Roman"/>
                <w:sz w:val="19"/>
                <w:szCs w:val="19"/>
                <w:color w:val="auto"/>
              </w:rPr>
              <w:t>10.10*</w:t>
            </w: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Form of Performance Share Unit Agreement under the 2012 Long-Term Incentive Plan (incorporated by reference</w:t>
            </w:r>
          </w:p>
        </w:tc>
      </w:tr>
      <w:tr>
        <w:trPr>
          <w:trHeight w:val="251"/>
        </w:trPr>
        <w:tc>
          <w:tcPr>
            <w:tcW w:w="700" w:type="dxa"/>
            <w:vAlign w:val="bottom"/>
          </w:tcPr>
          <w:p>
            <w:pPr>
              <w:spacing w:after="0"/>
              <w:rPr>
                <w:sz w:val="21"/>
                <w:szCs w:val="21"/>
                <w:color w:val="auto"/>
              </w:rPr>
            </w:pP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to Dycom Industries, Inc.’s Current Report on Form 8-K filed with the SEC on December 20, 2012).</w:t>
            </w:r>
          </w:p>
        </w:tc>
      </w:tr>
      <w:tr>
        <w:trPr>
          <w:trHeight w:val="224"/>
        </w:trPr>
        <w:tc>
          <w:tcPr>
            <w:tcW w:w="700" w:type="dxa"/>
            <w:vAlign w:val="bottom"/>
          </w:tcPr>
          <w:p>
            <w:pPr>
              <w:spacing w:after="0"/>
              <w:rPr>
                <w:sz w:val="20"/>
                <w:szCs w:val="20"/>
                <w:color w:val="auto"/>
              </w:rPr>
            </w:pPr>
            <w:r>
              <w:rPr>
                <w:rFonts w:ascii="Times New Roman" w:cs="Times New Roman" w:eastAsia="Times New Roman" w:hAnsi="Times New Roman"/>
                <w:sz w:val="19"/>
                <w:szCs w:val="19"/>
                <w:color w:val="auto"/>
              </w:rPr>
              <w:t>10.11*</w:t>
            </w: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2007 Non-Employee Directors Equity Plan, amended and restated effective as of September 19, 2011</w:t>
            </w:r>
          </w:p>
        </w:tc>
      </w:tr>
      <w:tr>
        <w:trPr>
          <w:trHeight w:val="192"/>
        </w:trPr>
        <w:tc>
          <w:tcPr>
            <w:tcW w:w="700" w:type="dxa"/>
            <w:vAlign w:val="bottom"/>
          </w:tcPr>
          <w:p>
            <w:pPr>
              <w:spacing w:after="0"/>
              <w:rPr>
                <w:sz w:val="16"/>
                <w:szCs w:val="16"/>
                <w:color w:val="auto"/>
              </w:rPr>
            </w:pPr>
          </w:p>
        </w:tc>
        <w:tc>
          <w:tcPr>
            <w:tcW w:w="9040" w:type="dxa"/>
            <w:vAlign w:val="bottom"/>
          </w:tcPr>
          <w:p>
            <w:pPr>
              <w:ind w:left="180"/>
              <w:spacing w:after="0" w:line="192" w:lineRule="exact"/>
              <w:rPr>
                <w:sz w:val="20"/>
                <w:szCs w:val="20"/>
                <w:color w:val="auto"/>
              </w:rPr>
            </w:pPr>
            <w:r>
              <w:rPr>
                <w:rFonts w:ascii="Times New Roman" w:cs="Times New Roman" w:eastAsia="Times New Roman" w:hAnsi="Times New Roman"/>
                <w:sz w:val="19"/>
                <w:szCs w:val="19"/>
                <w:color w:val="auto"/>
              </w:rPr>
              <w:t>(incorporated by reference to Dycom Industries, Inc.’s Current Report on Form 8-K filed with the SEC on</w:t>
            </w:r>
          </w:p>
        </w:tc>
      </w:tr>
      <w:tr>
        <w:trPr>
          <w:trHeight w:val="251"/>
        </w:trPr>
        <w:tc>
          <w:tcPr>
            <w:tcW w:w="700" w:type="dxa"/>
            <w:vAlign w:val="bottom"/>
          </w:tcPr>
          <w:p>
            <w:pPr>
              <w:spacing w:after="0"/>
              <w:rPr>
                <w:sz w:val="21"/>
                <w:szCs w:val="21"/>
                <w:color w:val="auto"/>
              </w:rPr>
            </w:pP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September 23, 2011).</w:t>
            </w:r>
          </w:p>
        </w:tc>
      </w:tr>
      <w:tr>
        <w:trPr>
          <w:trHeight w:val="233"/>
        </w:trPr>
        <w:tc>
          <w:tcPr>
            <w:tcW w:w="700" w:type="dxa"/>
            <w:vAlign w:val="bottom"/>
          </w:tcPr>
          <w:p>
            <w:pPr>
              <w:spacing w:after="0"/>
              <w:rPr>
                <w:sz w:val="20"/>
                <w:szCs w:val="20"/>
                <w:color w:val="auto"/>
              </w:rPr>
            </w:pPr>
            <w:r>
              <w:rPr>
                <w:rFonts w:ascii="Times New Roman" w:cs="Times New Roman" w:eastAsia="Times New Roman" w:hAnsi="Times New Roman"/>
                <w:sz w:val="19"/>
                <w:szCs w:val="19"/>
                <w:color w:val="auto"/>
              </w:rPr>
              <w:t>10.12*</w:t>
            </w: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Form of Non-Employee Director Non-Qualified Stock Option Agreement, under the 2007 Non-Employee</w:t>
            </w:r>
          </w:p>
        </w:tc>
      </w:tr>
      <w:tr>
        <w:trPr>
          <w:trHeight w:val="192"/>
        </w:trPr>
        <w:tc>
          <w:tcPr>
            <w:tcW w:w="700" w:type="dxa"/>
            <w:vAlign w:val="bottom"/>
          </w:tcPr>
          <w:p>
            <w:pPr>
              <w:spacing w:after="0"/>
              <w:rPr>
                <w:sz w:val="16"/>
                <w:szCs w:val="16"/>
                <w:color w:val="auto"/>
              </w:rPr>
            </w:pPr>
          </w:p>
        </w:tc>
        <w:tc>
          <w:tcPr>
            <w:tcW w:w="9040" w:type="dxa"/>
            <w:vAlign w:val="bottom"/>
          </w:tcPr>
          <w:p>
            <w:pPr>
              <w:ind w:left="180"/>
              <w:spacing w:after="0" w:line="192" w:lineRule="exact"/>
              <w:rPr>
                <w:sz w:val="20"/>
                <w:szCs w:val="20"/>
                <w:color w:val="auto"/>
              </w:rPr>
            </w:pPr>
            <w:r>
              <w:rPr>
                <w:rFonts w:ascii="Times New Roman" w:cs="Times New Roman" w:eastAsia="Times New Roman" w:hAnsi="Times New Roman"/>
                <w:sz w:val="19"/>
                <w:szCs w:val="19"/>
                <w:color w:val="auto"/>
              </w:rPr>
              <w:t>Directors Equity Plan, as amended and restated (incorporated by reference to Dycom Industries, Inc.’s Annual</w:t>
            </w:r>
          </w:p>
        </w:tc>
      </w:tr>
      <w:tr>
        <w:trPr>
          <w:trHeight w:val="251"/>
        </w:trPr>
        <w:tc>
          <w:tcPr>
            <w:tcW w:w="700" w:type="dxa"/>
            <w:vAlign w:val="bottom"/>
          </w:tcPr>
          <w:p>
            <w:pPr>
              <w:spacing w:after="0"/>
              <w:rPr>
                <w:sz w:val="21"/>
                <w:szCs w:val="21"/>
                <w:color w:val="auto"/>
              </w:rPr>
            </w:pP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Report on Form 10-K filed with the SEC on September 4, 2012).</w:t>
            </w:r>
          </w:p>
        </w:tc>
      </w:tr>
      <w:tr>
        <w:trPr>
          <w:trHeight w:val="233"/>
        </w:trPr>
        <w:tc>
          <w:tcPr>
            <w:tcW w:w="700" w:type="dxa"/>
            <w:vAlign w:val="bottom"/>
          </w:tcPr>
          <w:p>
            <w:pPr>
              <w:spacing w:after="0"/>
              <w:rPr>
                <w:sz w:val="20"/>
                <w:szCs w:val="20"/>
                <w:color w:val="auto"/>
              </w:rPr>
            </w:pPr>
            <w:r>
              <w:rPr>
                <w:rFonts w:ascii="Times New Roman" w:cs="Times New Roman" w:eastAsia="Times New Roman" w:hAnsi="Times New Roman"/>
                <w:sz w:val="19"/>
                <w:szCs w:val="19"/>
                <w:color w:val="auto"/>
              </w:rPr>
              <w:t>10.13*</w:t>
            </w: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Form of Non-Employee Director Restricted Stock Unit Agreement, under the 2007 Non-Employee Directors</w:t>
            </w:r>
          </w:p>
        </w:tc>
      </w:tr>
      <w:tr>
        <w:trPr>
          <w:trHeight w:val="192"/>
        </w:trPr>
        <w:tc>
          <w:tcPr>
            <w:tcW w:w="700" w:type="dxa"/>
            <w:vAlign w:val="bottom"/>
          </w:tcPr>
          <w:p>
            <w:pPr>
              <w:spacing w:after="0"/>
              <w:rPr>
                <w:sz w:val="16"/>
                <w:szCs w:val="16"/>
                <w:color w:val="auto"/>
              </w:rPr>
            </w:pPr>
          </w:p>
        </w:tc>
        <w:tc>
          <w:tcPr>
            <w:tcW w:w="9040" w:type="dxa"/>
            <w:vAlign w:val="bottom"/>
          </w:tcPr>
          <w:p>
            <w:pPr>
              <w:ind w:left="180"/>
              <w:spacing w:after="0" w:line="192" w:lineRule="exact"/>
              <w:rPr>
                <w:sz w:val="20"/>
                <w:szCs w:val="20"/>
                <w:color w:val="auto"/>
              </w:rPr>
            </w:pPr>
            <w:r>
              <w:rPr>
                <w:rFonts w:ascii="Times New Roman" w:cs="Times New Roman" w:eastAsia="Times New Roman" w:hAnsi="Times New Roman"/>
                <w:sz w:val="19"/>
                <w:szCs w:val="19"/>
                <w:color w:val="auto"/>
              </w:rPr>
              <w:t>Equity Plan, as amended and restated (incorporated by reference to Dycom Industries, Inc.’s Annual Report on</w:t>
            </w:r>
          </w:p>
        </w:tc>
      </w:tr>
      <w:tr>
        <w:trPr>
          <w:trHeight w:val="251"/>
        </w:trPr>
        <w:tc>
          <w:tcPr>
            <w:tcW w:w="700" w:type="dxa"/>
            <w:vAlign w:val="bottom"/>
          </w:tcPr>
          <w:p>
            <w:pPr>
              <w:spacing w:after="0"/>
              <w:rPr>
                <w:sz w:val="21"/>
                <w:szCs w:val="21"/>
                <w:color w:val="auto"/>
              </w:rPr>
            </w:pPr>
          </w:p>
        </w:tc>
        <w:tc>
          <w:tcPr>
            <w:tcW w:w="90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Form 10-K filed with the SEC on September 4, 2012).</w:t>
            </w:r>
          </w:p>
        </w:tc>
      </w:tr>
    </w:tbl>
    <w:p>
      <w:pPr>
        <w:spacing w:after="0" w:line="200" w:lineRule="exact"/>
        <w:rPr>
          <w:sz w:val="20"/>
          <w:szCs w:val="20"/>
          <w:color w:val="auto"/>
        </w:rPr>
      </w:pPr>
    </w:p>
    <w:p>
      <w:pPr>
        <w:sectPr>
          <w:pgSz w:w="11880" w:h="15480" w:orient="portrait"/>
          <w:cols w:equalWidth="0" w:num="1">
            <w:col w:w="9780"/>
          </w:cols>
          <w:pgMar w:left="1000" w:top="891" w:right="1100" w:bottom="0" w:gutter="0" w:footer="0" w:header="0"/>
        </w:sectPr>
      </w:pPr>
    </w:p>
    <w:p>
      <w:pPr>
        <w:spacing w:after="0" w:line="24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254000</wp:posOffset>
            </wp:positionV>
            <wp:extent cx="76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5">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254000</wp:posOffset>
            </wp:positionV>
            <wp:extent cx="76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6">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780"/>
          </w:cols>
          <w:pgMar w:left="1000" w:top="891" w:right="1100" w:bottom="0" w:gutter="0" w:footer="0" w:header="0"/>
          <w:type w:val="continuous"/>
        </w:sectPr>
      </w:pPr>
    </w:p>
    <w:bookmarkStart w:id="85" w:name="page86"/>
    <w:bookmarkEnd w:id="85"/>
    <w:p>
      <w:pPr>
        <w:ind w:left="400" w:right="500" w:hanging="863"/>
        <w:spacing w:after="0" w:line="246" w:lineRule="auto"/>
        <w:tabs>
          <w:tab w:leader="none" w:pos="380" w:val="left"/>
        </w:tabs>
        <w:rPr>
          <w:sz w:val="20"/>
          <w:szCs w:val="20"/>
          <w:color w:val="auto"/>
        </w:rPr>
      </w:pPr>
      <w:r>
        <w:rPr>
          <w:rFonts w:ascii="Times New Roman" w:cs="Times New Roman" w:eastAsia="Times New Roman" w:hAnsi="Times New Roman"/>
          <w:sz w:val="19"/>
          <w:szCs w:val="19"/>
          <w:color w:val="auto"/>
        </w:rPr>
        <w:t>10.14*</w:t>
      </w:r>
      <w:r>
        <w:rPr>
          <w:sz w:val="20"/>
          <w:szCs w:val="20"/>
          <w:color w:val="auto"/>
        </w:rPr>
        <w:tab/>
      </w:r>
      <w:r>
        <w:rPr>
          <w:rFonts w:ascii="Times New Roman" w:cs="Times New Roman" w:eastAsia="Times New Roman" w:hAnsi="Times New Roman"/>
          <w:sz w:val="19"/>
          <w:szCs w:val="19"/>
          <w:color w:val="auto"/>
        </w:rPr>
        <w:t>2017 Non-Employee Directors Equity Plan (incorporated by reference to Dycom Industries, Inc.’s Definitive Proxy Statement filed with the SEC on October 12, 2017).</w:t>
      </w:r>
    </w:p>
    <w:p>
      <w:pPr>
        <w:spacing w:after="0" w:line="27" w:lineRule="exact"/>
        <w:rPr>
          <w:sz w:val="20"/>
          <w:szCs w:val="20"/>
          <w:color w:val="auto"/>
        </w:rPr>
      </w:pPr>
    </w:p>
    <w:p>
      <w:pPr>
        <w:ind w:left="400" w:right="20" w:hanging="863"/>
        <w:spacing w:after="0" w:line="232" w:lineRule="auto"/>
        <w:tabs>
          <w:tab w:leader="none" w:pos="380" w:val="left"/>
        </w:tabs>
        <w:rPr>
          <w:sz w:val="20"/>
          <w:szCs w:val="20"/>
          <w:color w:val="auto"/>
        </w:rPr>
      </w:pPr>
      <w:r>
        <w:rPr>
          <w:rFonts w:ascii="Times New Roman" w:cs="Times New Roman" w:eastAsia="Times New Roman" w:hAnsi="Times New Roman"/>
          <w:sz w:val="19"/>
          <w:szCs w:val="19"/>
          <w:color w:val="auto"/>
        </w:rPr>
        <w:t>10.15*</w:t>
      </w:r>
      <w:r>
        <w:rPr>
          <w:sz w:val="20"/>
          <w:szCs w:val="20"/>
          <w:color w:val="auto"/>
        </w:rPr>
        <w:tab/>
      </w:r>
      <w:r>
        <w:rPr>
          <w:rFonts w:ascii="Times New Roman" w:cs="Times New Roman" w:eastAsia="Times New Roman" w:hAnsi="Times New Roman"/>
          <w:sz w:val="19"/>
          <w:szCs w:val="19"/>
          <w:color w:val="auto"/>
        </w:rPr>
        <w:t>Dycom Industries, Inc. 2017 Non-Employee Directors Equity Plan, as Amended and Restated as of May 25, 2023 (incorporated herein by reference to Appendix A of the Company’s Definitive Proxy Statement, filed with the SEC on April 14, 2023).</w:t>
      </w:r>
    </w:p>
    <w:p>
      <w:pPr>
        <w:spacing w:after="0" w:line="43" w:lineRule="exact"/>
        <w:rPr>
          <w:sz w:val="20"/>
          <w:szCs w:val="20"/>
          <w:color w:val="auto"/>
        </w:rPr>
      </w:pPr>
    </w:p>
    <w:p>
      <w:pPr>
        <w:ind w:left="400" w:right="120" w:hanging="863"/>
        <w:spacing w:after="0" w:line="232" w:lineRule="auto"/>
        <w:tabs>
          <w:tab w:leader="none" w:pos="380" w:val="left"/>
        </w:tabs>
        <w:rPr>
          <w:sz w:val="20"/>
          <w:szCs w:val="20"/>
          <w:color w:val="auto"/>
        </w:rPr>
      </w:pPr>
      <w:r>
        <w:rPr>
          <w:rFonts w:ascii="Times New Roman" w:cs="Times New Roman" w:eastAsia="Times New Roman" w:hAnsi="Times New Roman"/>
          <w:sz w:val="19"/>
          <w:szCs w:val="19"/>
          <w:color w:val="auto"/>
        </w:rPr>
        <w:t>10.16*</w:t>
      </w:r>
      <w:r>
        <w:rPr>
          <w:sz w:val="20"/>
          <w:szCs w:val="20"/>
          <w:color w:val="auto"/>
        </w:rPr>
        <w:tab/>
      </w:r>
      <w:r>
        <w:rPr>
          <w:rFonts w:ascii="Times New Roman" w:cs="Times New Roman" w:eastAsia="Times New Roman" w:hAnsi="Times New Roman"/>
          <w:sz w:val="19"/>
          <w:szCs w:val="19"/>
          <w:color w:val="auto"/>
        </w:rPr>
        <w:t>Form of Non-Employee Director Restricted Stock Unit Agreement under the 2017 Non-Employee Directors Equity Plan (incorporated by reference to Dycom Industries, Inc.’s Transition Report on Form 10-K filed with the SEC on March 2, 2018).</w:t>
      </w:r>
    </w:p>
    <w:p>
      <w:pPr>
        <w:spacing w:after="0" w:line="43" w:lineRule="exact"/>
        <w:rPr>
          <w:sz w:val="20"/>
          <w:szCs w:val="20"/>
          <w:color w:val="auto"/>
        </w:rPr>
      </w:pPr>
    </w:p>
    <w:p>
      <w:pPr>
        <w:ind w:left="400" w:right="400" w:hanging="863"/>
        <w:spacing w:after="0" w:line="246" w:lineRule="auto"/>
        <w:tabs>
          <w:tab w:leader="none" w:pos="380" w:val="left"/>
        </w:tabs>
        <w:rPr>
          <w:sz w:val="20"/>
          <w:szCs w:val="20"/>
          <w:color w:val="auto"/>
        </w:rPr>
      </w:pPr>
      <w:r>
        <w:rPr>
          <w:rFonts w:ascii="Times New Roman" w:cs="Times New Roman" w:eastAsia="Times New Roman" w:hAnsi="Times New Roman"/>
          <w:sz w:val="19"/>
          <w:szCs w:val="19"/>
          <w:color w:val="auto"/>
        </w:rPr>
        <w:t>10.17*</w:t>
      </w:r>
      <w:r>
        <w:rPr>
          <w:sz w:val="20"/>
          <w:szCs w:val="20"/>
          <w:color w:val="auto"/>
        </w:rPr>
        <w:tab/>
      </w:r>
      <w:r>
        <w:rPr>
          <w:rFonts w:ascii="Times New Roman" w:cs="Times New Roman" w:eastAsia="Times New Roman" w:hAnsi="Times New Roman"/>
          <w:sz w:val="19"/>
          <w:szCs w:val="19"/>
          <w:color w:val="auto"/>
        </w:rPr>
        <w:t>Employment Agreement for Steven E. Nielsen dated as of May 21, 2020 (incorporated by reference to Dycom Industries, Inc.’s Form 8-K filed with the SEC on May 21, 2020).</w:t>
      </w:r>
    </w:p>
    <w:p>
      <w:pPr>
        <w:spacing w:after="0" w:line="27" w:lineRule="exact"/>
        <w:rPr>
          <w:sz w:val="20"/>
          <w:szCs w:val="20"/>
          <w:color w:val="auto"/>
        </w:rPr>
      </w:pPr>
    </w:p>
    <w:p>
      <w:pPr>
        <w:ind w:left="400" w:right="140" w:hanging="863"/>
        <w:spacing w:after="0" w:line="246" w:lineRule="auto"/>
        <w:rPr>
          <w:sz w:val="20"/>
          <w:szCs w:val="20"/>
          <w:color w:val="auto"/>
        </w:rPr>
      </w:pPr>
      <w:r>
        <w:rPr>
          <w:rFonts w:ascii="Times New Roman" w:cs="Times New Roman" w:eastAsia="Times New Roman" w:hAnsi="Times New Roman"/>
          <w:sz w:val="19"/>
          <w:szCs w:val="19"/>
          <w:color w:val="auto"/>
        </w:rPr>
        <w:t>10.17(a)* Amended and Restated Employment Agreement for Steven E. Nielsen dated as of June 14, 2024 (incorporated by reference to Dycom Industries, Inc.’s Current Report on Form 8-K filed with the SEC on June 17, 2024).</w:t>
      </w:r>
    </w:p>
    <w:p>
      <w:pPr>
        <w:spacing w:after="0" w:line="27" w:lineRule="exact"/>
        <w:rPr>
          <w:sz w:val="20"/>
          <w:szCs w:val="20"/>
          <w:color w:val="auto"/>
        </w:rPr>
      </w:pPr>
    </w:p>
    <w:p>
      <w:pPr>
        <w:ind w:left="400" w:right="280" w:hanging="863"/>
        <w:spacing w:after="0" w:line="246" w:lineRule="auto"/>
        <w:tabs>
          <w:tab w:leader="none" w:pos="380" w:val="left"/>
        </w:tabs>
        <w:rPr>
          <w:sz w:val="20"/>
          <w:szCs w:val="20"/>
          <w:color w:val="auto"/>
        </w:rPr>
      </w:pPr>
      <w:r>
        <w:rPr>
          <w:rFonts w:ascii="Times New Roman" w:cs="Times New Roman" w:eastAsia="Times New Roman" w:hAnsi="Times New Roman"/>
          <w:sz w:val="19"/>
          <w:szCs w:val="19"/>
          <w:color w:val="auto"/>
        </w:rPr>
        <w:t>10.18*</w:t>
      </w:r>
      <w:r>
        <w:rPr>
          <w:sz w:val="20"/>
          <w:szCs w:val="20"/>
          <w:color w:val="auto"/>
        </w:rPr>
        <w:tab/>
      </w:r>
      <w:r>
        <w:rPr>
          <w:rFonts w:ascii="Times New Roman" w:cs="Times New Roman" w:eastAsia="Times New Roman" w:hAnsi="Times New Roman"/>
          <w:sz w:val="19"/>
          <w:szCs w:val="19"/>
          <w:color w:val="auto"/>
        </w:rPr>
        <w:t>Employment Agreement for Daniel S. Peyovich dated as of June 14, 2024 (incorporated by reference to Dycom Industries, Inc.’s Current Report on Form 8-K filed with the SEC on June 17, 2024).</w:t>
      </w:r>
    </w:p>
    <w:p>
      <w:pPr>
        <w:spacing w:after="0" w:line="27" w:lineRule="exact"/>
        <w:rPr>
          <w:sz w:val="20"/>
          <w:szCs w:val="20"/>
          <w:color w:val="auto"/>
        </w:rPr>
      </w:pPr>
    </w:p>
    <w:p>
      <w:pPr>
        <w:ind w:left="400" w:right="140" w:hanging="863"/>
        <w:spacing w:after="0" w:line="246" w:lineRule="auto"/>
        <w:tabs>
          <w:tab w:leader="none" w:pos="380" w:val="left"/>
        </w:tabs>
        <w:rPr>
          <w:sz w:val="20"/>
          <w:szCs w:val="20"/>
          <w:color w:val="auto"/>
        </w:rPr>
      </w:pPr>
      <w:r>
        <w:rPr>
          <w:rFonts w:ascii="Times New Roman" w:cs="Times New Roman" w:eastAsia="Times New Roman" w:hAnsi="Times New Roman"/>
          <w:sz w:val="19"/>
          <w:szCs w:val="19"/>
          <w:color w:val="auto"/>
        </w:rPr>
        <w:t>10.19*</w:t>
      </w:r>
      <w:r>
        <w:rPr>
          <w:sz w:val="20"/>
          <w:szCs w:val="20"/>
          <w:color w:val="auto"/>
        </w:rPr>
        <w:tab/>
      </w:r>
      <w:r>
        <w:rPr>
          <w:rFonts w:ascii="Times New Roman" w:cs="Times New Roman" w:eastAsia="Times New Roman" w:hAnsi="Times New Roman"/>
          <w:sz w:val="19"/>
          <w:szCs w:val="19"/>
          <w:color w:val="auto"/>
        </w:rPr>
        <w:t>Employment Agreement for H. Andrew DeFerrari dated as of July 23, 2015 (incorporated by reference to Dycom Industries, Inc.’s Current Report on Form 8-K filed with the SEC on July 24, 2015).</w:t>
      </w:r>
    </w:p>
    <w:p>
      <w:pPr>
        <w:spacing w:after="0" w:line="27" w:lineRule="exact"/>
        <w:rPr>
          <w:sz w:val="20"/>
          <w:szCs w:val="20"/>
          <w:color w:val="auto"/>
        </w:rPr>
      </w:pPr>
    </w:p>
    <w:p>
      <w:pPr>
        <w:ind w:left="400" w:right="240" w:hanging="863"/>
        <w:spacing w:after="0" w:line="246" w:lineRule="auto"/>
        <w:tabs>
          <w:tab w:leader="none" w:pos="380" w:val="left"/>
        </w:tabs>
        <w:rPr>
          <w:sz w:val="20"/>
          <w:szCs w:val="20"/>
          <w:color w:val="auto"/>
        </w:rPr>
      </w:pPr>
      <w:r>
        <w:rPr>
          <w:rFonts w:ascii="Times New Roman" w:cs="Times New Roman" w:eastAsia="Times New Roman" w:hAnsi="Times New Roman"/>
          <w:sz w:val="19"/>
          <w:szCs w:val="19"/>
          <w:color w:val="auto"/>
        </w:rPr>
        <w:t>10.20*</w:t>
      </w:r>
      <w:r>
        <w:rPr>
          <w:sz w:val="20"/>
          <w:szCs w:val="20"/>
          <w:color w:val="auto"/>
        </w:rPr>
        <w:tab/>
      </w:r>
      <w:r>
        <w:rPr>
          <w:rFonts w:ascii="Times New Roman" w:cs="Times New Roman" w:eastAsia="Times New Roman" w:hAnsi="Times New Roman"/>
          <w:sz w:val="19"/>
          <w:szCs w:val="19"/>
          <w:color w:val="auto"/>
        </w:rPr>
        <w:t>Employment Agreement for Heather M. Floyd dated as of March 25, 2024 (incorporated by reference to Dycom Industries, Inc.’s Current Report on Form 8-K filed with the SEC on March 26, 2024).</w:t>
      </w:r>
    </w:p>
    <w:p>
      <w:pPr>
        <w:spacing w:after="0" w:line="27" w:lineRule="exact"/>
        <w:rPr>
          <w:sz w:val="20"/>
          <w:szCs w:val="20"/>
          <w:color w:val="auto"/>
        </w:rPr>
      </w:pPr>
    </w:p>
    <w:p>
      <w:pPr>
        <w:ind w:left="400" w:right="160" w:hanging="863"/>
        <w:spacing w:after="0" w:line="246" w:lineRule="auto"/>
        <w:tabs>
          <w:tab w:leader="none" w:pos="380" w:val="left"/>
        </w:tabs>
        <w:rPr>
          <w:sz w:val="20"/>
          <w:szCs w:val="20"/>
          <w:color w:val="auto"/>
        </w:rPr>
      </w:pPr>
      <w:r>
        <w:rPr>
          <w:rFonts w:ascii="Times New Roman" w:cs="Times New Roman" w:eastAsia="Times New Roman" w:hAnsi="Times New Roman"/>
          <w:sz w:val="19"/>
          <w:szCs w:val="19"/>
          <w:color w:val="auto"/>
        </w:rPr>
        <w:t>10.21*</w:t>
      </w:r>
      <w:r>
        <w:rPr>
          <w:sz w:val="20"/>
          <w:szCs w:val="20"/>
          <w:color w:val="auto"/>
        </w:rPr>
        <w:tab/>
      </w:r>
      <w:r>
        <w:rPr>
          <w:rFonts w:ascii="Times New Roman" w:cs="Times New Roman" w:eastAsia="Times New Roman" w:hAnsi="Times New Roman"/>
          <w:sz w:val="19"/>
          <w:szCs w:val="19"/>
          <w:color w:val="auto"/>
        </w:rPr>
        <w:t>Employment Agreement for Jason T. Lawson dated as of October 10, 2022. (incorporated by reference to Dycom Industries, Inc.’s Current Report on Form 8-K filed with the SEC on October 11, 2022).</w:t>
      </w:r>
    </w:p>
    <w:p>
      <w:pPr>
        <w:spacing w:after="0" w:line="27" w:lineRule="exact"/>
        <w:rPr>
          <w:sz w:val="20"/>
          <w:szCs w:val="20"/>
          <w:color w:val="auto"/>
        </w:rPr>
      </w:pPr>
    </w:p>
    <w:p>
      <w:pPr>
        <w:ind w:left="400" w:right="160" w:hanging="863"/>
        <w:spacing w:after="0" w:line="246" w:lineRule="auto"/>
        <w:tabs>
          <w:tab w:leader="none" w:pos="380" w:val="left"/>
        </w:tabs>
        <w:rPr>
          <w:sz w:val="20"/>
          <w:szCs w:val="20"/>
          <w:color w:val="auto"/>
        </w:rPr>
      </w:pPr>
      <w:r>
        <w:rPr>
          <w:rFonts w:ascii="Times New Roman" w:cs="Times New Roman" w:eastAsia="Times New Roman" w:hAnsi="Times New Roman"/>
          <w:sz w:val="19"/>
          <w:szCs w:val="19"/>
          <w:color w:val="auto"/>
        </w:rPr>
        <w:t>10.22*</w:t>
      </w:r>
      <w:r>
        <w:rPr>
          <w:sz w:val="20"/>
          <w:szCs w:val="20"/>
          <w:color w:val="auto"/>
        </w:rPr>
        <w:tab/>
      </w:r>
      <w:r>
        <w:rPr>
          <w:rFonts w:ascii="Times New Roman" w:cs="Times New Roman" w:eastAsia="Times New Roman" w:hAnsi="Times New Roman"/>
          <w:sz w:val="19"/>
          <w:szCs w:val="19"/>
          <w:color w:val="auto"/>
        </w:rPr>
        <w:t>Employment Agreement for Jill L. Ramshaw dated as of February 17, 2025 (incorporated by reference to Dycom Industries, Inc.’s Current Report on Form 8-K filed with the SEC on February 18, 2025).</w:t>
      </w:r>
    </w:p>
    <w:p>
      <w:pPr>
        <w:spacing w:after="0" w:line="27" w:lineRule="exact"/>
        <w:rPr>
          <w:sz w:val="20"/>
          <w:szCs w:val="20"/>
          <w:color w:val="auto"/>
        </w:rPr>
      </w:pPr>
    </w:p>
    <w:p>
      <w:pPr>
        <w:ind w:left="400" w:right="300" w:hanging="863"/>
        <w:spacing w:after="0" w:line="246" w:lineRule="auto"/>
        <w:tabs>
          <w:tab w:leader="none" w:pos="380" w:val="left"/>
        </w:tabs>
        <w:rPr>
          <w:sz w:val="20"/>
          <w:szCs w:val="20"/>
          <w:color w:val="auto"/>
        </w:rPr>
      </w:pPr>
      <w:r>
        <w:rPr>
          <w:rFonts w:ascii="Times New Roman" w:cs="Times New Roman" w:eastAsia="Times New Roman" w:hAnsi="Times New Roman"/>
          <w:sz w:val="19"/>
          <w:szCs w:val="19"/>
          <w:color w:val="auto"/>
        </w:rPr>
        <w:t>10.23*</w:t>
      </w:r>
      <w:r>
        <w:rPr>
          <w:sz w:val="20"/>
          <w:szCs w:val="20"/>
          <w:color w:val="auto"/>
        </w:rPr>
        <w:tab/>
      </w:r>
      <w:r>
        <w:rPr>
          <w:rFonts w:ascii="Times New Roman" w:cs="Times New Roman" w:eastAsia="Times New Roman" w:hAnsi="Times New Roman"/>
          <w:sz w:val="19"/>
          <w:szCs w:val="19"/>
          <w:color w:val="auto"/>
        </w:rPr>
        <w:t>Employment Agreement for Ryan F. Urness dated as of October 31, 2018 (incorporated by reference to Dycom Industries, Inc.’s Quarterly Report on Form 10-Q filed with the SEC on August 29, 2019).</w:t>
      </w:r>
    </w:p>
    <w:p>
      <w:pPr>
        <w:spacing w:after="0" w:line="27" w:lineRule="exact"/>
        <w:rPr>
          <w:sz w:val="20"/>
          <w:szCs w:val="20"/>
          <w:color w:val="auto"/>
        </w:rPr>
      </w:pPr>
    </w:p>
    <w:p>
      <w:pPr>
        <w:ind w:left="400" w:right="360" w:hanging="863"/>
        <w:spacing w:after="0" w:line="246" w:lineRule="auto"/>
        <w:tabs>
          <w:tab w:leader="none" w:pos="380" w:val="left"/>
        </w:tabs>
        <w:rPr>
          <w:sz w:val="20"/>
          <w:szCs w:val="20"/>
          <w:color w:val="auto"/>
        </w:rPr>
      </w:pPr>
      <w:r>
        <w:rPr>
          <w:rFonts w:ascii="Times New Roman" w:cs="Times New Roman" w:eastAsia="Times New Roman" w:hAnsi="Times New Roman"/>
          <w:sz w:val="19"/>
          <w:szCs w:val="19"/>
          <w:color w:val="auto"/>
        </w:rPr>
        <w:t>10.24*</w:t>
      </w:r>
      <w:r>
        <w:rPr>
          <w:sz w:val="20"/>
          <w:szCs w:val="20"/>
          <w:color w:val="auto"/>
        </w:rPr>
        <w:tab/>
      </w:r>
      <w:r>
        <w:rPr>
          <w:rFonts w:ascii="Times New Roman" w:cs="Times New Roman" w:eastAsia="Times New Roman" w:hAnsi="Times New Roman"/>
          <w:sz w:val="19"/>
          <w:szCs w:val="19"/>
          <w:color w:val="auto"/>
        </w:rPr>
        <w:t>Employment Agreement for Kevin M. Wetherington dated as of October 7, 2024 (incorporated by reference to Dycom Industries, Inc.’s Current Report on Form 8-K filed with the SEC on October 7, 2024).</w:t>
      </w:r>
    </w:p>
    <w:p>
      <w:pPr>
        <w:spacing w:after="0" w:line="27" w:lineRule="exact"/>
        <w:rPr>
          <w:sz w:val="20"/>
          <w:szCs w:val="20"/>
          <w:color w:val="auto"/>
        </w:rPr>
      </w:pPr>
    </w:p>
    <w:p>
      <w:pPr>
        <w:ind w:left="400" w:right="340" w:hanging="863"/>
        <w:spacing w:after="0" w:line="246" w:lineRule="auto"/>
        <w:tabs>
          <w:tab w:leader="none" w:pos="380" w:val="left"/>
        </w:tabs>
        <w:rPr>
          <w:sz w:val="20"/>
          <w:szCs w:val="20"/>
          <w:color w:val="auto"/>
        </w:rPr>
      </w:pPr>
      <w:r>
        <w:rPr>
          <w:rFonts w:ascii="Times New Roman" w:cs="Times New Roman" w:eastAsia="Times New Roman" w:hAnsi="Times New Roman"/>
          <w:sz w:val="19"/>
          <w:szCs w:val="19"/>
          <w:color w:val="auto"/>
        </w:rPr>
        <w:t>10.25*</w:t>
      </w:r>
      <w:r>
        <w:rPr>
          <w:sz w:val="20"/>
          <w:szCs w:val="20"/>
          <w:color w:val="auto"/>
        </w:rPr>
        <w:tab/>
      </w:r>
      <w:r>
        <w:rPr>
          <w:rFonts w:ascii="Times New Roman" w:cs="Times New Roman" w:eastAsia="Times New Roman" w:hAnsi="Times New Roman"/>
          <w:sz w:val="19"/>
          <w:szCs w:val="19"/>
          <w:color w:val="auto"/>
        </w:rPr>
        <w:t>2009 Annual Incentive Plan (incorporated by reference to Dycom Industries, Inc.’s Definitive Proxy Statement filed with the SEC on October 17, 2013).</w:t>
      </w:r>
    </w:p>
    <w:p>
      <w:pPr>
        <w:spacing w:after="0" w:line="27" w:lineRule="exact"/>
        <w:rPr>
          <w:sz w:val="20"/>
          <w:szCs w:val="20"/>
          <w:color w:val="auto"/>
        </w:rPr>
      </w:pPr>
    </w:p>
    <w:p>
      <w:pPr>
        <w:ind w:left="400" w:hanging="863"/>
        <w:spacing w:after="0" w:line="246" w:lineRule="auto"/>
        <w:tabs>
          <w:tab w:leader="none" w:pos="380" w:val="left"/>
        </w:tabs>
        <w:rPr>
          <w:sz w:val="20"/>
          <w:szCs w:val="20"/>
          <w:color w:val="auto"/>
        </w:rPr>
      </w:pPr>
      <w:r>
        <w:rPr>
          <w:rFonts w:ascii="Times New Roman" w:cs="Times New Roman" w:eastAsia="Times New Roman" w:hAnsi="Times New Roman"/>
          <w:sz w:val="19"/>
          <w:szCs w:val="19"/>
          <w:color w:val="auto"/>
        </w:rPr>
        <w:t>10.26*</w:t>
      </w:r>
      <w:r>
        <w:rPr>
          <w:sz w:val="20"/>
          <w:szCs w:val="20"/>
          <w:color w:val="auto"/>
        </w:rPr>
        <w:tab/>
      </w:r>
      <w:r>
        <w:rPr>
          <w:rFonts w:ascii="Times New Roman" w:cs="Times New Roman" w:eastAsia="Times New Roman" w:hAnsi="Times New Roman"/>
          <w:sz w:val="19"/>
          <w:szCs w:val="19"/>
          <w:color w:val="auto"/>
        </w:rPr>
        <w:t>Form of Indemnification Agreement for directors and executive officers of Dycom Industries, Inc. (incorporated by reference to Dycom Industries, Inc.’s Annual Report on Form 10-K filed with the SEC on September 3, 2009).</w:t>
      </w:r>
    </w:p>
    <w:p>
      <w:pPr>
        <w:spacing w:after="0" w:line="27" w:lineRule="exact"/>
        <w:rPr>
          <w:sz w:val="20"/>
          <w:szCs w:val="20"/>
          <w:color w:val="auto"/>
        </w:rPr>
      </w:pPr>
    </w:p>
    <w:p>
      <w:pPr>
        <w:ind w:left="400" w:right="60" w:hanging="863"/>
        <w:spacing w:after="0" w:line="220" w:lineRule="auto"/>
        <w:tabs>
          <w:tab w:leader="none" w:pos="380" w:val="left"/>
        </w:tabs>
        <w:rPr>
          <w:sz w:val="20"/>
          <w:szCs w:val="20"/>
          <w:color w:val="auto"/>
        </w:rPr>
      </w:pPr>
      <w:r>
        <w:rPr>
          <w:rFonts w:ascii="Times New Roman" w:cs="Times New Roman" w:eastAsia="Times New Roman" w:hAnsi="Times New Roman"/>
          <w:sz w:val="19"/>
          <w:szCs w:val="19"/>
          <w:color w:val="auto"/>
        </w:rPr>
        <w:t>10.27</w:t>
      </w:r>
      <w:r>
        <w:rPr>
          <w:sz w:val="20"/>
          <w:szCs w:val="20"/>
          <w:color w:val="auto"/>
        </w:rPr>
        <w:tab/>
      </w:r>
      <w:r>
        <w:rPr>
          <w:rFonts w:ascii="Times New Roman" w:cs="Times New Roman" w:eastAsia="Times New Roman" w:hAnsi="Times New Roman"/>
          <w:sz w:val="19"/>
          <w:szCs w:val="19"/>
          <w:color w:val="auto"/>
        </w:rPr>
        <w:t>Credit Agreement, dated as of December 3, 2012, among Dycom Industries, Inc., as the Borrower, the subsidiaries of Dycom Industries, Inc. identified therein, certain lenders named therein, Bank of America, N.A., as Administrative Agent, Swingline Lender and L/C Issuer, Merrill Lynch, Pierce, Fenner &amp; Smith Incorporated and Wells Fargo Securities, LLC, as Joint Lead Arrangers and Joint Book Managers, Wells Fargo Bank, National Association, as Syndication Agent, and SunTrust Bank, PNC Bank, National Association and Branch Banking and Trust Company, as Co-Documentation Agents (incorporated by reference to Exhibit 10.1 to Dycom Industries, Inc.’s Current Report on Form 8-K filed with the SEC on December 5, 2012).</w:t>
      </w:r>
    </w:p>
    <w:p>
      <w:pPr>
        <w:spacing w:after="0" w:line="38" w:lineRule="exact"/>
        <w:rPr>
          <w:sz w:val="20"/>
          <w:szCs w:val="20"/>
          <w:color w:val="auto"/>
        </w:rPr>
      </w:pPr>
    </w:p>
    <w:p>
      <w:pPr>
        <w:ind w:left="400" w:hanging="863"/>
        <w:spacing w:after="0" w:line="220" w:lineRule="auto"/>
        <w:tabs>
          <w:tab w:leader="none" w:pos="380" w:val="left"/>
        </w:tabs>
        <w:rPr>
          <w:sz w:val="20"/>
          <w:szCs w:val="20"/>
          <w:color w:val="auto"/>
        </w:rPr>
      </w:pPr>
      <w:r>
        <w:rPr>
          <w:rFonts w:ascii="Times New Roman" w:cs="Times New Roman" w:eastAsia="Times New Roman" w:hAnsi="Times New Roman"/>
          <w:sz w:val="19"/>
          <w:szCs w:val="19"/>
          <w:color w:val="auto"/>
        </w:rPr>
        <w:t>10.28</w:t>
      </w:r>
      <w:r>
        <w:rPr>
          <w:sz w:val="20"/>
          <w:szCs w:val="20"/>
          <w:color w:val="auto"/>
        </w:rPr>
        <w:tab/>
      </w:r>
      <w:r>
        <w:rPr>
          <w:rFonts w:ascii="Times New Roman" w:cs="Times New Roman" w:eastAsia="Times New Roman" w:hAnsi="Times New Roman"/>
          <w:sz w:val="19"/>
          <w:szCs w:val="19"/>
          <w:color w:val="auto"/>
        </w:rPr>
        <w:t>First Amendment to Credit Agreement, dated as of April 24, 2015, among Dycom Industries, Inc., as the Borrower, the subsidiaries of Dycom Industries, Inc. identified therein, certain lenders named therein, Bank of America, N.A., as Administrative Agent, Swingline Lender and L/C Issuer, Bank of America Merrill Lynch and Wells Fargo Securities, LLC, as Joint Lead Arrangers and Joint Book Managers, Wells Fargo Bank, National Association, as Syndication Agent, and SunTrust Bank, PNC Bank, National Association and Branch Banking and Trust Company, as Co-Documentation Agents (incorporated by reference to Exhibit 10.1 to Dycom Industries, Inc.’s Current Report on Form 8-K filed with the SEC on April 27, 2015).</w:t>
      </w:r>
    </w:p>
    <w:p>
      <w:pPr>
        <w:spacing w:after="0" w:line="38" w:lineRule="exact"/>
        <w:rPr>
          <w:sz w:val="20"/>
          <w:szCs w:val="20"/>
          <w:color w:val="auto"/>
        </w:rPr>
      </w:pPr>
    </w:p>
    <w:p>
      <w:pPr>
        <w:ind w:left="400" w:right="80" w:hanging="863"/>
        <w:spacing w:after="0" w:line="227" w:lineRule="auto"/>
        <w:tabs>
          <w:tab w:leader="none" w:pos="380" w:val="left"/>
        </w:tabs>
        <w:rPr>
          <w:sz w:val="20"/>
          <w:szCs w:val="20"/>
          <w:color w:val="auto"/>
        </w:rPr>
      </w:pPr>
      <w:r>
        <w:rPr>
          <w:rFonts w:ascii="Times New Roman" w:cs="Times New Roman" w:eastAsia="Times New Roman" w:hAnsi="Times New Roman"/>
          <w:sz w:val="19"/>
          <w:szCs w:val="19"/>
          <w:color w:val="auto"/>
        </w:rPr>
        <w:t>10.29</w:t>
      </w:r>
      <w:r>
        <w:rPr>
          <w:sz w:val="20"/>
          <w:szCs w:val="20"/>
          <w:color w:val="auto"/>
        </w:rPr>
        <w:tab/>
      </w:r>
      <w:r>
        <w:rPr>
          <w:rFonts w:ascii="Times New Roman" w:cs="Times New Roman" w:eastAsia="Times New Roman" w:hAnsi="Times New Roman"/>
          <w:sz w:val="19"/>
          <w:szCs w:val="19"/>
          <w:color w:val="auto"/>
        </w:rPr>
        <w:t>Second Amendment to Credit Agreement, dated as of September 9, 2015, among Dycom Industries, Inc., as the Borrower, the subsidiaries of Dycom Industries, Inc. identified therein, certain lenders named therein, and Bank of America, N.A., as Administrative Agent (incorporated by reference to Exhibit 10.1 to Dycom Industries, Inc.’s Current Report on Form 8-K filed with the SEC on September 10, 2015).</w:t>
      </w:r>
    </w:p>
    <w:p>
      <w:pPr>
        <w:spacing w:after="0" w:line="37" w:lineRule="exact"/>
        <w:rPr>
          <w:sz w:val="20"/>
          <w:szCs w:val="20"/>
          <w:color w:val="auto"/>
        </w:rPr>
      </w:pPr>
    </w:p>
    <w:p>
      <w:pPr>
        <w:ind w:left="400" w:right="100" w:hanging="863"/>
        <w:spacing w:after="0" w:line="227" w:lineRule="auto"/>
        <w:tabs>
          <w:tab w:leader="none" w:pos="380" w:val="left"/>
        </w:tabs>
        <w:rPr>
          <w:sz w:val="20"/>
          <w:szCs w:val="20"/>
          <w:color w:val="auto"/>
        </w:rPr>
      </w:pPr>
      <w:r>
        <w:rPr>
          <w:rFonts w:ascii="Times New Roman" w:cs="Times New Roman" w:eastAsia="Times New Roman" w:hAnsi="Times New Roman"/>
          <w:sz w:val="19"/>
          <w:szCs w:val="19"/>
          <w:color w:val="auto"/>
        </w:rPr>
        <w:t>10.30</w:t>
      </w:r>
      <w:r>
        <w:rPr>
          <w:sz w:val="20"/>
          <w:szCs w:val="20"/>
          <w:color w:val="auto"/>
        </w:rPr>
        <w:tab/>
      </w:r>
      <w:r>
        <w:rPr>
          <w:rFonts w:ascii="Times New Roman" w:cs="Times New Roman" w:eastAsia="Times New Roman" w:hAnsi="Times New Roman"/>
          <w:sz w:val="19"/>
          <w:szCs w:val="19"/>
          <w:color w:val="auto"/>
        </w:rPr>
        <w:t>Third Amendment to Credit Agreement and Additional Term Loan Agreement, dated as of May 20, 2016, among Dycom Industries, Inc., as the Borrower, the subsidiaries of Dycom Industries, Inc. identified therein, certain lenders named therein, and Bank of America, N.A., as Administrative Agent (incorporated by reference to Exhibit 10.1 to Dycom Industries, Inc.’s Current Report on Form 8-K filed with the SEC on May 24, 2016).</w:t>
      </w:r>
    </w:p>
    <w:p>
      <w:pPr>
        <w:spacing w:after="0" w:line="37" w:lineRule="exact"/>
        <w:rPr>
          <w:sz w:val="20"/>
          <w:szCs w:val="20"/>
          <w:color w:val="auto"/>
        </w:rPr>
      </w:pPr>
    </w:p>
    <w:p>
      <w:pPr>
        <w:ind w:left="400" w:right="80" w:hanging="863"/>
        <w:spacing w:after="0" w:line="227" w:lineRule="auto"/>
        <w:tabs>
          <w:tab w:leader="none" w:pos="380" w:val="left"/>
        </w:tabs>
        <w:rPr>
          <w:sz w:val="20"/>
          <w:szCs w:val="20"/>
          <w:color w:val="auto"/>
        </w:rPr>
      </w:pPr>
      <w:r>
        <w:rPr>
          <w:rFonts w:ascii="Times New Roman" w:cs="Times New Roman" w:eastAsia="Times New Roman" w:hAnsi="Times New Roman"/>
          <w:sz w:val="19"/>
          <w:szCs w:val="19"/>
          <w:color w:val="auto"/>
        </w:rPr>
        <w:t>10.31</w:t>
      </w:r>
      <w:r>
        <w:rPr>
          <w:sz w:val="20"/>
          <w:szCs w:val="20"/>
          <w:color w:val="auto"/>
        </w:rPr>
        <w:tab/>
      </w:r>
      <w:r>
        <w:rPr>
          <w:rFonts w:ascii="Times New Roman" w:cs="Times New Roman" w:eastAsia="Times New Roman" w:hAnsi="Times New Roman"/>
          <w:sz w:val="19"/>
          <w:szCs w:val="19"/>
          <w:color w:val="auto"/>
        </w:rPr>
        <w:t>Fourth Amendment to Credit Agreement, dated as of June 17, 2016, among Dycom Industries, Inc., as the Borrower, the subsidiaries of Dycom Industries, Inc. identified therein, certain lenders named therein, and Bank of America, N.A., as Administrative Agent (incorporated by reference to Exhibit 10.1 to Dycom Industries, Inc.’s Current Report on Form 8-K filed with the SEC on June 22, 2016).</w:t>
      </w:r>
    </w:p>
    <w:p>
      <w:pPr>
        <w:sectPr>
          <w:pgSz w:w="11880" w:h="15480" w:orient="portrait"/>
          <w:cols w:equalWidth="0" w:num="1">
            <w:col w:w="9260"/>
          </w:cols>
          <w:pgMar w:left="1440" w:top="96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9"/>
          <w:szCs w:val="19"/>
          <w:color w:val="auto"/>
        </w:rPr>
        <w:t>80</w:t>
      </w:r>
    </w:p>
    <w:p>
      <w:pPr>
        <w:spacing w:after="0" w:line="20" w:lineRule="exact"/>
        <w:rPr>
          <w:sz w:val="20"/>
          <w:szCs w:val="20"/>
          <w:color w:val="auto"/>
        </w:rPr>
      </w:pPr>
    </w:p>
    <w:p>
      <w:pPr>
        <w:sectPr>
          <w:pgSz w:w="11880" w:h="15480" w:orient="portrait"/>
          <w:cols w:equalWidth="0" w:num="1">
            <w:col w:w="9260"/>
          </w:cols>
          <w:pgMar w:left="1440" w:top="969" w:right="1180" w:bottom="0" w:gutter="0" w:footer="0" w:header="0"/>
          <w:type w:val="continuous"/>
        </w:sectPr>
      </w:pPr>
    </w:p>
    <w:bookmarkStart w:id="86" w:name="page87"/>
    <w:bookmarkEnd w:id="86"/>
    <w:p>
      <w:pPr>
        <w:ind w:left="920" w:right="160" w:hanging="863"/>
        <w:spacing w:after="0" w:line="223" w:lineRule="auto"/>
        <w:tabs>
          <w:tab w:leader="none" w:pos="900" w:val="left"/>
        </w:tabs>
        <w:rPr>
          <w:sz w:val="20"/>
          <w:szCs w:val="20"/>
          <w:color w:val="auto"/>
        </w:rPr>
      </w:pPr>
      <w:r>
        <w:rPr>
          <w:rFonts w:ascii="Times New Roman" w:cs="Times New Roman" w:eastAsia="Times New Roman" w:hAnsi="Times New Roman"/>
          <w:sz w:val="19"/>
          <w:szCs w:val="19"/>
          <w:color w:val="auto"/>
        </w:rPr>
        <w:t>10.32</w:t>
      </w:r>
      <w:r>
        <w:rPr>
          <w:sz w:val="20"/>
          <w:szCs w:val="20"/>
          <w:color w:val="auto"/>
        </w:rPr>
        <w:tab/>
      </w:r>
      <w:r>
        <w:rPr>
          <w:rFonts w:ascii="Times New Roman" w:cs="Times New Roman" w:eastAsia="Times New Roman" w:hAnsi="Times New Roman"/>
          <w:sz w:val="19"/>
          <w:szCs w:val="19"/>
          <w:color w:val="auto"/>
        </w:rPr>
        <w:t>Lender Joinder Agreement, dated as of January 26, 2017, to the Credit Agreement dated as of December 3, 2012, by and among MUFG Union Bank N.A., as the New Lender, Dycom Industries, Inc., as the Borrower, the subsidiaries of Dycom Industries, Inc. identified therein, and Bank of America, N.A., as Administrative Agent (incorporated by reference to Exhibit 10.1 to Dycom Industries, Inc.’s Quarterly Report on Form 10-Q filed with the SEC on March 3, 2017).</w:t>
      </w:r>
    </w:p>
    <w:p>
      <w:pPr>
        <w:spacing w:after="0" w:line="36" w:lineRule="exact"/>
        <w:rPr>
          <w:sz w:val="20"/>
          <w:szCs w:val="20"/>
          <w:color w:val="auto"/>
        </w:rPr>
      </w:pPr>
    </w:p>
    <w:p>
      <w:pPr>
        <w:ind w:left="920" w:right="160" w:hanging="863"/>
        <w:spacing w:after="0" w:line="223" w:lineRule="auto"/>
        <w:tabs>
          <w:tab w:leader="none" w:pos="900" w:val="left"/>
        </w:tabs>
        <w:rPr>
          <w:sz w:val="20"/>
          <w:szCs w:val="20"/>
          <w:color w:val="auto"/>
        </w:rPr>
      </w:pPr>
      <w:r>
        <w:rPr>
          <w:rFonts w:ascii="Times New Roman" w:cs="Times New Roman" w:eastAsia="Times New Roman" w:hAnsi="Times New Roman"/>
          <w:sz w:val="19"/>
          <w:szCs w:val="19"/>
          <w:color w:val="auto"/>
        </w:rPr>
        <w:t>10.33</w:t>
      </w:r>
      <w:r>
        <w:rPr>
          <w:sz w:val="20"/>
          <w:szCs w:val="20"/>
          <w:color w:val="auto"/>
        </w:rPr>
        <w:tab/>
      </w:r>
      <w:r>
        <w:rPr>
          <w:rFonts w:ascii="Times New Roman" w:cs="Times New Roman" w:eastAsia="Times New Roman" w:hAnsi="Times New Roman"/>
          <w:sz w:val="19"/>
          <w:szCs w:val="19"/>
          <w:color w:val="auto"/>
        </w:rPr>
        <w:t>Amended and Restated Credit Agreement, dated as of October 19, 2018, among Dycom Industries, Inc. as the Borrower, the subsidiaries of Dycom Industries, Inc. identified therein, certain lenders named therein, Bank of America, N.A., as Administrative Agent, Swingline Lender and L/C Issuer, and other parties named therein (incorporated by reference to Exhibit 10.1 to Dycom Industries, Inc.’s Current Report on Form 8-K filed with the SEC on October 22, 2018).</w:t>
      </w:r>
    </w:p>
    <w:p>
      <w:pPr>
        <w:spacing w:after="0" w:line="36" w:lineRule="exact"/>
        <w:rPr>
          <w:sz w:val="20"/>
          <w:szCs w:val="20"/>
          <w:color w:val="auto"/>
        </w:rPr>
      </w:pPr>
    </w:p>
    <w:p>
      <w:pPr>
        <w:ind w:left="920" w:right="40" w:hanging="863"/>
        <w:spacing w:after="0" w:line="223" w:lineRule="auto"/>
        <w:tabs>
          <w:tab w:leader="none" w:pos="900" w:val="left"/>
        </w:tabs>
        <w:rPr>
          <w:sz w:val="20"/>
          <w:szCs w:val="20"/>
          <w:color w:val="auto"/>
        </w:rPr>
      </w:pPr>
      <w:r>
        <w:rPr>
          <w:rFonts w:ascii="Times New Roman" w:cs="Times New Roman" w:eastAsia="Times New Roman" w:hAnsi="Times New Roman"/>
          <w:sz w:val="19"/>
          <w:szCs w:val="19"/>
          <w:color w:val="auto"/>
        </w:rPr>
        <w:t>10.33(a)</w:t>
        <w:tab/>
        <w:t>First Amendment to Amended and Restated Credit Agreement and First Amendment to Amended and Restated Pledge Agreement, dated as of April 1, 2021, among Dycom Industries, Inc., as the Borrower, the subsidiaries of Dycom identified therein, certain lenders named therein, Bank of America, N.A., as Administrative Agent, Swingline Lender and L/C Issuer, and other parties named therein (incorporated by reference to Dycom Industries, Inc.'s Current Report on Form 8-K filed with the SEC on April 2, 2021).</w:t>
      </w:r>
    </w:p>
    <w:p>
      <w:pPr>
        <w:spacing w:after="0" w:line="36" w:lineRule="exact"/>
        <w:rPr>
          <w:sz w:val="20"/>
          <w:szCs w:val="20"/>
          <w:color w:val="auto"/>
        </w:rPr>
      </w:pPr>
    </w:p>
    <w:p>
      <w:pPr>
        <w:ind w:left="920" w:right="60" w:hanging="863"/>
        <w:spacing w:after="0" w:line="223" w:lineRule="auto"/>
        <w:tabs>
          <w:tab w:leader="none" w:pos="900" w:val="left"/>
        </w:tabs>
        <w:rPr>
          <w:sz w:val="20"/>
          <w:szCs w:val="20"/>
          <w:color w:val="auto"/>
        </w:rPr>
      </w:pPr>
      <w:r>
        <w:rPr>
          <w:rFonts w:ascii="Times New Roman" w:cs="Times New Roman" w:eastAsia="Times New Roman" w:hAnsi="Times New Roman"/>
          <w:sz w:val="19"/>
          <w:szCs w:val="19"/>
          <w:color w:val="auto"/>
        </w:rPr>
        <w:t>10.33(b)</w:t>
        <w:tab/>
        <w:t>Second Amendment to Amended and Restated Credit Agreement, dated as of May 9, 2023, among Dycom Industries, Inc., as the Borrower, the subsidiaries of Dycom identified therein, certain lenders named therein, Bank of America, N.A., as Administrative Agent, Swingline Lender and L/C Issuer, and other parties named therein (incorporated by reference to Exhibit 10.1 to Dycom Industries, Inc.’s Current Report on Form 8-K filed with the SEC on May 9, 2023).</w:t>
      </w:r>
    </w:p>
    <w:p>
      <w:pPr>
        <w:spacing w:after="0" w:line="36" w:lineRule="exact"/>
        <w:rPr>
          <w:sz w:val="20"/>
          <w:szCs w:val="20"/>
          <w:color w:val="auto"/>
        </w:rPr>
      </w:pPr>
    </w:p>
    <w:p>
      <w:pPr>
        <w:ind w:left="920" w:right="20" w:hanging="863"/>
        <w:spacing w:after="0" w:line="227" w:lineRule="auto"/>
        <w:tabs>
          <w:tab w:leader="none" w:pos="900" w:val="left"/>
        </w:tabs>
        <w:rPr>
          <w:sz w:val="20"/>
          <w:szCs w:val="20"/>
          <w:color w:val="auto"/>
        </w:rPr>
      </w:pPr>
      <w:r>
        <w:rPr>
          <w:rFonts w:ascii="Times New Roman" w:cs="Times New Roman" w:eastAsia="Times New Roman" w:hAnsi="Times New Roman"/>
          <w:sz w:val="19"/>
          <w:szCs w:val="19"/>
          <w:color w:val="auto"/>
        </w:rPr>
        <w:t>10.34</w:t>
      </w:r>
      <w:r>
        <w:rPr>
          <w:sz w:val="20"/>
          <w:szCs w:val="20"/>
          <w:color w:val="auto"/>
        </w:rPr>
        <w:tab/>
      </w:r>
      <w:r>
        <w:rPr>
          <w:rFonts w:ascii="Times New Roman" w:cs="Times New Roman" w:eastAsia="Times New Roman" w:hAnsi="Times New Roman"/>
          <w:sz w:val="19"/>
          <w:szCs w:val="19"/>
          <w:color w:val="auto"/>
        </w:rPr>
        <w:t>Second Amended and Restated Credit Agreement, dated as of May 15, 2024, among Dycom Industries, Inc., as the Borrower, the guarantors party thereto, the lenders named therein, Bank of America, N.A., as Administrative Agent, Swingline Lender and L/C Issuer, and the other parties named therein (incorporated by reference to Exhibit 10.1 to Dycom Industries, Inc.’s Current Report on Form 8-K filed with the SEC on May 15, 2024).</w:t>
      </w:r>
    </w:p>
    <w:p>
      <w:pPr>
        <w:spacing w:after="0" w:line="37" w:lineRule="exact"/>
        <w:rPr>
          <w:sz w:val="20"/>
          <w:szCs w:val="20"/>
          <w:color w:val="auto"/>
        </w:rPr>
      </w:pPr>
    </w:p>
    <w:p>
      <w:pPr>
        <w:ind w:left="40"/>
        <w:spacing w:after="0"/>
        <w:tabs>
          <w:tab w:leader="none" w:pos="900" w:val="left"/>
        </w:tabs>
        <w:rPr>
          <w:sz w:val="20"/>
          <w:szCs w:val="20"/>
          <w:color w:val="auto"/>
        </w:rPr>
      </w:pPr>
      <w:r>
        <w:rPr>
          <w:rFonts w:ascii="Times New Roman" w:cs="Times New Roman" w:eastAsia="Times New Roman" w:hAnsi="Times New Roman"/>
          <w:sz w:val="19"/>
          <w:szCs w:val="19"/>
          <w:color w:val="auto"/>
        </w:rPr>
        <w:t>19 +</w:t>
      </w:r>
      <w:r>
        <w:rPr>
          <w:sz w:val="20"/>
          <w:szCs w:val="20"/>
          <w:color w:val="auto"/>
        </w:rPr>
        <w:tab/>
      </w:r>
      <w:r>
        <w:rPr>
          <w:rFonts w:ascii="Times New Roman" w:cs="Times New Roman" w:eastAsia="Times New Roman" w:hAnsi="Times New Roman"/>
          <w:sz w:val="19"/>
          <w:szCs w:val="19"/>
          <w:color w:val="auto"/>
        </w:rPr>
        <w:t>Dycom Industries, Inc.’s Insider Trading Policy</w:t>
      </w:r>
    </w:p>
    <w:p>
      <w:pPr>
        <w:spacing w:after="0" w:line="70" w:lineRule="exact"/>
        <w:rPr>
          <w:sz w:val="20"/>
          <w:szCs w:val="20"/>
          <w:color w:val="auto"/>
        </w:rPr>
      </w:pPr>
    </w:p>
    <w:p>
      <w:pPr>
        <w:ind w:left="40"/>
        <w:spacing w:after="0"/>
        <w:tabs>
          <w:tab w:leader="none" w:pos="900" w:val="left"/>
        </w:tabs>
        <w:rPr>
          <w:sz w:val="20"/>
          <w:szCs w:val="20"/>
          <w:color w:val="auto"/>
        </w:rPr>
      </w:pPr>
      <w:r>
        <w:rPr>
          <w:rFonts w:ascii="Times New Roman" w:cs="Times New Roman" w:eastAsia="Times New Roman" w:hAnsi="Times New Roman"/>
          <w:sz w:val="19"/>
          <w:szCs w:val="19"/>
          <w:color w:val="auto"/>
        </w:rPr>
        <w:t>21.1 +</w:t>
      </w:r>
      <w:r>
        <w:rPr>
          <w:sz w:val="20"/>
          <w:szCs w:val="20"/>
          <w:color w:val="auto"/>
        </w:rPr>
        <w:tab/>
      </w:r>
      <w:r>
        <w:rPr>
          <w:rFonts w:ascii="Times New Roman" w:cs="Times New Roman" w:eastAsia="Times New Roman" w:hAnsi="Times New Roman"/>
          <w:sz w:val="19"/>
          <w:szCs w:val="19"/>
          <w:color w:val="auto"/>
        </w:rPr>
        <w:t>Principal subsidiaries of Dycom Industries, Inc.</w:t>
      </w:r>
    </w:p>
    <w:p>
      <w:pPr>
        <w:spacing w:after="0" w:line="70" w:lineRule="exact"/>
        <w:rPr>
          <w:sz w:val="20"/>
          <w:szCs w:val="20"/>
          <w:color w:val="auto"/>
        </w:rPr>
      </w:pPr>
    </w:p>
    <w:p>
      <w:pPr>
        <w:ind w:left="40"/>
        <w:spacing w:after="0"/>
        <w:tabs>
          <w:tab w:leader="none" w:pos="900" w:val="left"/>
        </w:tabs>
        <w:rPr>
          <w:sz w:val="20"/>
          <w:szCs w:val="20"/>
          <w:color w:val="auto"/>
        </w:rPr>
      </w:pPr>
      <w:r>
        <w:rPr>
          <w:rFonts w:ascii="Times New Roman" w:cs="Times New Roman" w:eastAsia="Times New Roman" w:hAnsi="Times New Roman"/>
          <w:sz w:val="19"/>
          <w:szCs w:val="19"/>
          <w:color w:val="auto"/>
        </w:rPr>
        <w:t>23.1 +</w:t>
      </w:r>
      <w:r>
        <w:rPr>
          <w:sz w:val="20"/>
          <w:szCs w:val="20"/>
          <w:color w:val="auto"/>
        </w:rPr>
        <w:tab/>
      </w:r>
      <w:r>
        <w:rPr>
          <w:rFonts w:ascii="Times New Roman" w:cs="Times New Roman" w:eastAsia="Times New Roman" w:hAnsi="Times New Roman"/>
          <w:sz w:val="19"/>
          <w:szCs w:val="19"/>
          <w:color w:val="auto"/>
        </w:rPr>
        <w:t>Consent of PricewaterhouseCoopers LLP, independent registered public accounting firm.</w:t>
      </w:r>
    </w:p>
    <w:p>
      <w:pPr>
        <w:spacing w:after="0" w:line="70" w:lineRule="exact"/>
        <w:rPr>
          <w:sz w:val="20"/>
          <w:szCs w:val="20"/>
          <w:color w:val="auto"/>
        </w:rPr>
      </w:pPr>
    </w:p>
    <w:p>
      <w:pPr>
        <w:ind w:left="920" w:right="60" w:hanging="863"/>
        <w:spacing w:after="0" w:line="246" w:lineRule="auto"/>
        <w:tabs>
          <w:tab w:leader="none" w:pos="900" w:val="left"/>
        </w:tabs>
        <w:rPr>
          <w:sz w:val="20"/>
          <w:szCs w:val="20"/>
          <w:color w:val="auto"/>
        </w:rPr>
      </w:pPr>
      <w:r>
        <w:rPr>
          <w:rFonts w:ascii="Times New Roman" w:cs="Times New Roman" w:eastAsia="Times New Roman" w:hAnsi="Times New Roman"/>
          <w:sz w:val="19"/>
          <w:szCs w:val="19"/>
          <w:color w:val="auto"/>
        </w:rPr>
        <w:t>31.1 +</w:t>
      </w:r>
      <w:r>
        <w:rPr>
          <w:sz w:val="20"/>
          <w:szCs w:val="20"/>
          <w:color w:val="auto"/>
        </w:rPr>
        <w:tab/>
      </w:r>
      <w:r>
        <w:rPr>
          <w:rFonts w:ascii="Times New Roman" w:cs="Times New Roman" w:eastAsia="Times New Roman" w:hAnsi="Times New Roman"/>
          <w:sz w:val="19"/>
          <w:szCs w:val="19"/>
          <w:color w:val="auto"/>
        </w:rPr>
        <w:t>Certification of Chief Executive Officer Pursuant to Rule 13a-14(a)/15d-14(a) as Adopted Pursuant to Section 302 of the Sarbanes-Oxley Act of 2002.</w:t>
      </w:r>
    </w:p>
    <w:p>
      <w:pPr>
        <w:spacing w:after="0" w:line="27" w:lineRule="exact"/>
        <w:rPr>
          <w:sz w:val="20"/>
          <w:szCs w:val="20"/>
          <w:color w:val="auto"/>
        </w:rPr>
      </w:pPr>
    </w:p>
    <w:p>
      <w:pPr>
        <w:ind w:left="920" w:right="120" w:hanging="863"/>
        <w:spacing w:after="0" w:line="246" w:lineRule="auto"/>
        <w:tabs>
          <w:tab w:leader="none" w:pos="900" w:val="left"/>
        </w:tabs>
        <w:rPr>
          <w:sz w:val="20"/>
          <w:szCs w:val="20"/>
          <w:color w:val="auto"/>
        </w:rPr>
      </w:pPr>
      <w:r>
        <w:rPr>
          <w:rFonts w:ascii="Times New Roman" w:cs="Times New Roman" w:eastAsia="Times New Roman" w:hAnsi="Times New Roman"/>
          <w:sz w:val="19"/>
          <w:szCs w:val="19"/>
          <w:color w:val="auto"/>
        </w:rPr>
        <w:t>31.2 +</w:t>
      </w:r>
      <w:r>
        <w:rPr>
          <w:sz w:val="20"/>
          <w:szCs w:val="20"/>
          <w:color w:val="auto"/>
        </w:rPr>
        <w:tab/>
      </w:r>
      <w:r>
        <w:rPr>
          <w:rFonts w:ascii="Times New Roman" w:cs="Times New Roman" w:eastAsia="Times New Roman" w:hAnsi="Times New Roman"/>
          <w:sz w:val="19"/>
          <w:szCs w:val="19"/>
          <w:color w:val="auto"/>
        </w:rPr>
        <w:t>Certification of Chief Financial Officer Pursuant to Rule 13a-14(a)/15d-14(a) as Adopted Pursuant to Section 302 of the Sarbanes-Oxley Act of 2002.</w:t>
      </w:r>
    </w:p>
    <w:p>
      <w:pPr>
        <w:spacing w:after="0" w:line="27" w:lineRule="exact"/>
        <w:rPr>
          <w:sz w:val="20"/>
          <w:szCs w:val="20"/>
          <w:color w:val="auto"/>
        </w:rPr>
      </w:pPr>
    </w:p>
    <w:p>
      <w:pPr>
        <w:ind w:left="920" w:hanging="863"/>
        <w:spacing w:after="0" w:line="246" w:lineRule="auto"/>
        <w:tabs>
          <w:tab w:leader="none" w:pos="900" w:val="left"/>
        </w:tabs>
        <w:rPr>
          <w:sz w:val="20"/>
          <w:szCs w:val="20"/>
          <w:color w:val="auto"/>
        </w:rPr>
      </w:pPr>
      <w:r>
        <w:rPr>
          <w:rFonts w:ascii="Times New Roman" w:cs="Times New Roman" w:eastAsia="Times New Roman" w:hAnsi="Times New Roman"/>
          <w:sz w:val="19"/>
          <w:szCs w:val="19"/>
          <w:color w:val="auto"/>
        </w:rPr>
        <w:t>32.1 ++</w:t>
        <w:tab/>
        <w:t>Certification of Chief Executive Officer Pursuant to 18 U.S.C. Section 1350 as Adopted Pursuant to Section 906 of the Sarbanes-Oxley Act of 2002.</w:t>
      </w:r>
    </w:p>
    <w:p>
      <w:pPr>
        <w:spacing w:after="0" w:line="27" w:lineRule="exact"/>
        <w:rPr>
          <w:sz w:val="20"/>
          <w:szCs w:val="20"/>
          <w:color w:val="auto"/>
        </w:rPr>
      </w:pPr>
    </w:p>
    <w:p>
      <w:pPr>
        <w:ind w:left="920" w:right="60" w:hanging="863"/>
        <w:spacing w:after="0" w:line="246" w:lineRule="auto"/>
        <w:tabs>
          <w:tab w:leader="none" w:pos="900" w:val="left"/>
        </w:tabs>
        <w:rPr>
          <w:sz w:val="20"/>
          <w:szCs w:val="20"/>
          <w:color w:val="auto"/>
        </w:rPr>
      </w:pPr>
      <w:r>
        <w:rPr>
          <w:rFonts w:ascii="Times New Roman" w:cs="Times New Roman" w:eastAsia="Times New Roman" w:hAnsi="Times New Roman"/>
          <w:sz w:val="19"/>
          <w:szCs w:val="19"/>
          <w:color w:val="auto"/>
        </w:rPr>
        <w:t>32.2 ++</w:t>
        <w:tab/>
        <w:t>Certification of Chief Financial Officer Pursuant to 18 U.S.C. Section 1350 as Adopted Pursuant to Section 906 of the Sarbanes-Oxley Act of 2002.</w:t>
      </w:r>
    </w:p>
    <w:p>
      <w:pPr>
        <w:spacing w:after="0" w:line="27" w:lineRule="exact"/>
        <w:rPr>
          <w:sz w:val="20"/>
          <w:szCs w:val="20"/>
          <w:color w:val="auto"/>
        </w:rPr>
      </w:pPr>
    </w:p>
    <w:p>
      <w:pPr>
        <w:ind w:left="920" w:right="320" w:hanging="872"/>
        <w:spacing w:after="0" w:line="246" w:lineRule="auto"/>
        <w:tabs>
          <w:tab w:leader="none" w:pos="92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Dycom Industries, Inc.’s Policy Relating to Recovery of Erroneously Awarded Compensation (incorporated by reference to Dycom Industries, Inc.’s Annual Report on Form 10-K filed with the SEC on March 1, 2024).</w:t>
      </w:r>
    </w:p>
    <w:p>
      <w:pPr>
        <w:spacing w:after="0" w:line="27" w:lineRule="exact"/>
        <w:rPr>
          <w:sz w:val="20"/>
          <w:szCs w:val="20"/>
          <w:color w:val="auto"/>
        </w:rPr>
      </w:pPr>
    </w:p>
    <w:p>
      <w:pPr>
        <w:ind w:left="920" w:right="160" w:hanging="863"/>
        <w:spacing w:after="0" w:line="223" w:lineRule="auto"/>
        <w:tabs>
          <w:tab w:leader="none" w:pos="900" w:val="left"/>
        </w:tabs>
        <w:rPr>
          <w:sz w:val="20"/>
          <w:szCs w:val="20"/>
          <w:color w:val="auto"/>
        </w:rPr>
      </w:pPr>
      <w:r>
        <w:rPr>
          <w:rFonts w:ascii="Times New Roman" w:cs="Times New Roman" w:eastAsia="Times New Roman" w:hAnsi="Times New Roman"/>
          <w:sz w:val="19"/>
          <w:szCs w:val="19"/>
          <w:color w:val="auto"/>
        </w:rPr>
        <w:t>101 +</w:t>
      </w:r>
      <w:r>
        <w:rPr>
          <w:sz w:val="20"/>
          <w:szCs w:val="20"/>
          <w:color w:val="auto"/>
        </w:rPr>
        <w:tab/>
      </w:r>
      <w:r>
        <w:rPr>
          <w:rFonts w:ascii="Times New Roman" w:cs="Times New Roman" w:eastAsia="Times New Roman" w:hAnsi="Times New Roman"/>
          <w:sz w:val="19"/>
          <w:szCs w:val="19"/>
          <w:color w:val="auto"/>
        </w:rPr>
        <w:t>The following materials from the Registrant’s Annual Report on Form 10-K for the fiscal year ended January 25, 2025 formatted in Inline XBRL: (i) the Consolidated Balance Sheets; (ii) the Consolidated Statements of Operations; (iii) the Consolidated Statements of Comprehensive Income; (iv) the Consolidated Statements of Stockholders’ Equity; (v) the Consolidated Statements of Cash Flows; and (vi) the Notes to the Consolidated Financial Statements.</w:t>
      </w:r>
    </w:p>
    <w:p>
      <w:pPr>
        <w:spacing w:after="0" w:line="36" w:lineRule="exact"/>
        <w:rPr>
          <w:sz w:val="20"/>
          <w:szCs w:val="20"/>
          <w:color w:val="auto"/>
        </w:rPr>
      </w:pPr>
    </w:p>
    <w:p>
      <w:pPr>
        <w:ind w:left="40"/>
        <w:spacing w:after="0"/>
        <w:tabs>
          <w:tab w:leader="none" w:pos="900" w:val="left"/>
        </w:tabs>
        <w:rPr>
          <w:sz w:val="20"/>
          <w:szCs w:val="20"/>
          <w:color w:val="auto"/>
        </w:rPr>
      </w:pPr>
      <w:r>
        <w:rPr>
          <w:rFonts w:ascii="Times New Roman" w:cs="Times New Roman" w:eastAsia="Times New Roman" w:hAnsi="Times New Roman"/>
          <w:sz w:val="19"/>
          <w:szCs w:val="19"/>
          <w:color w:val="auto"/>
        </w:rPr>
        <w:t>104 +</w:t>
      </w:r>
      <w:r>
        <w:rPr>
          <w:sz w:val="20"/>
          <w:szCs w:val="20"/>
          <w:color w:val="auto"/>
        </w:rPr>
        <w:tab/>
      </w:r>
      <w:r>
        <w:rPr>
          <w:rFonts w:ascii="Times New Roman" w:cs="Times New Roman" w:eastAsia="Times New Roman" w:hAnsi="Times New Roman"/>
          <w:sz w:val="19"/>
          <w:szCs w:val="19"/>
          <w:color w:val="auto"/>
        </w:rPr>
        <w:t>Cover Page Interactive Data File (embedded within the Inline XBRL document)</w:t>
      </w:r>
    </w:p>
    <w:p>
      <w:pPr>
        <w:spacing w:after="0" w:line="142" w:lineRule="exact"/>
        <w:rPr>
          <w:sz w:val="20"/>
          <w:szCs w:val="20"/>
          <w:color w:val="auto"/>
        </w:rPr>
      </w:pPr>
    </w:p>
    <w:p>
      <w:pPr>
        <w:ind w:left="920" w:hanging="872"/>
        <w:spacing w:after="0"/>
        <w:tabs>
          <w:tab w:leader="none" w:pos="92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Filed herewith</w:t>
      </w:r>
    </w:p>
    <w:p>
      <w:pPr>
        <w:spacing w:after="0" w:line="70" w:lineRule="exact"/>
        <w:rPr>
          <w:sz w:val="20"/>
          <w:szCs w:val="20"/>
          <w:color w:val="auto"/>
        </w:rPr>
      </w:pPr>
    </w:p>
    <w:p>
      <w:pPr>
        <w:ind w:left="920" w:hanging="872"/>
        <w:spacing w:after="0"/>
        <w:tabs>
          <w:tab w:leader="none" w:pos="92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Furnished herewith</w:t>
      </w:r>
    </w:p>
    <w:p>
      <w:pPr>
        <w:spacing w:after="0" w:line="70" w:lineRule="exact"/>
        <w:rPr>
          <w:sz w:val="20"/>
          <w:szCs w:val="20"/>
          <w:color w:val="auto"/>
        </w:rPr>
      </w:pPr>
    </w:p>
    <w:p>
      <w:pPr>
        <w:ind w:left="920" w:hanging="872"/>
        <w:spacing w:after="0"/>
        <w:tabs>
          <w:tab w:leader="none" w:pos="92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Indicates a management contract or compensatory plan or arrangement.</w:t>
      </w:r>
    </w:p>
    <w:p>
      <w:pPr>
        <w:spacing w:after="0" w:line="10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Item 16. </w:t>
      </w:r>
      <w:r>
        <w:rPr>
          <w:rFonts w:ascii="Times New Roman" w:cs="Times New Roman" w:eastAsia="Times New Roman" w:hAnsi="Times New Roman"/>
          <w:sz w:val="19"/>
          <w:szCs w:val="19"/>
          <w:b w:val="1"/>
          <w:bCs w:val="1"/>
          <w:i w:val="1"/>
          <w:iCs w:val="1"/>
          <w:color w:val="auto"/>
        </w:rPr>
        <w:t>Form 10-K Summary.</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None.</w:t>
      </w:r>
    </w:p>
    <w:p>
      <w:pPr>
        <w:sectPr>
          <w:pgSz w:w="11880" w:h="15480" w:orient="portrait"/>
          <w:cols w:equalWidth="0" w:num="1">
            <w:col w:w="9760"/>
          </w:cols>
          <w:pgMar w:left="1000" w:top="969"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81</w:t>
      </w:r>
    </w:p>
    <w:p>
      <w:pPr>
        <w:spacing w:after="0" w:line="20" w:lineRule="exact"/>
        <w:rPr>
          <w:sz w:val="20"/>
          <w:szCs w:val="20"/>
          <w:color w:val="auto"/>
        </w:rPr>
      </w:pPr>
    </w:p>
    <w:p>
      <w:pPr>
        <w:sectPr>
          <w:pgSz w:w="11880" w:h="15480" w:orient="portrait"/>
          <w:cols w:equalWidth="0" w:num="1">
            <w:col w:w="9760"/>
          </w:cols>
          <w:pgMar w:left="1000" w:top="969" w:right="1120" w:bottom="0" w:gutter="0" w:footer="0" w:header="0"/>
          <w:type w:val="continuous"/>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t>SIGNATURES</w:t>
      </w:r>
    </w:p>
    <w:p>
      <w:pPr>
        <w:spacing w:after="0" w:line="249" w:lineRule="exact"/>
        <w:rPr>
          <w:sz w:val="20"/>
          <w:szCs w:val="20"/>
          <w:color w:val="auto"/>
        </w:rPr>
      </w:pPr>
    </w:p>
    <w:p>
      <w:pPr>
        <w:ind w:firstLine="346"/>
        <w:spacing w:after="0" w:line="289"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9"/>
          <w:szCs w:val="19"/>
          <w:color w:val="auto"/>
        </w:rPr>
        <w:t>DYCOM INDUSTRIES, INC.</w:t>
      </w:r>
    </w:p>
    <w:p>
      <w:pPr>
        <w:spacing w:after="0" w:line="7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9"/>
          <w:szCs w:val="19"/>
          <w:color w:val="auto"/>
        </w:rPr>
        <w:t>Registrant</w:t>
      </w:r>
    </w:p>
    <w:p>
      <w:pPr>
        <w:spacing w:after="0" w:line="357" w:lineRule="exact"/>
        <w:rPr>
          <w:sz w:val="20"/>
          <w:szCs w:val="20"/>
          <w:color w:val="auto"/>
        </w:rPr>
      </w:pPr>
    </w:p>
    <w:p>
      <w:pPr>
        <w:ind w:left="60"/>
        <w:spacing w:after="0"/>
        <w:tabs>
          <w:tab w:leader="none" w:pos="3760" w:val="left"/>
        </w:tabs>
        <w:rPr>
          <w:sz w:val="20"/>
          <w:szCs w:val="20"/>
          <w:color w:val="auto"/>
        </w:rPr>
      </w:pPr>
      <w:r>
        <w:rPr>
          <w:rFonts w:ascii="Times New Roman" w:cs="Times New Roman" w:eastAsia="Times New Roman" w:hAnsi="Times New Roman"/>
          <w:sz w:val="19"/>
          <w:szCs w:val="19"/>
          <w:color w:val="auto"/>
        </w:rPr>
        <w:t>Date: February 28, 2025</w:t>
      </w:r>
      <w:r>
        <w:rPr>
          <w:sz w:val="20"/>
          <w:szCs w:val="20"/>
          <w:color w:val="auto"/>
        </w:rPr>
        <w:tab/>
      </w:r>
      <w:r>
        <w:rPr>
          <w:rFonts w:ascii="Times New Roman" w:cs="Times New Roman" w:eastAsia="Times New Roman" w:hAnsi="Times New Roman"/>
          <w:sz w:val="19"/>
          <w:szCs w:val="19"/>
          <w:color w:val="auto"/>
        </w:rPr>
        <w:t>/s/ Daniel S. Peyovich</w:t>
      </w:r>
    </w:p>
    <w:p>
      <w:pPr>
        <w:spacing w:after="0" w:line="33" w:lineRule="exact"/>
        <w:rPr>
          <w:sz w:val="20"/>
          <w:szCs w:val="20"/>
          <w:color w:val="auto"/>
        </w:rPr>
      </w:pPr>
    </w:p>
    <w:tbl>
      <w:tblPr>
        <w:tblLayout w:type="fixed"/>
        <w:tblInd w:w="3740" w:type="dxa"/>
        <w:tblCellMar>
          <w:top w:w="0" w:type="dxa"/>
          <w:left w:w="0" w:type="dxa"/>
          <w:bottom w:w="0" w:type="dxa"/>
          <w:right w:w="0" w:type="dxa"/>
        </w:tblCellMar>
      </w:tblPr>
      <w:tr>
        <w:trPr>
          <w:trHeight w:val="218"/>
        </w:trPr>
        <w:tc>
          <w:tcPr>
            <w:tcW w:w="6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Name:</w:t>
            </w:r>
          </w:p>
        </w:tc>
        <w:tc>
          <w:tcPr>
            <w:tcW w:w="53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9"/>
                <w:szCs w:val="19"/>
                <w:color w:val="auto"/>
              </w:rPr>
              <w:t>Daniel S. Peyovich</w:t>
            </w:r>
          </w:p>
        </w:tc>
      </w:tr>
      <w:tr>
        <w:trPr>
          <w:trHeight w:val="251"/>
        </w:trPr>
        <w:tc>
          <w:tcPr>
            <w:tcW w:w="6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Title:</w:t>
            </w:r>
          </w:p>
        </w:tc>
        <w:tc>
          <w:tcPr>
            <w:tcW w:w="53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President and Chief Executive Officer</w:t>
            </w:r>
          </w:p>
        </w:tc>
      </w:tr>
    </w:tbl>
    <w:p>
      <w:pPr>
        <w:spacing w:after="0" w:line="296" w:lineRule="exact"/>
        <w:rPr>
          <w:sz w:val="20"/>
          <w:szCs w:val="20"/>
          <w:color w:val="auto"/>
        </w:rPr>
      </w:pPr>
    </w:p>
    <w:p>
      <w:pPr>
        <w:ind w:right="260" w:firstLine="346"/>
        <w:spacing w:after="0" w:line="288"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this report has been signed below by the following persons on behalf of the Registrant and in the capacities and on the dates indicated.</w:t>
      </w:r>
    </w:p>
    <w:p>
      <w:pPr>
        <w:spacing w:after="0" w:line="2" w:lineRule="exact"/>
        <w:rPr>
          <w:sz w:val="20"/>
          <w:szCs w:val="20"/>
          <w:color w:val="auto"/>
        </w:rPr>
      </w:pPr>
    </w:p>
    <w:p>
      <w:pPr>
        <w:ind w:left="1400"/>
        <w:spacing w:after="0"/>
        <w:tabs>
          <w:tab w:leader="none" w:pos="5000" w:val="left"/>
          <w:tab w:leader="none" w:pos="8400" w:val="left"/>
        </w:tabs>
        <w:rPr>
          <w:sz w:val="20"/>
          <w:szCs w:val="20"/>
          <w:color w:val="auto"/>
        </w:rPr>
      </w:pPr>
      <w:r>
        <w:rPr>
          <w:rFonts w:ascii="Times New Roman" w:cs="Times New Roman" w:eastAsia="Times New Roman" w:hAnsi="Times New Roman"/>
          <w:sz w:val="19"/>
          <w:szCs w:val="19"/>
          <w:b w:val="1"/>
          <w:bCs w:val="1"/>
          <w:u w:val="single" w:color="auto"/>
          <w:color w:val="auto"/>
        </w:rPr>
        <w:t>Name</w:t>
      </w:r>
      <w:r>
        <w:rPr>
          <w:sz w:val="20"/>
          <w:szCs w:val="20"/>
          <w:color w:val="auto"/>
        </w:rPr>
        <w:tab/>
      </w:r>
      <w:r>
        <w:rPr>
          <w:rFonts w:ascii="Times New Roman" w:cs="Times New Roman" w:eastAsia="Times New Roman" w:hAnsi="Times New Roman"/>
          <w:sz w:val="19"/>
          <w:szCs w:val="19"/>
          <w:b w:val="1"/>
          <w:bCs w:val="1"/>
          <w:u w:val="single" w:color="auto"/>
          <w:color w:val="auto"/>
        </w:rPr>
        <w:t>Position</w:t>
      </w:r>
      <w:r>
        <w:rPr>
          <w:sz w:val="20"/>
          <w:szCs w:val="20"/>
          <w:color w:val="auto"/>
        </w:rPr>
        <w:tab/>
      </w:r>
      <w:r>
        <w:rPr>
          <w:rFonts w:ascii="Times New Roman" w:cs="Times New Roman" w:eastAsia="Times New Roman" w:hAnsi="Times New Roman"/>
          <w:sz w:val="19"/>
          <w:szCs w:val="19"/>
          <w:b w:val="1"/>
          <w:bCs w:val="1"/>
          <w:u w:val="single" w:color="auto"/>
          <w:color w:val="auto"/>
        </w:rPr>
        <w:t>Date</w:t>
      </w:r>
    </w:p>
    <w:p>
      <w:pPr>
        <w:sectPr>
          <w:pgSz w:w="11880" w:h="15480" w:orient="portrait"/>
          <w:cols w:equalWidth="0" w:num="1">
            <w:col w:w="9860"/>
          </w:cols>
          <w:pgMar w:left="1100" w:top="891" w:right="920" w:bottom="0" w:gutter="0" w:footer="0" w:header="0"/>
        </w:sect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/s/ Daniel S. Peyovich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wp:posOffset>
            </wp:positionV>
            <wp:extent cx="2075815" cy="120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9">
                      <a:extLst>
                        <a:ext uri="{28A0092B-C50C-407E-A947-70E740481C1C}"/>
                      </a:extLst>
                    </a:blip>
                    <a:srcRect/>
                    <a:stretch>
                      <a:fillRect/>
                    </a:stretch>
                  </pic:blipFill>
                  <pic:spPr bwMode="auto">
                    <a:xfrm>
                      <a:off x="0" y="0"/>
                      <a:ext cx="2075815" cy="12065"/>
                    </a:xfrm>
                    <a:prstGeom prst="rect">
                      <a:avLst/>
                    </a:prstGeom>
                    <a:noFill/>
                  </pic:spPr>
                </pic:pic>
              </a:graphicData>
            </a:graphic>
          </wp:anchor>
        </w:drawing>
      </w: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Daniel S. Peyovich</w:t>
      </w:r>
    </w:p>
    <w:p>
      <w:pPr>
        <w:spacing w:after="0" w:line="298" w:lineRule="exact"/>
        <w:rPr>
          <w:sz w:val="20"/>
          <w:szCs w:val="20"/>
          <w:color w:val="auto"/>
        </w:rPr>
      </w:pPr>
    </w:p>
    <w:p>
      <w:pPr>
        <w:ind w:left="60" w:right="780"/>
        <w:spacing w:after="0" w:line="338" w:lineRule="auto"/>
        <w:rPr>
          <w:sz w:val="20"/>
          <w:szCs w:val="20"/>
          <w:color w:val="auto"/>
        </w:rPr>
      </w:pPr>
      <w:r>
        <w:rPr>
          <w:rFonts w:ascii="Times New Roman" w:cs="Times New Roman" w:eastAsia="Times New Roman" w:hAnsi="Times New Roman"/>
          <w:sz w:val="19"/>
          <w:szCs w:val="19"/>
          <w:color w:val="auto"/>
        </w:rPr>
        <w:t>/s/ H. Andrew DeFerrari H. Andrew DeFerrari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-229235</wp:posOffset>
            </wp:positionV>
            <wp:extent cx="2075815" cy="120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0">
                      <a:extLst>
                        <a:ext uri="{28A0092B-C50C-407E-A947-70E740481C1C}"/>
                      </a:extLst>
                    </a:blip>
                    <a:srcRect/>
                    <a:stretch>
                      <a:fillRect/>
                    </a:stretch>
                  </pic:blipFill>
                  <pic:spPr bwMode="auto">
                    <a:xfrm>
                      <a:off x="0" y="0"/>
                      <a:ext cx="2075815" cy="12065"/>
                    </a:xfrm>
                    <a:prstGeom prst="rect">
                      <a:avLst/>
                    </a:prstGeom>
                    <a:noFill/>
                  </pic:spPr>
                </pic:pic>
              </a:graphicData>
            </a:graphic>
          </wp:anchor>
        </w:drawing>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/s/ Heather M. Floyd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wp:posOffset>
            </wp:positionV>
            <wp:extent cx="2075815" cy="120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1">
                      <a:extLst>
                        <a:ext uri="{28A0092B-C50C-407E-A947-70E740481C1C}"/>
                      </a:extLst>
                    </a:blip>
                    <a:srcRect/>
                    <a:stretch>
                      <a:fillRect/>
                    </a:stretch>
                  </pic:blipFill>
                  <pic:spPr bwMode="auto">
                    <a:xfrm>
                      <a:off x="0" y="0"/>
                      <a:ext cx="2075815" cy="12065"/>
                    </a:xfrm>
                    <a:prstGeom prst="rect">
                      <a:avLst/>
                    </a:prstGeom>
                    <a:noFill/>
                  </pic:spPr>
                </pic:pic>
              </a:graphicData>
            </a:graphic>
          </wp:anchor>
        </w:drawing>
      </w: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Heather M. Floyd</w:t>
      </w:r>
    </w:p>
    <w:p>
      <w:pPr>
        <w:spacing w:after="0" w:line="3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/s/ Luis Avila-Marco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wp:posOffset>
            </wp:positionV>
            <wp:extent cx="2075815" cy="120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2">
                      <a:extLst>
                        <a:ext uri="{28A0092B-C50C-407E-A947-70E740481C1C}"/>
                      </a:extLst>
                    </a:blip>
                    <a:srcRect/>
                    <a:stretch>
                      <a:fillRect/>
                    </a:stretch>
                  </pic:blipFill>
                  <pic:spPr bwMode="auto">
                    <a:xfrm>
                      <a:off x="0" y="0"/>
                      <a:ext cx="2075815" cy="12065"/>
                    </a:xfrm>
                    <a:prstGeom prst="rect">
                      <a:avLst/>
                    </a:prstGeom>
                    <a:noFill/>
                  </pic:spPr>
                </pic:pic>
              </a:graphicData>
            </a:graphic>
          </wp:anchor>
        </w:drawing>
      </w: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Luis Avila-Marco</w:t>
      </w:r>
    </w:p>
    <w:p>
      <w:pPr>
        <w:spacing w:after="0" w:line="298" w:lineRule="exact"/>
        <w:rPr>
          <w:sz w:val="20"/>
          <w:szCs w:val="20"/>
          <w:color w:val="auto"/>
        </w:rPr>
      </w:pPr>
    </w:p>
    <w:p>
      <w:pPr>
        <w:ind w:left="60" w:right="800"/>
        <w:spacing w:after="0" w:line="338" w:lineRule="auto"/>
        <w:rPr>
          <w:sz w:val="20"/>
          <w:szCs w:val="20"/>
          <w:color w:val="auto"/>
        </w:rPr>
      </w:pPr>
      <w:r>
        <w:rPr>
          <w:rFonts w:ascii="Times New Roman" w:cs="Times New Roman" w:eastAsia="Times New Roman" w:hAnsi="Times New Roman"/>
          <w:sz w:val="19"/>
          <w:szCs w:val="19"/>
          <w:color w:val="auto"/>
        </w:rPr>
        <w:t>/s/ Jennifer M. Fritzsche Jennifer M. Fritzsche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-229235</wp:posOffset>
            </wp:positionV>
            <wp:extent cx="2075815" cy="120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3">
                      <a:extLst>
                        <a:ext uri="{28A0092B-C50C-407E-A947-70E740481C1C}"/>
                      </a:extLst>
                    </a:blip>
                    <a:srcRect/>
                    <a:stretch>
                      <a:fillRect/>
                    </a:stretch>
                  </pic:blipFill>
                  <pic:spPr bwMode="auto">
                    <a:xfrm>
                      <a:off x="0" y="0"/>
                      <a:ext cx="2075815" cy="12065"/>
                    </a:xfrm>
                    <a:prstGeom prst="rect">
                      <a:avLst/>
                    </a:prstGeom>
                    <a:noFill/>
                  </pic:spPr>
                </pic:pic>
              </a:graphicData>
            </a:graphic>
          </wp:anchor>
        </w:drawing>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/s/ Eitan Gertel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wp:posOffset>
            </wp:positionV>
            <wp:extent cx="2075815" cy="120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4">
                      <a:extLst>
                        <a:ext uri="{28A0092B-C50C-407E-A947-70E740481C1C}"/>
                      </a:extLst>
                    </a:blip>
                    <a:srcRect/>
                    <a:stretch>
                      <a:fillRect/>
                    </a:stretch>
                  </pic:blipFill>
                  <pic:spPr bwMode="auto">
                    <a:xfrm>
                      <a:off x="0" y="0"/>
                      <a:ext cx="2075815" cy="12065"/>
                    </a:xfrm>
                    <a:prstGeom prst="rect">
                      <a:avLst/>
                    </a:prstGeom>
                    <a:noFill/>
                  </pic:spPr>
                </pic:pic>
              </a:graphicData>
            </a:graphic>
          </wp:anchor>
        </w:drawing>
      </w: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Eitan Gertel</w:t>
      </w: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/s/ Peter T. Pruitt,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wp:posOffset>
            </wp:positionV>
            <wp:extent cx="2075815" cy="120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5">
                      <a:extLst>
                        <a:ext uri="{28A0092B-C50C-407E-A947-70E740481C1C}"/>
                      </a:extLst>
                    </a:blip>
                    <a:srcRect/>
                    <a:stretch>
                      <a:fillRect/>
                    </a:stretch>
                  </pic:blipFill>
                  <pic:spPr bwMode="auto">
                    <a:xfrm>
                      <a:off x="0" y="0"/>
                      <a:ext cx="2075815" cy="12065"/>
                    </a:xfrm>
                    <a:prstGeom prst="rect">
                      <a:avLst/>
                    </a:prstGeom>
                    <a:noFill/>
                  </pic:spPr>
                </pic:pic>
              </a:graphicData>
            </a:graphic>
          </wp:anchor>
        </w:drawing>
      </w: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Peter T. Pruitt, Jr.</w:t>
      </w:r>
    </w:p>
    <w:p>
      <w:pPr>
        <w:spacing w:after="0" w:line="385" w:lineRule="exact"/>
        <w:rPr>
          <w:sz w:val="20"/>
          <w:szCs w:val="20"/>
          <w:color w:val="auto"/>
        </w:rPr>
      </w:pPr>
    </w:p>
    <w:p>
      <w:pPr>
        <w:ind w:left="60" w:right="800"/>
        <w:spacing w:after="0" w:line="338" w:lineRule="auto"/>
        <w:rPr>
          <w:sz w:val="20"/>
          <w:szCs w:val="20"/>
          <w:color w:val="auto"/>
        </w:rPr>
      </w:pPr>
      <w:r>
        <w:rPr>
          <w:rFonts w:ascii="Times New Roman" w:cs="Times New Roman" w:eastAsia="Times New Roman" w:hAnsi="Times New Roman"/>
          <w:sz w:val="19"/>
          <w:szCs w:val="19"/>
          <w:color w:val="auto"/>
        </w:rPr>
        <w:t>/s/ Stephen C. Robinson Stephen 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-229235</wp:posOffset>
            </wp:positionV>
            <wp:extent cx="2075815" cy="120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6">
                      <a:extLst>
                        <a:ext uri="{28A0092B-C50C-407E-A947-70E740481C1C}"/>
                      </a:extLst>
                    </a:blip>
                    <a:srcRect/>
                    <a:stretch>
                      <a:fillRect/>
                    </a:stretch>
                  </pic:blipFill>
                  <pic:spPr bwMode="auto">
                    <a:xfrm>
                      <a:off x="0" y="0"/>
                      <a:ext cx="2075815" cy="12065"/>
                    </a:xfrm>
                    <a:prstGeom prst="rect">
                      <a:avLst/>
                    </a:prstGeom>
                    <a:noFill/>
                  </pic:spPr>
                </pic:pic>
              </a:graphicData>
            </a:graphic>
          </wp:anchor>
        </w:drawing>
      </w:r>
    </w:p>
    <w:p>
      <w:pPr>
        <w:spacing w:after="0" w:line="229" w:lineRule="exact"/>
        <w:rPr>
          <w:sz w:val="20"/>
          <w:szCs w:val="20"/>
          <w:color w:val="auto"/>
        </w:rPr>
      </w:pPr>
    </w:p>
    <w:p>
      <w:pPr>
        <w:ind w:left="60" w:right="940"/>
        <w:spacing w:after="0" w:line="352" w:lineRule="auto"/>
        <w:rPr>
          <w:sz w:val="20"/>
          <w:szCs w:val="20"/>
          <w:color w:val="auto"/>
        </w:rPr>
      </w:pPr>
      <w:r>
        <w:rPr>
          <w:rFonts w:ascii="Times New Roman" w:cs="Times New Roman" w:eastAsia="Times New Roman" w:hAnsi="Times New Roman"/>
          <w:sz w:val="19"/>
          <w:szCs w:val="19"/>
          <w:color w:val="auto"/>
        </w:rPr>
        <w:t>/s/ Carmen M. Sabater Carmen M. Sabater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-245110</wp:posOffset>
            </wp:positionV>
            <wp:extent cx="2075815" cy="120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7">
                      <a:extLst>
                        <a:ext uri="{28A0092B-C50C-407E-A947-70E740481C1C}"/>
                      </a:extLst>
                    </a:blip>
                    <a:srcRect/>
                    <a:stretch>
                      <a:fillRect/>
                    </a:stretch>
                  </pic:blipFill>
                  <pic:spPr bwMode="auto">
                    <a:xfrm>
                      <a:off x="0" y="0"/>
                      <a:ext cx="2075815" cy="12065"/>
                    </a:xfrm>
                    <a:prstGeom prst="rect">
                      <a:avLst/>
                    </a:prstGeom>
                    <a:noFill/>
                  </pic:spPr>
                </pic:pic>
              </a:graphicData>
            </a:graphic>
          </wp:anchor>
        </w:drawing>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/s/ Richard K. Sykes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wp:posOffset>
            </wp:positionV>
            <wp:extent cx="2075815" cy="120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8">
                      <a:extLst>
                        <a:ext uri="{28A0092B-C50C-407E-A947-70E740481C1C}"/>
                      </a:extLst>
                    </a:blip>
                    <a:srcRect/>
                    <a:stretch>
                      <a:fillRect/>
                    </a:stretch>
                  </pic:blipFill>
                  <pic:spPr bwMode="auto">
                    <a:xfrm>
                      <a:off x="0" y="0"/>
                      <a:ext cx="2075815" cy="12065"/>
                    </a:xfrm>
                    <a:prstGeom prst="rect">
                      <a:avLst/>
                    </a:prstGeom>
                    <a:noFill/>
                  </pic:spPr>
                </pic:pic>
              </a:graphicData>
            </a:graphic>
          </wp:anchor>
        </w:drawing>
      </w: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Richard K. Sykes</w:t>
      </w: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/s/ Laurie J. Thomsen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wp:posOffset>
            </wp:positionV>
            <wp:extent cx="2075815" cy="120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19">
                      <a:extLst>
                        <a:ext uri="{28A0092B-C50C-407E-A947-70E740481C1C}"/>
                      </a:extLst>
                    </a:blip>
                    <a:srcRect/>
                    <a:stretch>
                      <a:fillRect/>
                    </a:stretch>
                  </pic:blipFill>
                  <pic:spPr bwMode="auto">
                    <a:xfrm>
                      <a:off x="0" y="0"/>
                      <a:ext cx="2075815" cy="12065"/>
                    </a:xfrm>
                    <a:prstGeom prst="rect">
                      <a:avLst/>
                    </a:prstGeom>
                    <a:noFill/>
                  </pic:spPr>
                </pic:pic>
              </a:graphicData>
            </a:graphic>
          </wp:anchor>
        </w:drawing>
      </w: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Laurie J. Thomsen</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4140" w:type="dxa"/>
            <w:vAlign w:val="bottom"/>
          </w:tcPr>
          <w:p>
            <w:pPr>
              <w:jc w:val="center"/>
              <w:ind w:right="224"/>
              <w:spacing w:after="0"/>
              <w:rPr>
                <w:sz w:val="20"/>
                <w:szCs w:val="20"/>
                <w:color w:val="auto"/>
              </w:rPr>
            </w:pPr>
            <w:r>
              <w:rPr>
                <w:rFonts w:ascii="Times New Roman" w:cs="Times New Roman" w:eastAsia="Times New Roman" w:hAnsi="Times New Roman"/>
                <w:sz w:val="19"/>
                <w:szCs w:val="19"/>
                <w:color w:val="auto"/>
              </w:rPr>
              <w:t>President, Chief Executive Officer and Director</w:t>
            </w:r>
          </w:p>
        </w:tc>
        <w:tc>
          <w:tcPr>
            <w:tcW w:w="174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February 28, 2025</w:t>
            </w:r>
          </w:p>
        </w:tc>
      </w:tr>
      <w:tr>
        <w:trPr>
          <w:trHeight w:val="288"/>
        </w:trPr>
        <w:tc>
          <w:tcPr>
            <w:tcW w:w="4140" w:type="dxa"/>
            <w:vAlign w:val="bottom"/>
          </w:tcPr>
          <w:p>
            <w:pPr>
              <w:jc w:val="center"/>
              <w:ind w:right="224"/>
              <w:spacing w:after="0"/>
              <w:rPr>
                <w:sz w:val="20"/>
                <w:szCs w:val="20"/>
                <w:color w:val="auto"/>
              </w:rPr>
            </w:pPr>
            <w:r>
              <w:rPr>
                <w:rFonts w:ascii="Times New Roman" w:cs="Times New Roman" w:eastAsia="Times New Roman" w:hAnsi="Times New Roman"/>
                <w:sz w:val="19"/>
                <w:szCs w:val="19"/>
                <w:color w:val="auto"/>
              </w:rPr>
              <w:t>(Principal Executive Officer)</w:t>
            </w:r>
          </w:p>
        </w:tc>
        <w:tc>
          <w:tcPr>
            <w:tcW w:w="1740" w:type="dxa"/>
            <w:vAlign w:val="bottom"/>
          </w:tcPr>
          <w:p>
            <w:pPr>
              <w:spacing w:after="0"/>
              <w:rPr>
                <w:sz w:val="24"/>
                <w:szCs w:val="24"/>
                <w:color w:val="auto"/>
              </w:rPr>
            </w:pPr>
          </w:p>
        </w:tc>
      </w:tr>
      <w:tr>
        <w:trPr>
          <w:trHeight w:val="504"/>
        </w:trPr>
        <w:tc>
          <w:tcPr>
            <w:tcW w:w="4140" w:type="dxa"/>
            <w:vAlign w:val="bottom"/>
          </w:tcPr>
          <w:p>
            <w:pPr>
              <w:jc w:val="center"/>
              <w:ind w:right="224"/>
              <w:spacing w:after="0"/>
              <w:rPr>
                <w:sz w:val="20"/>
                <w:szCs w:val="20"/>
                <w:color w:val="auto"/>
              </w:rPr>
            </w:pPr>
            <w:r>
              <w:rPr>
                <w:rFonts w:ascii="Times New Roman" w:cs="Times New Roman" w:eastAsia="Times New Roman" w:hAnsi="Times New Roman"/>
                <w:sz w:val="19"/>
                <w:szCs w:val="19"/>
                <w:color w:val="auto"/>
              </w:rPr>
              <w:t>Senior Vice President and Chief Financial Officer</w:t>
            </w:r>
          </w:p>
        </w:tc>
        <w:tc>
          <w:tcPr>
            <w:tcW w:w="174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February 28, 2025</w:t>
            </w:r>
          </w:p>
        </w:tc>
      </w:tr>
      <w:tr>
        <w:trPr>
          <w:trHeight w:val="288"/>
        </w:trPr>
        <w:tc>
          <w:tcPr>
            <w:tcW w:w="4140" w:type="dxa"/>
            <w:vAlign w:val="bottom"/>
          </w:tcPr>
          <w:p>
            <w:pPr>
              <w:jc w:val="center"/>
              <w:ind w:right="224"/>
              <w:spacing w:after="0"/>
              <w:rPr>
                <w:sz w:val="20"/>
                <w:szCs w:val="20"/>
                <w:color w:val="auto"/>
              </w:rPr>
            </w:pPr>
            <w:r>
              <w:rPr>
                <w:rFonts w:ascii="Times New Roman" w:cs="Times New Roman" w:eastAsia="Times New Roman" w:hAnsi="Times New Roman"/>
                <w:sz w:val="19"/>
                <w:szCs w:val="19"/>
                <w:color w:val="auto"/>
              </w:rPr>
              <w:t>(Principal Financial Officer)</w:t>
            </w:r>
          </w:p>
        </w:tc>
        <w:tc>
          <w:tcPr>
            <w:tcW w:w="1740" w:type="dxa"/>
            <w:vAlign w:val="bottom"/>
          </w:tcPr>
          <w:p>
            <w:pPr>
              <w:spacing w:after="0"/>
              <w:rPr>
                <w:sz w:val="24"/>
                <w:szCs w:val="24"/>
                <w:color w:val="auto"/>
              </w:rPr>
            </w:pPr>
          </w:p>
        </w:tc>
      </w:tr>
      <w:tr>
        <w:trPr>
          <w:trHeight w:val="504"/>
        </w:trPr>
        <w:tc>
          <w:tcPr>
            <w:tcW w:w="4140" w:type="dxa"/>
            <w:vAlign w:val="bottom"/>
          </w:tcPr>
          <w:p>
            <w:pPr>
              <w:jc w:val="center"/>
              <w:ind w:right="224"/>
              <w:spacing w:after="0"/>
              <w:rPr>
                <w:sz w:val="20"/>
                <w:szCs w:val="20"/>
                <w:color w:val="auto"/>
              </w:rPr>
            </w:pPr>
            <w:r>
              <w:rPr>
                <w:rFonts w:ascii="Times New Roman" w:cs="Times New Roman" w:eastAsia="Times New Roman" w:hAnsi="Times New Roman"/>
                <w:sz w:val="19"/>
                <w:szCs w:val="19"/>
                <w:color w:val="auto"/>
              </w:rPr>
              <w:t>Vice President and Chief Accounting Officer</w:t>
            </w:r>
          </w:p>
        </w:tc>
        <w:tc>
          <w:tcPr>
            <w:tcW w:w="174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February 28, 2025</w:t>
            </w:r>
          </w:p>
        </w:tc>
      </w:tr>
      <w:tr>
        <w:trPr>
          <w:trHeight w:val="288"/>
        </w:trPr>
        <w:tc>
          <w:tcPr>
            <w:tcW w:w="4140" w:type="dxa"/>
            <w:vAlign w:val="bottom"/>
          </w:tcPr>
          <w:p>
            <w:pPr>
              <w:jc w:val="center"/>
              <w:ind w:right="224"/>
              <w:spacing w:after="0"/>
              <w:rPr>
                <w:sz w:val="20"/>
                <w:szCs w:val="20"/>
                <w:color w:val="auto"/>
              </w:rPr>
            </w:pPr>
            <w:r>
              <w:rPr>
                <w:rFonts w:ascii="Times New Roman" w:cs="Times New Roman" w:eastAsia="Times New Roman" w:hAnsi="Times New Roman"/>
                <w:sz w:val="19"/>
                <w:szCs w:val="19"/>
                <w:color w:val="auto"/>
              </w:rPr>
              <w:t>(Principal Accounting Officer)</w:t>
            </w:r>
          </w:p>
        </w:tc>
        <w:tc>
          <w:tcPr>
            <w:tcW w:w="1740" w:type="dxa"/>
            <w:vAlign w:val="bottom"/>
          </w:tcPr>
          <w:p>
            <w:pPr>
              <w:spacing w:after="0"/>
              <w:rPr>
                <w:sz w:val="24"/>
                <w:szCs w:val="24"/>
                <w:color w:val="auto"/>
              </w:rPr>
            </w:pPr>
          </w:p>
        </w:tc>
      </w:tr>
      <w:tr>
        <w:trPr>
          <w:trHeight w:val="576"/>
        </w:trPr>
        <w:tc>
          <w:tcPr>
            <w:tcW w:w="4140" w:type="dxa"/>
            <w:vAlign w:val="bottom"/>
          </w:tcPr>
          <w:p>
            <w:pPr>
              <w:jc w:val="center"/>
              <w:ind w:right="204"/>
              <w:spacing w:after="0"/>
              <w:rPr>
                <w:sz w:val="20"/>
                <w:szCs w:val="20"/>
                <w:color w:val="auto"/>
              </w:rPr>
            </w:pPr>
            <w:r>
              <w:rPr>
                <w:rFonts w:ascii="Times New Roman" w:cs="Times New Roman" w:eastAsia="Times New Roman" w:hAnsi="Times New Roman"/>
                <w:sz w:val="19"/>
                <w:szCs w:val="19"/>
                <w:color w:val="auto"/>
              </w:rPr>
              <w:t>Director</w:t>
            </w:r>
          </w:p>
        </w:tc>
        <w:tc>
          <w:tcPr>
            <w:tcW w:w="174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February 28, 2025</w:t>
            </w:r>
          </w:p>
        </w:tc>
      </w:tr>
      <w:tr>
        <w:trPr>
          <w:trHeight w:val="792"/>
        </w:trPr>
        <w:tc>
          <w:tcPr>
            <w:tcW w:w="4140" w:type="dxa"/>
            <w:vAlign w:val="bottom"/>
          </w:tcPr>
          <w:p>
            <w:pPr>
              <w:jc w:val="center"/>
              <w:ind w:right="204"/>
              <w:spacing w:after="0"/>
              <w:rPr>
                <w:sz w:val="20"/>
                <w:szCs w:val="20"/>
                <w:color w:val="auto"/>
              </w:rPr>
            </w:pPr>
            <w:r>
              <w:rPr>
                <w:rFonts w:ascii="Times New Roman" w:cs="Times New Roman" w:eastAsia="Times New Roman" w:hAnsi="Times New Roman"/>
                <w:sz w:val="19"/>
                <w:szCs w:val="19"/>
                <w:color w:val="auto"/>
              </w:rPr>
              <w:t>Director</w:t>
            </w:r>
          </w:p>
        </w:tc>
        <w:tc>
          <w:tcPr>
            <w:tcW w:w="174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February 28, 2025</w:t>
            </w:r>
          </w:p>
        </w:tc>
      </w:tr>
      <w:tr>
        <w:trPr>
          <w:trHeight w:val="792"/>
        </w:trPr>
        <w:tc>
          <w:tcPr>
            <w:tcW w:w="4140" w:type="dxa"/>
            <w:vAlign w:val="bottom"/>
          </w:tcPr>
          <w:p>
            <w:pPr>
              <w:jc w:val="center"/>
              <w:ind w:right="204"/>
              <w:spacing w:after="0"/>
              <w:rPr>
                <w:sz w:val="20"/>
                <w:szCs w:val="20"/>
                <w:color w:val="auto"/>
              </w:rPr>
            </w:pPr>
            <w:r>
              <w:rPr>
                <w:rFonts w:ascii="Times New Roman" w:cs="Times New Roman" w:eastAsia="Times New Roman" w:hAnsi="Times New Roman"/>
                <w:sz w:val="19"/>
                <w:szCs w:val="19"/>
                <w:color w:val="auto"/>
              </w:rPr>
              <w:t>Director</w:t>
            </w:r>
          </w:p>
        </w:tc>
        <w:tc>
          <w:tcPr>
            <w:tcW w:w="174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February 28, 2025</w:t>
            </w:r>
          </w:p>
        </w:tc>
      </w:tr>
      <w:tr>
        <w:trPr>
          <w:trHeight w:val="792"/>
        </w:trPr>
        <w:tc>
          <w:tcPr>
            <w:tcW w:w="4140" w:type="dxa"/>
            <w:vAlign w:val="bottom"/>
          </w:tcPr>
          <w:p>
            <w:pPr>
              <w:jc w:val="center"/>
              <w:ind w:right="204"/>
              <w:spacing w:after="0"/>
              <w:rPr>
                <w:sz w:val="20"/>
                <w:szCs w:val="20"/>
                <w:color w:val="auto"/>
              </w:rPr>
            </w:pPr>
            <w:r>
              <w:rPr>
                <w:rFonts w:ascii="Times New Roman" w:cs="Times New Roman" w:eastAsia="Times New Roman" w:hAnsi="Times New Roman"/>
                <w:sz w:val="19"/>
                <w:szCs w:val="19"/>
                <w:color w:val="auto"/>
              </w:rPr>
              <w:t>Director</w:t>
            </w:r>
          </w:p>
        </w:tc>
        <w:tc>
          <w:tcPr>
            <w:tcW w:w="174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February 28, 2025</w:t>
            </w:r>
          </w:p>
        </w:tc>
      </w:tr>
      <w:tr>
        <w:trPr>
          <w:trHeight w:val="878"/>
        </w:trPr>
        <w:tc>
          <w:tcPr>
            <w:tcW w:w="4140" w:type="dxa"/>
            <w:vAlign w:val="bottom"/>
          </w:tcPr>
          <w:p>
            <w:pPr>
              <w:jc w:val="center"/>
              <w:ind w:right="204"/>
              <w:spacing w:after="0"/>
              <w:rPr>
                <w:sz w:val="20"/>
                <w:szCs w:val="20"/>
                <w:color w:val="auto"/>
              </w:rPr>
            </w:pPr>
            <w:r>
              <w:rPr>
                <w:rFonts w:ascii="Times New Roman" w:cs="Times New Roman" w:eastAsia="Times New Roman" w:hAnsi="Times New Roman"/>
                <w:sz w:val="19"/>
                <w:szCs w:val="19"/>
                <w:color w:val="auto"/>
              </w:rPr>
              <w:t>Director</w:t>
            </w:r>
          </w:p>
        </w:tc>
        <w:tc>
          <w:tcPr>
            <w:tcW w:w="174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February 28, 2025</w:t>
            </w:r>
          </w:p>
        </w:tc>
      </w:tr>
      <w:tr>
        <w:trPr>
          <w:trHeight w:val="864"/>
        </w:trPr>
        <w:tc>
          <w:tcPr>
            <w:tcW w:w="4140" w:type="dxa"/>
            <w:vAlign w:val="bottom"/>
          </w:tcPr>
          <w:p>
            <w:pPr>
              <w:jc w:val="center"/>
              <w:ind w:right="204"/>
              <w:spacing w:after="0"/>
              <w:rPr>
                <w:sz w:val="20"/>
                <w:szCs w:val="20"/>
                <w:color w:val="auto"/>
              </w:rPr>
            </w:pPr>
            <w:r>
              <w:rPr>
                <w:rFonts w:ascii="Times New Roman" w:cs="Times New Roman" w:eastAsia="Times New Roman" w:hAnsi="Times New Roman"/>
                <w:sz w:val="19"/>
                <w:szCs w:val="19"/>
                <w:color w:val="auto"/>
              </w:rPr>
              <w:t>Director</w:t>
            </w:r>
          </w:p>
        </w:tc>
        <w:tc>
          <w:tcPr>
            <w:tcW w:w="174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February 28, 2025</w:t>
            </w:r>
          </w:p>
        </w:tc>
      </w:tr>
      <w:tr>
        <w:trPr>
          <w:trHeight w:val="864"/>
        </w:trPr>
        <w:tc>
          <w:tcPr>
            <w:tcW w:w="4140" w:type="dxa"/>
            <w:vAlign w:val="bottom"/>
          </w:tcPr>
          <w:p>
            <w:pPr>
              <w:jc w:val="center"/>
              <w:ind w:right="204"/>
              <w:spacing w:after="0"/>
              <w:rPr>
                <w:sz w:val="20"/>
                <w:szCs w:val="20"/>
                <w:color w:val="auto"/>
              </w:rPr>
            </w:pPr>
            <w:r>
              <w:rPr>
                <w:rFonts w:ascii="Times New Roman" w:cs="Times New Roman" w:eastAsia="Times New Roman" w:hAnsi="Times New Roman"/>
                <w:sz w:val="19"/>
                <w:szCs w:val="19"/>
                <w:color w:val="auto"/>
              </w:rPr>
              <w:t>Director</w:t>
            </w:r>
          </w:p>
        </w:tc>
        <w:tc>
          <w:tcPr>
            <w:tcW w:w="174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February 28, 2025</w:t>
            </w:r>
          </w:p>
        </w:tc>
      </w:tr>
      <w:tr>
        <w:trPr>
          <w:trHeight w:val="792"/>
        </w:trPr>
        <w:tc>
          <w:tcPr>
            <w:tcW w:w="4140" w:type="dxa"/>
            <w:vAlign w:val="bottom"/>
          </w:tcPr>
          <w:p>
            <w:pPr>
              <w:jc w:val="center"/>
              <w:ind w:right="204"/>
              <w:spacing w:after="0"/>
              <w:rPr>
                <w:sz w:val="20"/>
                <w:szCs w:val="20"/>
                <w:color w:val="auto"/>
              </w:rPr>
            </w:pPr>
            <w:r>
              <w:rPr>
                <w:rFonts w:ascii="Times New Roman" w:cs="Times New Roman" w:eastAsia="Times New Roman" w:hAnsi="Times New Roman"/>
                <w:sz w:val="19"/>
                <w:szCs w:val="19"/>
                <w:color w:val="auto"/>
              </w:rPr>
              <w:t>Director</w:t>
            </w:r>
          </w:p>
        </w:tc>
        <w:tc>
          <w:tcPr>
            <w:tcW w:w="174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February 28, 2025</w:t>
            </w:r>
          </w:p>
        </w:tc>
      </w:tr>
    </w:tbl>
    <w:p>
      <w:pPr>
        <w:spacing w:after="0" w:line="455" w:lineRule="exact"/>
        <w:rPr>
          <w:sz w:val="20"/>
          <w:szCs w:val="20"/>
          <w:color w:val="auto"/>
        </w:rPr>
      </w:pPr>
    </w:p>
    <w:p>
      <w:pPr>
        <w:sectPr>
          <w:pgSz w:w="11880" w:h="15480" w:orient="portrait"/>
          <w:cols w:equalWidth="0" w:num="2">
            <w:col w:w="2720" w:space="720"/>
            <w:col w:w="6420"/>
          </w:cols>
          <w:pgMar w:left="1100" w:top="891"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254000</wp:posOffset>
            </wp:positionV>
            <wp:extent cx="76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0">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254000</wp:posOffset>
            </wp:positionV>
            <wp:extent cx="76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1">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860"/>
          </w:cols>
          <w:pgMar w:left="1100" w:top="891" w:right="920" w:bottom="0" w:gutter="0" w:footer="0" w:header="0"/>
          <w:type w:val="continuous"/>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RECONCILIATION OF NON-GAP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FINANCIAL MEASURES TO COMPARABLE</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GAAP FINANCIAL MEASURES</w:t>
      </w:r>
    </w:p>
    <w:p>
      <w:pPr>
        <w:spacing w:after="0" w:line="200" w:lineRule="exact"/>
        <w:rPr>
          <w:sz w:val="20"/>
          <w:szCs w:val="20"/>
          <w:color w:val="auto"/>
        </w:rPr>
      </w:pPr>
    </w:p>
    <w:p>
      <w:pPr>
        <w:spacing w:after="0" w:line="260" w:lineRule="exact"/>
        <w:rPr>
          <w:sz w:val="20"/>
          <w:szCs w:val="20"/>
          <w:color w:val="auto"/>
        </w:rPr>
      </w:pPr>
    </w:p>
    <w:p>
      <w:pPr>
        <w:ind w:left="60" w:right="540" w:firstLine="1"/>
        <w:spacing w:after="0" w:line="276" w:lineRule="auto"/>
        <w:rPr>
          <w:sz w:val="20"/>
          <w:szCs w:val="20"/>
          <w:color w:val="auto"/>
        </w:rPr>
      </w:pPr>
      <w:r>
        <w:rPr>
          <w:rFonts w:ascii="Times New Roman" w:cs="Times New Roman" w:eastAsia="Times New Roman" w:hAnsi="Times New Roman"/>
          <w:sz w:val="20"/>
          <w:szCs w:val="20"/>
          <w:color w:val="auto"/>
        </w:rPr>
        <w:t>The shareholder letter included in this Annual Report includes the following financial measures: Non-GAAP Adjusted EBITDA, Non-GAAP Adjusted Diluted Earnings per Common Share and Free Cash Flow, which are non-GAAP financial measures as defined in Regulation G of the Securities Exchange Act of 1934. The Company believes that certain non-GAAP financial measures provide information that is useful to investors because it allows for a more direct comparison of the Company’s performance for the period reported with the Company’s performance in prior periods. The Company cautions that non-GAAP financial measures should be considered in addition to, but not as a substitute for, the Company’s reported GAAP results. The Company also advises you to review these non-GAAP financial measures along with our Annual Report on Form 10-K for the fiscal year ended January 25, 2025 and the audited financial statements included therein, which was filed with the Securities and Exchange Commission.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Explanation of Non-GAAP Financial Measures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Management defines the non-GAAP financial measures used as follows:</w:t>
      </w:r>
    </w:p>
    <w:p>
      <w:pPr>
        <w:spacing w:after="0" w:line="322" w:lineRule="exact"/>
        <w:rPr>
          <w:sz w:val="20"/>
          <w:szCs w:val="20"/>
          <w:color w:val="auto"/>
        </w:rPr>
      </w:pPr>
    </w:p>
    <w:p>
      <w:pPr>
        <w:ind w:left="380" w:right="100" w:hanging="367"/>
        <w:spacing w:after="0" w:line="298" w:lineRule="auto"/>
        <w:tabs>
          <w:tab w:leader="none" w:pos="381" w:val="left"/>
        </w:tabs>
        <w:numPr>
          <w:ilvl w:val="0"/>
          <w:numId w:val="2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Non-GAAP Adjusted EBITDA </w:t>
      </w:r>
      <w:r>
        <w:rPr>
          <w:rFonts w:ascii="Times New Roman" w:cs="Times New Roman" w:eastAsia="Times New Roman" w:hAnsi="Times New Roman"/>
          <w:sz w:val="20"/>
          <w:szCs w:val="20"/>
          <w:color w:val="auto"/>
        </w:rPr>
        <w:t>- net income before interest, taxes, depreciation and amortization, gain on sale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fixed assets, stock-based compensation expense, and certain non-recurring items. Management believes Non-GAAP Adjusted EBITDA is a helpful measure for comparing the Company’s operating performance with prior periods as well as with the performance of other companies with different capital structures or tax rates.</w:t>
      </w:r>
    </w:p>
    <w:p>
      <w:pPr>
        <w:spacing w:after="0" w:line="69" w:lineRule="exact"/>
        <w:rPr>
          <w:rFonts w:ascii="Times New Roman" w:cs="Times New Roman" w:eastAsia="Times New Roman" w:hAnsi="Times New Roman"/>
          <w:sz w:val="20"/>
          <w:szCs w:val="20"/>
          <w:i w:val="1"/>
          <w:iCs w:val="1"/>
          <w:color w:val="auto"/>
        </w:rPr>
      </w:pPr>
    </w:p>
    <w:p>
      <w:pPr>
        <w:ind w:left="380" w:right="220" w:hanging="367"/>
        <w:spacing w:after="0" w:line="308" w:lineRule="auto"/>
        <w:tabs>
          <w:tab w:leader="none" w:pos="381"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Non-GAAP Adjusted Net Income </w:t>
      </w:r>
      <w:r>
        <w:rPr>
          <w:rFonts w:ascii="Times New Roman" w:cs="Times New Roman" w:eastAsia="Times New Roman" w:hAnsi="Times New Roman"/>
          <w:sz w:val="20"/>
          <w:szCs w:val="20"/>
          <w:color w:val="auto"/>
        </w:rPr>
        <w:t>- GAAP net income before certain non-recurring items and the related tax</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impact. Management believes Non-GAAP Adjusted Net Income is a helpful measure for comparing the Company’s operating performance with prior periods.</w:t>
      </w:r>
    </w:p>
    <w:p>
      <w:pPr>
        <w:spacing w:after="0" w:line="64" w:lineRule="exact"/>
        <w:rPr>
          <w:rFonts w:ascii="Times New Roman" w:cs="Times New Roman" w:eastAsia="Times New Roman" w:hAnsi="Times New Roman"/>
          <w:sz w:val="20"/>
          <w:szCs w:val="20"/>
          <w:color w:val="auto"/>
        </w:rPr>
      </w:pPr>
    </w:p>
    <w:p>
      <w:pPr>
        <w:ind w:left="380" w:right="320" w:hanging="368"/>
        <w:spacing w:after="0" w:line="326" w:lineRule="auto"/>
        <w:tabs>
          <w:tab w:leader="none" w:pos="3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Non-GAAP Adjusted Diluted Earnings per Common Share </w:t>
      </w:r>
      <w:r>
        <w:rPr>
          <w:rFonts w:ascii="Times New Roman" w:cs="Times New Roman" w:eastAsia="Times New Roman" w:hAnsi="Times New Roman"/>
          <w:sz w:val="20"/>
          <w:szCs w:val="20"/>
          <w:color w:val="auto"/>
        </w:rPr>
        <w:t>- Non-GAAP Adjusted Net Income divided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weighted average diluted shares outstanding.</w:t>
      </w:r>
    </w:p>
    <w:p>
      <w:pPr>
        <w:spacing w:after="0" w:line="47" w:lineRule="exact"/>
        <w:rPr>
          <w:rFonts w:ascii="Times New Roman" w:cs="Times New Roman" w:eastAsia="Times New Roman" w:hAnsi="Times New Roman"/>
          <w:sz w:val="20"/>
          <w:szCs w:val="20"/>
          <w:color w:val="auto"/>
        </w:rPr>
      </w:pPr>
    </w:p>
    <w:p>
      <w:pPr>
        <w:ind w:left="380" w:right="20" w:hanging="369"/>
        <w:spacing w:after="0" w:line="300" w:lineRule="auto"/>
        <w:tabs>
          <w:tab w:leader="none" w:pos="3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Free Cash Flow </w:t>
      </w:r>
      <w:r>
        <w:rPr>
          <w:rFonts w:ascii="Times New Roman" w:cs="Times New Roman" w:eastAsia="Times New Roman" w:hAnsi="Times New Roman"/>
          <w:sz w:val="20"/>
          <w:szCs w:val="20"/>
          <w:color w:val="auto"/>
        </w:rPr>
        <w:t>– net cash provided by operating activities less capital expenditures, net of proceeds from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sale of property and equipment. Management believes Free Cash Flow is a useful measure of business performance and overall liquidity and provides information on the cash available for use in the business and other capital allocation strategies.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Management excludes or adjusts each of the items identified below from </w:t>
      </w:r>
      <w:r>
        <w:rPr>
          <w:rFonts w:ascii="Times New Roman" w:cs="Times New Roman" w:eastAsia="Times New Roman" w:hAnsi="Times New Roman"/>
          <w:sz w:val="20"/>
          <w:szCs w:val="20"/>
          <w:i w:val="1"/>
          <w:iCs w:val="1"/>
          <w:color w:val="auto"/>
        </w:rPr>
        <w:t>Non-GAAP Adjusted EBITDA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GAAP Adjusted Net Income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Non-GAAP Adjusted Diluted Earnings per Common Share</w:t>
      </w:r>
      <w:r>
        <w:rPr>
          <w:rFonts w:ascii="Times New Roman" w:cs="Times New Roman" w:eastAsia="Times New Roman" w:hAnsi="Times New Roman"/>
          <w:sz w:val="20"/>
          <w:szCs w:val="20"/>
          <w:color w:val="auto"/>
        </w:rPr>
        <w:t>:</w:t>
      </w:r>
    </w:p>
    <w:p>
      <w:pPr>
        <w:spacing w:after="0" w:line="319" w:lineRule="exact"/>
        <w:rPr>
          <w:sz w:val="20"/>
          <w:szCs w:val="20"/>
          <w:color w:val="auto"/>
        </w:rPr>
      </w:pPr>
    </w:p>
    <w:p>
      <w:pPr>
        <w:ind w:left="380" w:right="100" w:hanging="369"/>
        <w:spacing w:after="0" w:line="300" w:lineRule="auto"/>
        <w:tabs>
          <w:tab w:leader="none" w:pos="380" w:val="left"/>
        </w:tabs>
        <w:numPr>
          <w:ilvl w:val="0"/>
          <w:numId w:val="3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i w:val="1"/>
          <w:iCs w:val="1"/>
          <w:color w:val="auto"/>
        </w:rPr>
        <w:t xml:space="preserve">Stock-based compensation modification </w:t>
      </w:r>
      <w:r>
        <w:rPr>
          <w:rFonts w:ascii="Times New Roman" w:cs="Times New Roman" w:eastAsia="Times New Roman" w:hAnsi="Times New Roman"/>
          <w:sz w:val="20"/>
          <w:szCs w:val="20"/>
          <w:color w:val="auto"/>
        </w:rPr>
        <w:t>- During the quarter ended July 27, 2024, the Company announced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its CEO succession plan and transition. In connection with this transition, the Company incurred stock-based compensation modification expense. The Company excludes the impact of the modification because the Company believes it is not indicative of its underlying results or ongoing operations.</w:t>
      </w:r>
    </w:p>
    <w:p>
      <w:pPr>
        <w:spacing w:after="0" w:line="73" w:lineRule="exact"/>
        <w:rPr>
          <w:rFonts w:ascii="Times New Roman" w:cs="Times New Roman" w:eastAsia="Times New Roman" w:hAnsi="Times New Roman"/>
          <w:sz w:val="20"/>
          <w:szCs w:val="20"/>
          <w:b w:val="1"/>
          <w:bCs w:val="1"/>
          <w:i w:val="1"/>
          <w:iCs w:val="1"/>
          <w:color w:val="auto"/>
        </w:rPr>
      </w:pPr>
    </w:p>
    <w:p>
      <w:pPr>
        <w:jc w:val="both"/>
        <w:ind w:left="380" w:right="160" w:hanging="369"/>
        <w:spacing w:after="0" w:line="331" w:lineRule="auto"/>
        <w:tabs>
          <w:tab w:leader="none" w:pos="380" w:val="left"/>
        </w:tabs>
        <w:numPr>
          <w:ilvl w:val="0"/>
          <w:numId w:val="3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 xml:space="preserve">Loss on debt extinguishment </w:t>
      </w:r>
      <w:r>
        <w:rPr>
          <w:rFonts w:ascii="Times New Roman" w:cs="Times New Roman" w:eastAsia="Times New Roman" w:hAnsi="Times New Roman"/>
          <w:sz w:val="19"/>
          <w:szCs w:val="19"/>
          <w:color w:val="auto"/>
        </w:rPr>
        <w:t>- Loss on debt extinguishment includes the write-off of deferred financing fees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 connection with the amendment of the Company’s credit agreement during the fiscal years ended January 25, 2025 and January 29, 2022. Management believes excluding the loss on debt extinguishment from the</w:t>
      </w:r>
    </w:p>
    <w:p>
      <w:pPr>
        <w:sectPr>
          <w:pgSz w:w="11880" w:h="15480" w:orient="portrait"/>
          <w:cols w:equalWidth="0" w:num="1">
            <w:col w:w="9180"/>
          </w:cols>
          <w:pgMar w:left="1320" w:top="904" w:right="1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A-1</w:t>
      </w:r>
    </w:p>
    <w:p>
      <w:pPr>
        <w:spacing w:after="0" w:line="20" w:lineRule="exact"/>
        <w:rPr>
          <w:sz w:val="20"/>
          <w:szCs w:val="20"/>
          <w:color w:val="auto"/>
        </w:rPr>
      </w:pPr>
    </w:p>
    <w:p>
      <w:pPr>
        <w:sectPr>
          <w:pgSz w:w="11880" w:h="15480" w:orient="portrait"/>
          <w:cols w:equalWidth="0" w:num="1">
            <w:col w:w="9180"/>
          </w:cols>
          <w:pgMar w:left="1320" w:top="904" w:right="1380" w:bottom="0" w:gutter="0" w:footer="0" w:header="0"/>
          <w:type w:val="continuous"/>
        </w:sectPr>
      </w:pPr>
    </w:p>
    <w:bookmarkStart w:id="89" w:name="page90"/>
    <w:bookmarkEnd w:id="89"/>
    <w:p>
      <w:pPr>
        <w:ind w:left="367" w:right="40"/>
        <w:spacing w:after="0" w:line="308" w:lineRule="auto"/>
        <w:rPr>
          <w:sz w:val="20"/>
          <w:szCs w:val="20"/>
          <w:color w:val="auto"/>
        </w:rPr>
      </w:pPr>
      <w:r>
        <w:rPr>
          <w:rFonts w:ascii="Times New Roman" w:cs="Times New Roman" w:eastAsia="Times New Roman" w:hAnsi="Times New Roman"/>
          <w:sz w:val="20"/>
          <w:szCs w:val="20"/>
          <w:color w:val="auto"/>
        </w:rPr>
        <w:t>Company’s Non-GAAP financial measures assists investors’ overall understanding of the Company’s current financial performance and provides management with a consistent measure for assessing the current and historical financial results.</w:t>
      </w:r>
    </w:p>
    <w:p>
      <w:pPr>
        <w:spacing w:after="0" w:line="60" w:lineRule="exact"/>
        <w:rPr>
          <w:sz w:val="20"/>
          <w:szCs w:val="20"/>
          <w:color w:val="auto"/>
        </w:rPr>
      </w:pPr>
    </w:p>
    <w:p>
      <w:pPr>
        <w:ind w:left="367" w:hanging="360"/>
        <w:spacing w:after="0" w:line="302" w:lineRule="auto"/>
        <w:tabs>
          <w:tab w:leader="none" w:pos="36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Acquisition integration costs </w:t>
      </w:r>
      <w:r>
        <w:rPr>
          <w:rFonts w:ascii="Times New Roman" w:cs="Times New Roman" w:eastAsia="Times New Roman" w:hAnsi="Times New Roman"/>
          <w:sz w:val="20"/>
          <w:szCs w:val="20"/>
          <w:color w:val="auto"/>
        </w:rPr>
        <w:t>– The Company incurred costs of approximately $4.2 million in connection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integration of a business acquired during the quarter ended October 26, 2024. The exclusion of the acquisition integration costs from the Company’s Non-GAAP financial measures provides management with a consistent measure for assessing financial results.</w:t>
      </w:r>
    </w:p>
    <w:p>
      <w:pPr>
        <w:spacing w:after="0" w:line="66" w:lineRule="exact"/>
        <w:rPr>
          <w:rFonts w:ascii="Times New Roman" w:cs="Times New Roman" w:eastAsia="Times New Roman" w:hAnsi="Times New Roman"/>
          <w:sz w:val="20"/>
          <w:szCs w:val="20"/>
          <w:color w:val="auto"/>
        </w:rPr>
      </w:pPr>
    </w:p>
    <w:p>
      <w:pPr>
        <w:ind w:left="367" w:right="140" w:hanging="367"/>
        <w:spacing w:after="0" w:line="308" w:lineRule="auto"/>
        <w:tabs>
          <w:tab w:leader="none" w:pos="36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Tax impact of pre-tax adjustments </w:t>
      </w:r>
      <w:r>
        <w:rPr>
          <w:rFonts w:ascii="Times New Roman" w:cs="Times New Roman" w:eastAsia="Times New Roman" w:hAnsi="Times New Roman"/>
          <w:sz w:val="20"/>
          <w:szCs w:val="20"/>
          <w:color w:val="auto"/>
        </w:rPr>
        <w:t>- The tax impact of pre-tax adjustments reflects the Company’s estimated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tax impact of specific adjustments and the effective tax rate used for financial planning for the applicable period.</w:t>
      </w:r>
    </w:p>
    <w:p>
      <w:pPr>
        <w:sectPr>
          <w:pgSz w:w="11880" w:h="15480" w:orient="portrait"/>
          <w:cols w:equalWidth="0" w:num="1">
            <w:col w:w="9167"/>
          </w:cols>
          <w:pgMar w:left="1313" w:top="884"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26"/>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p>
    <w:p>
      <w:pPr>
        <w:sectPr>
          <w:pgSz w:w="11880" w:h="15480" w:orient="portrait"/>
          <w:cols w:equalWidth="0" w:num="1">
            <w:col w:w="9167"/>
          </w:cols>
          <w:pgMar w:left="1313" w:top="884" w:right="1400" w:bottom="0" w:gutter="0" w:footer="0" w:header="0"/>
          <w:type w:val="continuous"/>
        </w:sectPr>
      </w:pPr>
    </w:p>
    <w:bookmarkStart w:id="90" w:name="page91"/>
    <w:bookmarkEnd w:id="90"/>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t>RECONCILIATION OF NON-GAAP FINANCIAL MEASURES</w:t>
      </w:r>
    </w:p>
    <w:p>
      <w:pPr>
        <w:spacing w:after="0" w:line="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t>TO COMPARABLE GAAP FINANCIAL MEASURES</w:t>
      </w:r>
    </w:p>
    <w:p>
      <w:pPr>
        <w:spacing w:after="0" w:line="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00" w:lineRule="exact"/>
        <w:rPr>
          <w:sz w:val="20"/>
          <w:szCs w:val="20"/>
          <w:color w:val="auto"/>
        </w:rPr>
      </w:pPr>
    </w:p>
    <w:p>
      <w:pPr>
        <w:spacing w:after="0" w:line="218" w:lineRule="exact"/>
        <w:rPr>
          <w:sz w:val="20"/>
          <w:szCs w:val="20"/>
          <w:color w:val="auto"/>
        </w:rPr>
      </w:pPr>
    </w:p>
    <w:p>
      <w:pPr>
        <w:ind w:left="300" w:right="340" w:firstLine="450"/>
        <w:spacing w:after="0" w:line="316" w:lineRule="auto"/>
        <w:rPr>
          <w:sz w:val="20"/>
          <w:szCs w:val="20"/>
          <w:color w:val="auto"/>
        </w:rPr>
      </w:pPr>
      <w:r>
        <w:rPr>
          <w:rFonts w:ascii="Times New Roman" w:cs="Times New Roman" w:eastAsia="Times New Roman" w:hAnsi="Times New Roman"/>
          <w:sz w:val="20"/>
          <w:szCs w:val="20"/>
          <w:color w:val="auto"/>
        </w:rPr>
        <w:t>The below tables present reconciliations of non-GAAP financial measures to the most directly comparable GAAP measures.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Fiscal Year</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Fiscal Year</w:t>
            </w:r>
          </w:p>
        </w:tc>
        <w:tc>
          <w:tcPr>
            <w:tcW w:w="340" w:type="dxa"/>
            <w:vAlign w:val="bottom"/>
          </w:tcPr>
          <w:p>
            <w:pPr>
              <w:spacing w:after="0"/>
              <w:rPr>
                <w:sz w:val="24"/>
                <w:szCs w:val="24"/>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Fiscal Year</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Ended</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7"/>
              </w:rPr>
              <w:t>Ended</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January 25,</w:t>
            </w:r>
          </w:p>
        </w:tc>
        <w:tc>
          <w:tcPr>
            <w:tcW w:w="120" w:type="dxa"/>
            <w:vAlign w:val="bottom"/>
          </w:tcPr>
          <w:p>
            <w:pPr>
              <w:spacing w:after="0"/>
              <w:rPr>
                <w:sz w:val="20"/>
                <w:szCs w:val="20"/>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rPr>
              <w:t>January 27,</w:t>
            </w:r>
          </w:p>
        </w:tc>
        <w:tc>
          <w:tcPr>
            <w:tcW w:w="340" w:type="dxa"/>
            <w:vAlign w:val="bottom"/>
          </w:tcPr>
          <w:p>
            <w:pPr>
              <w:spacing w:after="0"/>
              <w:rPr>
                <w:sz w:val="20"/>
                <w:szCs w:val="20"/>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January 29,</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Reconciliation of net income to Non-GAAP Adjusted EBITDA:</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
              <w:spacing w:after="0" w:line="218" w:lineRule="exact"/>
              <w:rPr>
                <w:sz w:val="20"/>
                <w:szCs w:val="20"/>
                <w:color w:val="auto"/>
              </w:rPr>
            </w:pPr>
            <w:r>
              <w:rPr>
                <w:rFonts w:ascii="Times New Roman" w:cs="Times New Roman" w:eastAsia="Times New Roman" w:hAnsi="Times New Roman"/>
                <w:sz w:val="20"/>
                <w:szCs w:val="20"/>
                <w:b w:val="1"/>
                <w:bCs w:val="1"/>
                <w:color w:val="auto"/>
                <w:w w:val="99"/>
              </w:rPr>
              <w:t>2025</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line="218" w:lineRule="exact"/>
              <w:rPr>
                <w:sz w:val="20"/>
                <w:szCs w:val="20"/>
                <w:color w:val="auto"/>
              </w:rPr>
            </w:pPr>
            <w:r>
              <w:rPr>
                <w:rFonts w:ascii="Times New Roman" w:cs="Times New Roman" w:eastAsia="Times New Roman" w:hAnsi="Times New Roman"/>
                <w:sz w:val="20"/>
                <w:szCs w:val="20"/>
                <w:b w:val="1"/>
                <w:bCs w:val="1"/>
                <w:color w:val="auto"/>
                <w:w w:val="99"/>
              </w:rPr>
              <w:t>2024</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219"/>
              <w:spacing w:after="0" w:line="218" w:lineRule="exact"/>
              <w:rPr>
                <w:sz w:val="20"/>
                <w:szCs w:val="20"/>
                <w:color w:val="auto"/>
              </w:rPr>
            </w:pPr>
            <w:r>
              <w:rPr>
                <w:rFonts w:ascii="Times New Roman" w:cs="Times New Roman" w:eastAsia="Times New Roman" w:hAnsi="Times New Roman"/>
                <w:sz w:val="20"/>
                <w:szCs w:val="20"/>
                <w:b w:val="1"/>
                <w:bCs w:val="1"/>
                <w:color w:val="auto"/>
                <w:w w:val="99"/>
              </w:rPr>
              <w:t>2022</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540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40" w:type="dxa"/>
            <w:vAlign w:val="bottom"/>
            <w:shd w:val="clear" w:color="auto" w:fill="D7D7D7"/>
          </w:tcPr>
          <w:p>
            <w:pPr>
              <w:spacing w:after="0"/>
              <w:rPr>
                <w:sz w:val="24"/>
                <w:szCs w:val="24"/>
                <w:color w:val="auto"/>
              </w:rPr>
            </w:pPr>
          </w:p>
        </w:tc>
        <w:tc>
          <w:tcPr>
            <w:tcW w:w="5400" w:type="dxa"/>
            <w:vAlign w:val="bottom"/>
            <w:gridSpan w:val="2"/>
            <w:shd w:val="clear" w:color="auto" w:fill="D7D7D7"/>
          </w:tcPr>
          <w:p>
            <w:pPr>
              <w:ind w:left="140"/>
              <w:spacing w:after="0"/>
              <w:rPr>
                <w:sz w:val="20"/>
                <w:szCs w:val="20"/>
                <w:color w:val="auto"/>
              </w:rPr>
            </w:pPr>
            <w:r>
              <w:rPr>
                <w:rFonts w:ascii="Times New Roman" w:cs="Times New Roman" w:eastAsia="Times New Roman" w:hAnsi="Times New Roman"/>
                <w:sz w:val="20"/>
                <w:szCs w:val="20"/>
                <w:color w:val="auto"/>
              </w:rPr>
              <w:t>Net income</w:t>
            </w:r>
          </w:p>
        </w:tc>
        <w:tc>
          <w:tcPr>
            <w:tcW w:w="140" w:type="dxa"/>
            <w:vAlign w:val="bottom"/>
            <w:gridSpan w:val="2"/>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D7D7D7"/>
          </w:tcPr>
          <w:p>
            <w:pPr>
              <w:jc w:val="right"/>
              <w:ind w:right="139"/>
              <w:spacing w:after="0"/>
              <w:rPr>
                <w:sz w:val="20"/>
                <w:szCs w:val="20"/>
                <w:color w:val="auto"/>
              </w:rPr>
            </w:pPr>
            <w:r>
              <w:rPr>
                <w:rFonts w:ascii="Times New Roman" w:cs="Times New Roman" w:eastAsia="Times New Roman" w:hAnsi="Times New Roman"/>
                <w:sz w:val="20"/>
                <w:szCs w:val="20"/>
                <w:color w:val="auto"/>
              </w:rPr>
              <w:t>233,413</w:t>
            </w:r>
          </w:p>
        </w:tc>
        <w:tc>
          <w:tcPr>
            <w:tcW w:w="2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4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218,923</w:t>
            </w:r>
          </w:p>
        </w:tc>
        <w:tc>
          <w:tcPr>
            <w:tcW w:w="18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640" w:type="dxa"/>
            <w:vAlign w:val="bottom"/>
            <w:gridSpan w:val="2"/>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shd w:val="clear" w:color="auto" w:fill="D7D7D7"/>
          </w:tcPr>
          <w:p>
            <w:pPr>
              <w:jc w:val="right"/>
              <w:ind w:right="100"/>
              <w:spacing w:after="0"/>
              <w:rPr>
                <w:sz w:val="20"/>
                <w:szCs w:val="20"/>
                <w:color w:val="auto"/>
              </w:rPr>
            </w:pPr>
            <w:r>
              <w:rPr>
                <w:rFonts w:ascii="Times New Roman" w:cs="Times New Roman" w:eastAsia="Times New Roman" w:hAnsi="Times New Roman"/>
                <w:sz w:val="20"/>
                <w:szCs w:val="20"/>
                <w:color w:val="auto"/>
              </w:rPr>
              <w:t>48,574</w:t>
            </w:r>
          </w:p>
        </w:tc>
        <w:tc>
          <w:tcPr>
            <w:tcW w:w="0" w:type="dxa"/>
            <w:vAlign w:val="bottom"/>
          </w:tcPr>
          <w:p>
            <w:pPr>
              <w:spacing w:after="0"/>
              <w:rPr>
                <w:sz w:val="1"/>
                <w:szCs w:val="1"/>
                <w:color w:val="auto"/>
              </w:rPr>
            </w:pPr>
          </w:p>
        </w:tc>
      </w:tr>
      <w:tr>
        <w:trPr>
          <w:trHeight w:val="278"/>
        </w:trPr>
        <w:tc>
          <w:tcPr>
            <w:tcW w:w="40" w:type="dxa"/>
            <w:vAlign w:val="bottom"/>
            <w:tcBorders>
              <w:top w:val="single" w:sz="8" w:color="D7D7D7"/>
            </w:tcBorders>
          </w:tcPr>
          <w:p>
            <w:pPr>
              <w:spacing w:after="0"/>
              <w:rPr>
                <w:sz w:val="24"/>
                <w:szCs w:val="24"/>
                <w:color w:val="auto"/>
              </w:rPr>
            </w:pPr>
          </w:p>
        </w:tc>
        <w:tc>
          <w:tcPr>
            <w:tcW w:w="5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Interest expense, net</w:t>
            </w:r>
          </w:p>
        </w:tc>
        <w:tc>
          <w:tcPr>
            <w:tcW w:w="60" w:type="dxa"/>
            <w:vAlign w:val="bottom"/>
            <w:tcBorders>
              <w:top w:val="single" w:sz="8" w:color="D7D7D7"/>
            </w:tcBorders>
          </w:tcPr>
          <w:p>
            <w:pPr>
              <w:spacing w:after="0"/>
              <w:rPr>
                <w:sz w:val="24"/>
                <w:szCs w:val="24"/>
                <w:color w:val="auto"/>
              </w:rPr>
            </w:pPr>
          </w:p>
        </w:tc>
        <w:tc>
          <w:tcPr>
            <w:tcW w:w="20" w:type="dxa"/>
            <w:vAlign w:val="bottom"/>
            <w:tcBorders>
              <w:top w:val="single" w:sz="8" w:color="D7D7D7"/>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20"/>
                <w:szCs w:val="20"/>
                <w:color w:val="auto"/>
              </w:rPr>
              <w:t>60,994</w:t>
            </w:r>
          </w:p>
        </w:tc>
        <w:tc>
          <w:tcPr>
            <w:tcW w:w="20" w:type="dxa"/>
            <w:vAlign w:val="bottom"/>
            <w:tcBorders>
              <w:top w:val="single" w:sz="8" w:color="D7D7D7"/>
            </w:tcBorders>
          </w:tcPr>
          <w:p>
            <w:pPr>
              <w:spacing w:after="0"/>
              <w:rPr>
                <w:sz w:val="24"/>
                <w:szCs w:val="24"/>
                <w:color w:val="auto"/>
              </w:rPr>
            </w:pPr>
          </w:p>
        </w:tc>
        <w:tc>
          <w:tcPr>
            <w:tcW w:w="120" w:type="dxa"/>
            <w:vAlign w:val="bottom"/>
            <w:tcBorders>
              <w:top w:val="single" w:sz="8" w:color="D7D7D7"/>
            </w:tcBorders>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52,603</w:t>
            </w:r>
          </w:p>
        </w:tc>
        <w:tc>
          <w:tcPr>
            <w:tcW w:w="180" w:type="dxa"/>
            <w:vAlign w:val="bottom"/>
          </w:tcPr>
          <w:p>
            <w:pPr>
              <w:spacing w:after="0"/>
              <w:rPr>
                <w:sz w:val="24"/>
                <w:szCs w:val="24"/>
                <w:color w:val="auto"/>
              </w:rPr>
            </w:pPr>
          </w:p>
        </w:tc>
        <w:tc>
          <w:tcPr>
            <w:tcW w:w="20" w:type="dxa"/>
            <w:vAlign w:val="bottom"/>
            <w:tcBorders>
              <w:top w:val="single" w:sz="8" w:color="D7D7D7"/>
            </w:tcBorders>
          </w:tcPr>
          <w:p>
            <w:pPr>
              <w:spacing w:after="0"/>
              <w:rPr>
                <w:sz w:val="24"/>
                <w:szCs w:val="24"/>
                <w:color w:val="auto"/>
              </w:rPr>
            </w:pPr>
          </w:p>
        </w:tc>
        <w:tc>
          <w:tcPr>
            <w:tcW w:w="340" w:type="dxa"/>
            <w:vAlign w:val="bottom"/>
            <w:tcBorders>
              <w:top w:val="single" w:sz="8" w:color="D7D7D7"/>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33,166</w:t>
            </w:r>
          </w:p>
        </w:tc>
        <w:tc>
          <w:tcPr>
            <w:tcW w:w="100" w:type="dxa"/>
            <w:vAlign w:val="bottom"/>
            <w:tcBorders>
              <w:top w:val="single" w:sz="8" w:color="D7D7D7"/>
            </w:tcBorders>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40" w:type="dxa"/>
            <w:vAlign w:val="bottom"/>
            <w:shd w:val="clear" w:color="auto" w:fill="D7D7D7"/>
          </w:tcPr>
          <w:p>
            <w:pPr>
              <w:spacing w:after="0"/>
              <w:rPr>
                <w:sz w:val="24"/>
                <w:szCs w:val="24"/>
                <w:color w:val="auto"/>
              </w:rPr>
            </w:pPr>
          </w:p>
        </w:tc>
        <w:tc>
          <w:tcPr>
            <w:tcW w:w="5400" w:type="dxa"/>
            <w:vAlign w:val="bottom"/>
            <w:gridSpan w:val="2"/>
            <w:shd w:val="clear" w:color="auto" w:fill="D7D7D7"/>
          </w:tcPr>
          <w:p>
            <w:pPr>
              <w:ind w:left="140"/>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2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120" w:type="dxa"/>
            <w:vAlign w:val="bottom"/>
            <w:shd w:val="clear" w:color="auto" w:fill="D7D7D7"/>
          </w:tcPr>
          <w:p>
            <w:pPr>
              <w:jc w:val="right"/>
              <w:ind w:right="139"/>
              <w:spacing w:after="0"/>
              <w:rPr>
                <w:sz w:val="20"/>
                <w:szCs w:val="20"/>
                <w:color w:val="auto"/>
              </w:rPr>
            </w:pPr>
            <w:r>
              <w:rPr>
                <w:rFonts w:ascii="Times New Roman" w:cs="Times New Roman" w:eastAsia="Times New Roman" w:hAnsi="Times New Roman"/>
                <w:sz w:val="20"/>
                <w:szCs w:val="20"/>
                <w:color w:val="auto"/>
              </w:rPr>
              <w:t>74,377</w:t>
            </w:r>
          </w:p>
        </w:tc>
        <w:tc>
          <w:tcPr>
            <w:tcW w:w="2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40" w:type="dxa"/>
            <w:vAlign w:val="bottom"/>
            <w:shd w:val="clear" w:color="auto" w:fill="D7D7D7"/>
          </w:tcPr>
          <w:p>
            <w:pPr>
              <w:spacing w:after="0"/>
              <w:rPr>
                <w:sz w:val="24"/>
                <w:szCs w:val="24"/>
                <w:color w:val="auto"/>
              </w:rPr>
            </w:pPr>
          </w:p>
        </w:tc>
        <w:tc>
          <w:tcPr>
            <w:tcW w:w="92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73,076</w:t>
            </w:r>
          </w:p>
        </w:tc>
        <w:tc>
          <w:tcPr>
            <w:tcW w:w="18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340" w:type="dxa"/>
            <w:vAlign w:val="bottom"/>
            <w:shd w:val="clear" w:color="auto" w:fill="D7D7D7"/>
          </w:tcPr>
          <w:p>
            <w:pPr>
              <w:spacing w:after="0"/>
              <w:rPr>
                <w:sz w:val="24"/>
                <w:szCs w:val="24"/>
                <w:color w:val="auto"/>
              </w:rPr>
            </w:pPr>
          </w:p>
        </w:tc>
        <w:tc>
          <w:tcPr>
            <w:tcW w:w="300" w:type="dxa"/>
            <w:vAlign w:val="bottom"/>
            <w:shd w:val="clear" w:color="auto" w:fill="D7D7D7"/>
          </w:tcPr>
          <w:p>
            <w:pPr>
              <w:spacing w:after="0"/>
              <w:rPr>
                <w:sz w:val="24"/>
                <w:szCs w:val="24"/>
                <w:color w:val="auto"/>
              </w:rPr>
            </w:pPr>
          </w:p>
        </w:tc>
        <w:tc>
          <w:tcPr>
            <w:tcW w:w="860" w:type="dxa"/>
            <w:vAlign w:val="bottom"/>
            <w:gridSpan w:val="2"/>
            <w:shd w:val="clear" w:color="auto" w:fill="D7D7D7"/>
          </w:tcPr>
          <w:p>
            <w:pPr>
              <w:jc w:val="right"/>
              <w:ind w:right="100"/>
              <w:spacing w:after="0"/>
              <w:rPr>
                <w:sz w:val="20"/>
                <w:szCs w:val="20"/>
                <w:color w:val="auto"/>
              </w:rPr>
            </w:pPr>
            <w:r>
              <w:rPr>
                <w:rFonts w:ascii="Times New Roman" w:cs="Times New Roman" w:eastAsia="Times New Roman" w:hAnsi="Times New Roman"/>
                <w:sz w:val="20"/>
                <w:szCs w:val="20"/>
                <w:color w:val="auto"/>
              </w:rPr>
              <w:t>4,202</w:t>
            </w:r>
          </w:p>
        </w:tc>
        <w:tc>
          <w:tcPr>
            <w:tcW w:w="0" w:type="dxa"/>
            <w:vAlign w:val="bottom"/>
          </w:tcPr>
          <w:p>
            <w:pPr>
              <w:spacing w:after="0"/>
              <w:rPr>
                <w:sz w:val="1"/>
                <w:szCs w:val="1"/>
                <w:color w:val="auto"/>
              </w:rPr>
            </w:pPr>
          </w:p>
        </w:tc>
      </w:tr>
      <w:tr>
        <w:trPr>
          <w:trHeight w:val="298"/>
        </w:trPr>
        <w:tc>
          <w:tcPr>
            <w:tcW w:w="40" w:type="dxa"/>
            <w:vAlign w:val="bottom"/>
            <w:tcBorders>
              <w:bottom w:val="single" w:sz="8" w:color="D7D7D7"/>
            </w:tcBorders>
          </w:tcPr>
          <w:p>
            <w:pPr>
              <w:spacing w:after="0"/>
              <w:rPr>
                <w:sz w:val="24"/>
                <w:szCs w:val="24"/>
                <w:color w:val="auto"/>
              </w:rPr>
            </w:pPr>
          </w:p>
        </w:tc>
        <w:tc>
          <w:tcPr>
            <w:tcW w:w="5400" w:type="dxa"/>
            <w:vAlign w:val="bottom"/>
            <w:tcBorders>
              <w:bottom w:val="single" w:sz="8" w:color="D7D7D7"/>
            </w:tcBorders>
            <w:gridSpan w:val="2"/>
          </w:tcPr>
          <w:p>
            <w:pPr>
              <w:ind w:left="1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20"/>
                <w:szCs w:val="20"/>
                <w:color w:val="auto"/>
              </w:rPr>
              <w:t>198,571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D7D7D7"/>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163,092</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152,652</w:t>
            </w:r>
          </w:p>
        </w:tc>
        <w:tc>
          <w:tcPr>
            <w:tcW w:w="0" w:type="dxa"/>
            <w:vAlign w:val="bottom"/>
          </w:tcPr>
          <w:p>
            <w:pPr>
              <w:spacing w:after="0"/>
              <w:rPr>
                <w:sz w:val="1"/>
                <w:szCs w:val="1"/>
                <w:color w:val="auto"/>
              </w:rPr>
            </w:pPr>
          </w:p>
        </w:tc>
      </w:tr>
      <w:tr>
        <w:trPr>
          <w:trHeight w:val="290"/>
        </w:trPr>
        <w:tc>
          <w:tcPr>
            <w:tcW w:w="40" w:type="dxa"/>
            <w:vAlign w:val="bottom"/>
            <w:shd w:val="clear" w:color="auto" w:fill="D7D7D7"/>
          </w:tcPr>
          <w:p>
            <w:pPr>
              <w:spacing w:after="0"/>
              <w:rPr>
                <w:sz w:val="24"/>
                <w:szCs w:val="24"/>
                <w:color w:val="auto"/>
              </w:rPr>
            </w:pPr>
          </w:p>
        </w:tc>
        <w:tc>
          <w:tcPr>
            <w:tcW w:w="5340" w:type="dxa"/>
            <w:vAlign w:val="bottom"/>
            <w:shd w:val="clear" w:color="auto" w:fill="D7D7D7"/>
          </w:tcPr>
          <w:p>
            <w:pPr>
              <w:ind w:left="140"/>
              <w:spacing w:after="0"/>
              <w:rPr>
                <w:sz w:val="20"/>
                <w:szCs w:val="20"/>
                <w:color w:val="auto"/>
              </w:rPr>
            </w:pPr>
            <w:r>
              <w:rPr>
                <w:rFonts w:ascii="Times New Roman" w:cs="Times New Roman" w:eastAsia="Times New Roman" w:hAnsi="Times New Roman"/>
                <w:sz w:val="20"/>
                <w:szCs w:val="20"/>
                <w:color w:val="auto"/>
              </w:rPr>
              <w:t>Earnings Before Interest, Taxes, Depreciation &amp; Amortization</w:t>
            </w:r>
          </w:p>
        </w:tc>
        <w:tc>
          <w:tcPr>
            <w:tcW w:w="6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12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40" w:type="dxa"/>
            <w:vAlign w:val="bottom"/>
            <w:shd w:val="clear" w:color="auto" w:fill="D7D7D7"/>
          </w:tcPr>
          <w:p>
            <w:pPr>
              <w:spacing w:after="0"/>
              <w:rPr>
                <w:sz w:val="24"/>
                <w:szCs w:val="24"/>
                <w:color w:val="auto"/>
              </w:rPr>
            </w:pPr>
          </w:p>
        </w:tc>
        <w:tc>
          <w:tcPr>
            <w:tcW w:w="920" w:type="dxa"/>
            <w:vAlign w:val="bottom"/>
            <w:shd w:val="clear" w:color="auto" w:fill="D7D7D7"/>
          </w:tcPr>
          <w:p>
            <w:pPr>
              <w:spacing w:after="0"/>
              <w:rPr>
                <w:sz w:val="24"/>
                <w:szCs w:val="24"/>
                <w:color w:val="auto"/>
              </w:rPr>
            </w:pPr>
          </w:p>
        </w:tc>
        <w:tc>
          <w:tcPr>
            <w:tcW w:w="18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340" w:type="dxa"/>
            <w:vAlign w:val="bottom"/>
            <w:shd w:val="clear" w:color="auto" w:fill="D7D7D7"/>
          </w:tcPr>
          <w:p>
            <w:pPr>
              <w:spacing w:after="0"/>
              <w:rPr>
                <w:sz w:val="24"/>
                <w:szCs w:val="24"/>
                <w:color w:val="auto"/>
              </w:rPr>
            </w:pPr>
          </w:p>
        </w:tc>
        <w:tc>
          <w:tcPr>
            <w:tcW w:w="300" w:type="dxa"/>
            <w:vAlign w:val="bottom"/>
            <w:shd w:val="clear" w:color="auto" w:fill="D7D7D7"/>
          </w:tcPr>
          <w:p>
            <w:pPr>
              <w:spacing w:after="0"/>
              <w:rPr>
                <w:sz w:val="24"/>
                <w:szCs w:val="24"/>
                <w:color w:val="auto"/>
              </w:rPr>
            </w:pPr>
          </w:p>
        </w:tc>
        <w:tc>
          <w:tcPr>
            <w:tcW w:w="760" w:type="dxa"/>
            <w:vAlign w:val="bottom"/>
            <w:shd w:val="clear" w:color="auto" w:fill="D7D7D7"/>
          </w:tcPr>
          <w:p>
            <w:pPr>
              <w:spacing w:after="0"/>
              <w:rPr>
                <w:sz w:val="24"/>
                <w:szCs w:val="24"/>
                <w:color w:val="auto"/>
              </w:rPr>
            </w:pPr>
          </w:p>
        </w:tc>
        <w:tc>
          <w:tcPr>
            <w:tcW w:w="10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0" w:type="dxa"/>
            <w:vAlign w:val="bottom"/>
            <w:shd w:val="clear" w:color="auto" w:fill="D7D7D7"/>
          </w:tcPr>
          <w:p>
            <w:pPr>
              <w:spacing w:after="0"/>
              <w:rPr>
                <w:sz w:val="24"/>
                <w:szCs w:val="24"/>
                <w:color w:val="auto"/>
              </w:rPr>
            </w:pPr>
          </w:p>
        </w:tc>
        <w:tc>
          <w:tcPr>
            <w:tcW w:w="5340" w:type="dxa"/>
            <w:vAlign w:val="bottom"/>
            <w:shd w:val="clear" w:color="auto" w:fill="D7D7D7"/>
          </w:tcPr>
          <w:p>
            <w:pPr>
              <w:ind w:left="140"/>
              <w:spacing w:after="0"/>
              <w:rPr>
                <w:sz w:val="20"/>
                <w:szCs w:val="20"/>
                <w:color w:val="auto"/>
              </w:rPr>
            </w:pPr>
            <w:r>
              <w:rPr>
                <w:rFonts w:ascii="Times New Roman" w:cs="Times New Roman" w:eastAsia="Times New Roman" w:hAnsi="Times New Roman"/>
                <w:sz w:val="20"/>
                <w:szCs w:val="20"/>
                <w:color w:val="auto"/>
              </w:rPr>
              <w:t>("EBITDA")</w:t>
            </w:r>
          </w:p>
        </w:tc>
        <w:tc>
          <w:tcPr>
            <w:tcW w:w="6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120" w:type="dxa"/>
            <w:vAlign w:val="bottom"/>
            <w:shd w:val="clear" w:color="auto" w:fill="D7D7D7"/>
          </w:tcPr>
          <w:p>
            <w:pPr>
              <w:jc w:val="right"/>
              <w:ind w:right="139"/>
              <w:spacing w:after="0"/>
              <w:rPr>
                <w:sz w:val="20"/>
                <w:szCs w:val="20"/>
                <w:color w:val="auto"/>
              </w:rPr>
            </w:pPr>
            <w:r>
              <w:rPr>
                <w:rFonts w:ascii="Times New Roman" w:cs="Times New Roman" w:eastAsia="Times New Roman" w:hAnsi="Times New Roman"/>
                <w:sz w:val="20"/>
                <w:szCs w:val="20"/>
                <w:color w:val="auto"/>
              </w:rPr>
              <w:t>567,355</w:t>
            </w:r>
          </w:p>
        </w:tc>
        <w:tc>
          <w:tcPr>
            <w:tcW w:w="2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40" w:type="dxa"/>
            <w:vAlign w:val="bottom"/>
            <w:shd w:val="clear" w:color="auto" w:fill="D7D7D7"/>
          </w:tcPr>
          <w:p>
            <w:pPr>
              <w:spacing w:after="0"/>
              <w:rPr>
                <w:sz w:val="24"/>
                <w:szCs w:val="24"/>
                <w:color w:val="auto"/>
              </w:rPr>
            </w:pPr>
          </w:p>
        </w:tc>
        <w:tc>
          <w:tcPr>
            <w:tcW w:w="92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507,694</w:t>
            </w:r>
          </w:p>
        </w:tc>
        <w:tc>
          <w:tcPr>
            <w:tcW w:w="18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340" w:type="dxa"/>
            <w:vAlign w:val="bottom"/>
            <w:shd w:val="clear" w:color="auto" w:fill="D7D7D7"/>
          </w:tcPr>
          <w:p>
            <w:pPr>
              <w:spacing w:after="0"/>
              <w:rPr>
                <w:sz w:val="24"/>
                <w:szCs w:val="24"/>
                <w:color w:val="auto"/>
              </w:rPr>
            </w:pPr>
          </w:p>
        </w:tc>
        <w:tc>
          <w:tcPr>
            <w:tcW w:w="300" w:type="dxa"/>
            <w:vAlign w:val="bottom"/>
            <w:shd w:val="clear" w:color="auto" w:fill="D7D7D7"/>
          </w:tcPr>
          <w:p>
            <w:pPr>
              <w:spacing w:after="0"/>
              <w:rPr>
                <w:sz w:val="24"/>
                <w:szCs w:val="24"/>
                <w:color w:val="auto"/>
              </w:rPr>
            </w:pPr>
          </w:p>
        </w:tc>
        <w:tc>
          <w:tcPr>
            <w:tcW w:w="76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238,594</w:t>
            </w:r>
          </w:p>
        </w:tc>
        <w:tc>
          <w:tcPr>
            <w:tcW w:w="10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54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Gain on sale of fixed assets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auto"/>
              </w:rPr>
              <w:t>(36,461)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(28,348)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0" w:type="dxa"/>
            <w:vAlign w:val="bottom"/>
            <w:shd w:val="clear" w:color="auto" w:fill="D7D7D7"/>
          </w:tcPr>
          <w:p>
            <w:pPr>
              <w:spacing w:after="0"/>
              <w:rPr>
                <w:sz w:val="24"/>
                <w:szCs w:val="24"/>
                <w:color w:val="auto"/>
              </w:rPr>
            </w:pPr>
          </w:p>
        </w:tc>
        <w:tc>
          <w:tcPr>
            <w:tcW w:w="5340" w:type="dxa"/>
            <w:vAlign w:val="bottom"/>
            <w:shd w:val="clear" w:color="auto" w:fill="D7D7D7"/>
          </w:tcPr>
          <w:p>
            <w:pPr>
              <w:ind w:left="14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6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120" w:type="dxa"/>
            <w:vAlign w:val="bottom"/>
            <w:shd w:val="clear" w:color="auto" w:fill="D7D7D7"/>
          </w:tcPr>
          <w:p>
            <w:pPr>
              <w:jc w:val="right"/>
              <w:ind w:right="139"/>
              <w:spacing w:after="0"/>
              <w:rPr>
                <w:sz w:val="20"/>
                <w:szCs w:val="20"/>
                <w:color w:val="auto"/>
              </w:rPr>
            </w:pPr>
            <w:r>
              <w:rPr>
                <w:rFonts w:ascii="Times New Roman" w:cs="Times New Roman" w:eastAsia="Times New Roman" w:hAnsi="Times New Roman"/>
                <w:sz w:val="20"/>
                <w:szCs w:val="20"/>
                <w:color w:val="auto"/>
              </w:rPr>
              <w:t>40,320</w:t>
            </w:r>
          </w:p>
        </w:tc>
        <w:tc>
          <w:tcPr>
            <w:tcW w:w="2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40" w:type="dxa"/>
            <w:vAlign w:val="bottom"/>
            <w:shd w:val="clear" w:color="auto" w:fill="D7D7D7"/>
          </w:tcPr>
          <w:p>
            <w:pPr>
              <w:spacing w:after="0"/>
              <w:rPr>
                <w:sz w:val="24"/>
                <w:szCs w:val="24"/>
                <w:color w:val="auto"/>
              </w:rPr>
            </w:pPr>
          </w:p>
        </w:tc>
        <w:tc>
          <w:tcPr>
            <w:tcW w:w="92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25,457</w:t>
            </w:r>
          </w:p>
        </w:tc>
        <w:tc>
          <w:tcPr>
            <w:tcW w:w="18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340" w:type="dxa"/>
            <w:vAlign w:val="bottom"/>
            <w:shd w:val="clear" w:color="auto" w:fill="D7D7D7"/>
          </w:tcPr>
          <w:p>
            <w:pPr>
              <w:spacing w:after="0"/>
              <w:rPr>
                <w:sz w:val="24"/>
                <w:szCs w:val="24"/>
                <w:color w:val="auto"/>
              </w:rPr>
            </w:pPr>
          </w:p>
        </w:tc>
        <w:tc>
          <w:tcPr>
            <w:tcW w:w="300" w:type="dxa"/>
            <w:vAlign w:val="bottom"/>
            <w:shd w:val="clear" w:color="auto" w:fill="D7D7D7"/>
          </w:tcPr>
          <w:p>
            <w:pPr>
              <w:spacing w:after="0"/>
              <w:rPr>
                <w:sz w:val="24"/>
                <w:szCs w:val="24"/>
                <w:color w:val="auto"/>
              </w:rPr>
            </w:pPr>
          </w:p>
        </w:tc>
        <w:tc>
          <w:tcPr>
            <w:tcW w:w="76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9,866</w:t>
            </w:r>
          </w:p>
        </w:tc>
        <w:tc>
          <w:tcPr>
            <w:tcW w:w="10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40" w:type="dxa"/>
            <w:vAlign w:val="bottom"/>
          </w:tcPr>
          <w:p>
            <w:pPr>
              <w:spacing w:after="0"/>
              <w:rPr>
                <w:sz w:val="24"/>
                <w:szCs w:val="24"/>
                <w:color w:val="auto"/>
              </w:rPr>
            </w:pPr>
          </w:p>
        </w:tc>
        <w:tc>
          <w:tcPr>
            <w:tcW w:w="54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Loss on debt extinguishment</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20"/>
                <w:szCs w:val="20"/>
                <w:color w:val="auto"/>
              </w:rPr>
              <w:t>965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r>
        <w:trPr>
          <w:trHeight w:val="298"/>
        </w:trPr>
        <w:tc>
          <w:tcPr>
            <w:tcW w:w="40" w:type="dxa"/>
            <w:vAlign w:val="bottom"/>
            <w:shd w:val="clear" w:color="auto" w:fill="D7D7D7"/>
          </w:tcPr>
          <w:p>
            <w:pPr>
              <w:spacing w:after="0"/>
              <w:rPr>
                <w:sz w:val="24"/>
                <w:szCs w:val="24"/>
                <w:color w:val="auto"/>
              </w:rPr>
            </w:pPr>
          </w:p>
        </w:tc>
        <w:tc>
          <w:tcPr>
            <w:tcW w:w="5340" w:type="dxa"/>
            <w:vAlign w:val="bottom"/>
            <w:shd w:val="clear" w:color="auto" w:fill="D7D7D7"/>
          </w:tcPr>
          <w:p>
            <w:pPr>
              <w:ind w:left="140"/>
              <w:spacing w:after="0"/>
              <w:rPr>
                <w:sz w:val="20"/>
                <w:szCs w:val="20"/>
                <w:color w:val="auto"/>
              </w:rPr>
            </w:pPr>
            <w:r>
              <w:rPr>
                <w:rFonts w:ascii="Times New Roman" w:cs="Times New Roman" w:eastAsia="Times New Roman" w:hAnsi="Times New Roman"/>
                <w:sz w:val="20"/>
                <w:szCs w:val="20"/>
                <w:color w:val="auto"/>
              </w:rPr>
              <w:t>Acquisition integration costs</w:t>
            </w:r>
            <w:r>
              <w:rPr>
                <w:rFonts w:ascii="Times New Roman" w:cs="Times New Roman" w:eastAsia="Times New Roman" w:hAnsi="Times New Roman"/>
                <w:sz w:val="25"/>
                <w:szCs w:val="25"/>
                <w:color w:val="auto"/>
                <w:vertAlign w:val="superscript"/>
              </w:rPr>
              <w:t>2</w:t>
            </w:r>
          </w:p>
        </w:tc>
        <w:tc>
          <w:tcPr>
            <w:tcW w:w="60" w:type="dxa"/>
            <w:vAlign w:val="bottom"/>
            <w:shd w:val="clear" w:color="auto" w:fill="D7D7D7"/>
          </w:tcPr>
          <w:p>
            <w:pPr>
              <w:spacing w:after="0"/>
              <w:rPr>
                <w:sz w:val="24"/>
                <w:szCs w:val="24"/>
                <w:color w:val="auto"/>
              </w:rPr>
            </w:pPr>
          </w:p>
        </w:tc>
        <w:tc>
          <w:tcPr>
            <w:tcW w:w="20" w:type="dxa"/>
            <w:vAlign w:val="bottom"/>
            <w:tcBorders>
              <w:bottom w:val="single" w:sz="8" w:color="auto"/>
            </w:tcBorders>
            <w:shd w:val="clear" w:color="auto" w:fill="D7D7D7"/>
          </w:tcPr>
          <w:p>
            <w:pPr>
              <w:spacing w:after="0"/>
              <w:rPr>
                <w:sz w:val="24"/>
                <w:szCs w:val="24"/>
                <w:color w:val="auto"/>
              </w:rPr>
            </w:pPr>
          </w:p>
        </w:tc>
        <w:tc>
          <w:tcPr>
            <w:tcW w:w="120" w:type="dxa"/>
            <w:vAlign w:val="bottom"/>
            <w:tcBorders>
              <w:bottom w:val="single" w:sz="8" w:color="auto"/>
            </w:tcBorders>
            <w:shd w:val="clear" w:color="auto" w:fill="D7D7D7"/>
          </w:tcPr>
          <w:p>
            <w:pPr>
              <w:spacing w:after="0"/>
              <w:rPr>
                <w:sz w:val="24"/>
                <w:szCs w:val="24"/>
                <w:color w:val="auto"/>
              </w:rPr>
            </w:pPr>
          </w:p>
        </w:tc>
        <w:tc>
          <w:tcPr>
            <w:tcW w:w="1120" w:type="dxa"/>
            <w:vAlign w:val="bottom"/>
            <w:tcBorders>
              <w:bottom w:val="single" w:sz="8" w:color="auto"/>
            </w:tcBorders>
            <w:shd w:val="clear" w:color="auto" w:fill="D7D7D7"/>
          </w:tcPr>
          <w:p>
            <w:pPr>
              <w:jc w:val="right"/>
              <w:ind w:right="139"/>
              <w:spacing w:after="0"/>
              <w:rPr>
                <w:sz w:val="20"/>
                <w:szCs w:val="20"/>
                <w:color w:val="auto"/>
              </w:rPr>
            </w:pPr>
            <w:r>
              <w:rPr>
                <w:rFonts w:ascii="Times New Roman" w:cs="Times New Roman" w:eastAsia="Times New Roman" w:hAnsi="Times New Roman"/>
                <w:sz w:val="20"/>
                <w:szCs w:val="20"/>
                <w:color w:val="auto"/>
              </w:rPr>
              <w:t>4,163</w:t>
            </w:r>
          </w:p>
        </w:tc>
        <w:tc>
          <w:tcPr>
            <w:tcW w:w="20" w:type="dxa"/>
            <w:vAlign w:val="bottom"/>
            <w:tcBorders>
              <w:bottom w:val="single" w:sz="8" w:color="auto"/>
            </w:tcBorders>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40" w:type="dxa"/>
            <w:vAlign w:val="bottom"/>
            <w:tcBorders>
              <w:bottom w:val="single" w:sz="8" w:color="auto"/>
            </w:tcBorders>
            <w:shd w:val="clear" w:color="auto" w:fill="D7D7D7"/>
          </w:tcPr>
          <w:p>
            <w:pPr>
              <w:spacing w:after="0"/>
              <w:rPr>
                <w:sz w:val="24"/>
                <w:szCs w:val="24"/>
                <w:color w:val="auto"/>
              </w:rPr>
            </w:pPr>
          </w:p>
        </w:tc>
        <w:tc>
          <w:tcPr>
            <w:tcW w:w="920" w:type="dxa"/>
            <w:vAlign w:val="bottom"/>
            <w:tcBorders>
              <w:bottom w:val="single" w:sz="8" w:color="auto"/>
            </w:tcBorders>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auto"/>
            </w:tcBorders>
            <w:shd w:val="clear" w:color="auto" w:fill="D7D7D7"/>
          </w:tcPr>
          <w:p>
            <w:pPr>
              <w:spacing w:after="0"/>
              <w:rPr>
                <w:sz w:val="24"/>
                <w:szCs w:val="24"/>
                <w:color w:val="auto"/>
              </w:rPr>
            </w:pPr>
          </w:p>
        </w:tc>
        <w:tc>
          <w:tcPr>
            <w:tcW w:w="20" w:type="dxa"/>
            <w:vAlign w:val="bottom"/>
            <w:tcBorders>
              <w:bottom w:val="single" w:sz="8" w:color="auto"/>
            </w:tcBorders>
            <w:shd w:val="clear" w:color="auto" w:fill="D7D7D7"/>
          </w:tcPr>
          <w:p>
            <w:pPr>
              <w:spacing w:after="0"/>
              <w:rPr>
                <w:sz w:val="24"/>
                <w:szCs w:val="24"/>
                <w:color w:val="auto"/>
              </w:rPr>
            </w:pPr>
          </w:p>
        </w:tc>
        <w:tc>
          <w:tcPr>
            <w:tcW w:w="340" w:type="dxa"/>
            <w:vAlign w:val="bottom"/>
            <w:tcBorders>
              <w:bottom w:val="single" w:sz="8" w:color="auto"/>
            </w:tcBorders>
            <w:shd w:val="clear" w:color="auto" w:fill="D7D7D7"/>
          </w:tcPr>
          <w:p>
            <w:pPr>
              <w:spacing w:after="0"/>
              <w:rPr>
                <w:sz w:val="24"/>
                <w:szCs w:val="24"/>
                <w:color w:val="auto"/>
              </w:rPr>
            </w:pPr>
          </w:p>
        </w:tc>
        <w:tc>
          <w:tcPr>
            <w:tcW w:w="300" w:type="dxa"/>
            <w:vAlign w:val="bottom"/>
            <w:tcBorders>
              <w:bottom w:val="single" w:sz="8" w:color="auto"/>
            </w:tcBorders>
            <w:shd w:val="clear" w:color="auto" w:fill="D7D7D7"/>
          </w:tcPr>
          <w:p>
            <w:pPr>
              <w:spacing w:after="0"/>
              <w:rPr>
                <w:sz w:val="24"/>
                <w:szCs w:val="24"/>
                <w:color w:val="auto"/>
              </w:rPr>
            </w:pPr>
          </w:p>
        </w:tc>
        <w:tc>
          <w:tcPr>
            <w:tcW w:w="760" w:type="dxa"/>
            <w:vAlign w:val="bottom"/>
            <w:tcBorders>
              <w:bottom w:val="single" w:sz="8" w:color="auto"/>
            </w:tcBorders>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auto"/>
            </w:tcBorders>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0" w:type="dxa"/>
            <w:vAlign w:val="bottom"/>
          </w:tcPr>
          <w:p>
            <w:pPr>
              <w:spacing w:after="0"/>
              <w:rPr>
                <w:sz w:val="24"/>
                <w:szCs w:val="24"/>
                <w:color w:val="auto"/>
              </w:rPr>
            </w:pPr>
          </w:p>
        </w:tc>
        <w:tc>
          <w:tcPr>
            <w:tcW w:w="54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Non-GAAP Adjusted EBITDA</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20"/>
                <w:szCs w:val="20"/>
                <w:color w:val="auto"/>
              </w:rPr>
              <w:t>576,342</w:t>
            </w:r>
          </w:p>
        </w:tc>
        <w:tc>
          <w:tcPr>
            <w:tcW w:w="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504,803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right"/>
              <w:ind w:right="19"/>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244,319</w:t>
            </w:r>
          </w:p>
        </w:tc>
        <w:tc>
          <w:tcPr>
            <w:tcW w:w="0" w:type="dxa"/>
            <w:vAlign w:val="bottom"/>
          </w:tcPr>
          <w:p>
            <w:pPr>
              <w:spacing w:after="0"/>
              <w:rPr>
                <w:sz w:val="1"/>
                <w:szCs w:val="1"/>
                <w:color w:val="auto"/>
              </w:rPr>
            </w:pPr>
          </w:p>
        </w:tc>
      </w:tr>
      <w:tr>
        <w:trPr>
          <w:trHeight w:val="218"/>
        </w:trPr>
        <w:tc>
          <w:tcPr>
            <w:tcW w:w="40" w:type="dxa"/>
            <w:vAlign w:val="bottom"/>
            <w:tcBorders>
              <w:top w:val="single" w:sz="8" w:color="D7D7D7"/>
            </w:tcBorders>
            <w:shd w:val="clear" w:color="auto" w:fill="D7D7D7"/>
          </w:tcPr>
          <w:p>
            <w:pPr>
              <w:spacing w:after="0"/>
              <w:rPr>
                <w:sz w:val="18"/>
                <w:szCs w:val="18"/>
                <w:color w:val="auto"/>
              </w:rPr>
            </w:pPr>
          </w:p>
        </w:tc>
        <w:tc>
          <w:tcPr>
            <w:tcW w:w="5400" w:type="dxa"/>
            <w:vAlign w:val="bottom"/>
            <w:tcBorders>
              <w:top w:val="single" w:sz="8" w:color="D7D7D7"/>
            </w:tcBorders>
            <w:gridSpan w:val="2"/>
            <w:shd w:val="clear" w:color="auto" w:fill="D7D7D7"/>
          </w:tcPr>
          <w:p>
            <w:pPr>
              <w:ind w:left="240"/>
              <w:spacing w:after="0" w:line="218" w:lineRule="exact"/>
              <w:rPr>
                <w:sz w:val="20"/>
                <w:szCs w:val="20"/>
                <w:color w:val="auto"/>
              </w:rPr>
            </w:pPr>
            <w:r>
              <w:rPr>
                <w:rFonts w:ascii="Times New Roman" w:cs="Times New Roman" w:eastAsia="Times New Roman" w:hAnsi="Times New Roman"/>
                <w:sz w:val="20"/>
                <w:szCs w:val="20"/>
                <w:i w:val="1"/>
                <w:iCs w:val="1"/>
                <w:color w:val="auto"/>
              </w:rPr>
              <w:t>Non-GAAP Adjusted EBITDA % of contract revenues</w:t>
            </w:r>
          </w:p>
        </w:tc>
        <w:tc>
          <w:tcPr>
            <w:tcW w:w="20" w:type="dxa"/>
            <w:vAlign w:val="bottom"/>
            <w:tcBorders>
              <w:top w:val="single" w:sz="8" w:color="auto"/>
            </w:tcBorders>
            <w:shd w:val="clear" w:color="auto" w:fill="D7D7D7"/>
          </w:tcPr>
          <w:p>
            <w:pPr>
              <w:spacing w:after="0"/>
              <w:rPr>
                <w:sz w:val="18"/>
                <w:szCs w:val="18"/>
                <w:color w:val="auto"/>
              </w:rPr>
            </w:pPr>
          </w:p>
        </w:tc>
        <w:tc>
          <w:tcPr>
            <w:tcW w:w="120" w:type="dxa"/>
            <w:vAlign w:val="bottom"/>
            <w:tcBorders>
              <w:top w:val="single" w:sz="8" w:color="auto"/>
            </w:tcBorders>
            <w:shd w:val="clear" w:color="auto" w:fill="D7D7D7"/>
          </w:tcPr>
          <w:p>
            <w:pPr>
              <w:spacing w:after="0"/>
              <w:rPr>
                <w:sz w:val="18"/>
                <w:szCs w:val="18"/>
                <w:color w:val="auto"/>
              </w:rPr>
            </w:pPr>
          </w:p>
        </w:tc>
        <w:tc>
          <w:tcPr>
            <w:tcW w:w="1120" w:type="dxa"/>
            <w:vAlign w:val="bottom"/>
            <w:tcBorders>
              <w:top w:val="single" w:sz="8" w:color="auto"/>
            </w:tcBorders>
            <w:shd w:val="clear" w:color="auto" w:fill="D7D7D7"/>
          </w:tcPr>
          <w:p>
            <w:pPr>
              <w:jc w:val="right"/>
              <w:spacing w:after="0" w:line="218" w:lineRule="exact"/>
              <w:rPr>
                <w:sz w:val="20"/>
                <w:szCs w:val="20"/>
                <w:color w:val="auto"/>
              </w:rPr>
            </w:pPr>
            <w:r>
              <w:rPr>
                <w:rFonts w:ascii="Times New Roman" w:cs="Times New Roman" w:eastAsia="Times New Roman" w:hAnsi="Times New Roman"/>
                <w:sz w:val="20"/>
                <w:szCs w:val="20"/>
                <w:i w:val="1"/>
                <w:iCs w:val="1"/>
                <w:color w:val="auto"/>
              </w:rPr>
              <w:t>12.3 %</w:t>
            </w:r>
          </w:p>
        </w:tc>
        <w:tc>
          <w:tcPr>
            <w:tcW w:w="20" w:type="dxa"/>
            <w:vAlign w:val="bottom"/>
            <w:tcBorders>
              <w:top w:val="single" w:sz="8" w:color="auto"/>
            </w:tcBorders>
            <w:shd w:val="clear" w:color="auto" w:fill="D7D7D7"/>
          </w:tcPr>
          <w:p>
            <w:pPr>
              <w:spacing w:after="0"/>
              <w:rPr>
                <w:sz w:val="18"/>
                <w:szCs w:val="18"/>
                <w:color w:val="auto"/>
              </w:rPr>
            </w:pPr>
          </w:p>
        </w:tc>
        <w:tc>
          <w:tcPr>
            <w:tcW w:w="120" w:type="dxa"/>
            <w:vAlign w:val="bottom"/>
            <w:tcBorders>
              <w:top w:val="single" w:sz="8" w:color="D7D7D7"/>
            </w:tcBorders>
            <w:shd w:val="clear" w:color="auto" w:fill="D7D7D7"/>
          </w:tcPr>
          <w:p>
            <w:pPr>
              <w:spacing w:after="0"/>
              <w:rPr>
                <w:sz w:val="18"/>
                <w:szCs w:val="18"/>
                <w:color w:val="auto"/>
              </w:rPr>
            </w:pPr>
          </w:p>
        </w:tc>
        <w:tc>
          <w:tcPr>
            <w:tcW w:w="140" w:type="dxa"/>
            <w:vAlign w:val="bottom"/>
            <w:tcBorders>
              <w:top w:val="single" w:sz="8" w:color="auto"/>
            </w:tcBorders>
            <w:shd w:val="clear" w:color="auto" w:fill="D7D7D7"/>
          </w:tcPr>
          <w:p>
            <w:pPr>
              <w:spacing w:after="0"/>
              <w:rPr>
                <w:sz w:val="18"/>
                <w:szCs w:val="18"/>
                <w:color w:val="auto"/>
              </w:rPr>
            </w:pPr>
          </w:p>
        </w:tc>
        <w:tc>
          <w:tcPr>
            <w:tcW w:w="1100" w:type="dxa"/>
            <w:vAlign w:val="bottom"/>
            <w:tcBorders>
              <w:top w:val="single" w:sz="8" w:color="auto"/>
            </w:tcBorders>
            <w:gridSpan w:val="2"/>
            <w:shd w:val="clear" w:color="auto" w:fill="D7D7D7"/>
          </w:tcPr>
          <w:p>
            <w:pPr>
              <w:jc w:val="right"/>
              <w:spacing w:after="0" w:line="218" w:lineRule="exact"/>
              <w:rPr>
                <w:sz w:val="20"/>
                <w:szCs w:val="20"/>
                <w:color w:val="auto"/>
              </w:rPr>
            </w:pPr>
            <w:r>
              <w:rPr>
                <w:rFonts w:ascii="Times New Roman" w:cs="Times New Roman" w:eastAsia="Times New Roman" w:hAnsi="Times New Roman"/>
                <w:sz w:val="20"/>
                <w:szCs w:val="20"/>
                <w:i w:val="1"/>
                <w:iCs w:val="1"/>
                <w:color w:val="auto"/>
              </w:rPr>
              <w:t>12.1 %</w:t>
            </w:r>
          </w:p>
        </w:tc>
        <w:tc>
          <w:tcPr>
            <w:tcW w:w="20" w:type="dxa"/>
            <w:vAlign w:val="bottom"/>
            <w:tcBorders>
              <w:top w:val="single" w:sz="8" w:color="auto"/>
            </w:tcBorders>
            <w:shd w:val="clear" w:color="auto" w:fill="D7D7D7"/>
          </w:tcPr>
          <w:p>
            <w:pPr>
              <w:spacing w:after="0"/>
              <w:rPr>
                <w:sz w:val="18"/>
                <w:szCs w:val="18"/>
                <w:color w:val="auto"/>
              </w:rPr>
            </w:pPr>
          </w:p>
        </w:tc>
        <w:tc>
          <w:tcPr>
            <w:tcW w:w="340" w:type="dxa"/>
            <w:vAlign w:val="bottom"/>
            <w:tcBorders>
              <w:top w:val="single" w:sz="8" w:color="auto"/>
            </w:tcBorders>
            <w:shd w:val="clear" w:color="auto" w:fill="D7D7D7"/>
          </w:tcPr>
          <w:p>
            <w:pPr>
              <w:spacing w:after="0"/>
              <w:rPr>
                <w:sz w:val="18"/>
                <w:szCs w:val="18"/>
                <w:color w:val="auto"/>
              </w:rPr>
            </w:pPr>
          </w:p>
        </w:tc>
        <w:tc>
          <w:tcPr>
            <w:tcW w:w="300" w:type="dxa"/>
            <w:vAlign w:val="bottom"/>
            <w:tcBorders>
              <w:top w:val="single" w:sz="8" w:color="auto"/>
            </w:tcBorders>
            <w:shd w:val="clear" w:color="auto" w:fill="D7D7D7"/>
          </w:tcPr>
          <w:p>
            <w:pPr>
              <w:spacing w:after="0"/>
              <w:rPr>
                <w:sz w:val="18"/>
                <w:szCs w:val="18"/>
                <w:color w:val="auto"/>
              </w:rPr>
            </w:pPr>
          </w:p>
        </w:tc>
        <w:tc>
          <w:tcPr>
            <w:tcW w:w="860" w:type="dxa"/>
            <w:vAlign w:val="bottom"/>
            <w:tcBorders>
              <w:top w:val="single" w:sz="8" w:color="auto"/>
            </w:tcBorders>
            <w:gridSpan w:val="2"/>
            <w:shd w:val="clear" w:color="auto" w:fill="D7D7D7"/>
          </w:tcPr>
          <w:p>
            <w:pPr>
              <w:jc w:val="right"/>
              <w:ind w:right="100"/>
              <w:spacing w:after="0" w:line="218" w:lineRule="exact"/>
              <w:rPr>
                <w:sz w:val="20"/>
                <w:szCs w:val="20"/>
                <w:color w:val="auto"/>
              </w:rPr>
            </w:pPr>
            <w:r>
              <w:rPr>
                <w:rFonts w:ascii="Times New Roman" w:cs="Times New Roman" w:eastAsia="Times New Roman" w:hAnsi="Times New Roman"/>
                <w:sz w:val="20"/>
                <w:szCs w:val="20"/>
                <w:i w:val="1"/>
                <w:iCs w:val="1"/>
                <w:color w:val="auto"/>
              </w:rPr>
              <w:t>7.8 %</w:t>
            </w:r>
          </w:p>
        </w:tc>
        <w:tc>
          <w:tcPr>
            <w:tcW w:w="0" w:type="dxa"/>
            <w:vAlign w:val="bottom"/>
          </w:tcPr>
          <w:p>
            <w:pPr>
              <w:spacing w:after="0"/>
              <w:rPr>
                <w:sz w:val="1"/>
                <w:szCs w:val="1"/>
                <w:color w:val="auto"/>
              </w:rPr>
            </w:pPr>
          </w:p>
        </w:tc>
      </w:tr>
      <w:tr>
        <w:trPr>
          <w:trHeight w:val="317"/>
        </w:trPr>
        <w:tc>
          <w:tcPr>
            <w:tcW w:w="40" w:type="dxa"/>
            <w:vAlign w:val="bottom"/>
          </w:tcPr>
          <w:p>
            <w:pPr>
              <w:spacing w:after="0"/>
              <w:rPr>
                <w:sz w:val="24"/>
                <w:szCs w:val="24"/>
                <w:color w:val="auto"/>
              </w:rPr>
            </w:pPr>
          </w:p>
        </w:tc>
        <w:tc>
          <w:tcPr>
            <w:tcW w:w="54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shd w:val="clear" w:color="auto" w:fill="D7D7D7"/>
          </w:tcPr>
          <w:p>
            <w:pPr>
              <w:spacing w:after="0"/>
              <w:rPr>
                <w:sz w:val="24"/>
                <w:szCs w:val="24"/>
                <w:color w:val="auto"/>
              </w:rPr>
            </w:pPr>
          </w:p>
        </w:tc>
        <w:tc>
          <w:tcPr>
            <w:tcW w:w="5340" w:type="dxa"/>
            <w:vAlign w:val="bottom"/>
            <w:shd w:val="clear" w:color="auto" w:fill="D7D7D7"/>
          </w:tcPr>
          <w:p>
            <w:pPr>
              <w:spacing w:after="0"/>
              <w:rPr>
                <w:sz w:val="20"/>
                <w:szCs w:val="20"/>
                <w:color w:val="auto"/>
              </w:rPr>
            </w:pPr>
            <w:r>
              <w:rPr>
                <w:rFonts w:ascii="Times New Roman" w:cs="Times New Roman" w:eastAsia="Times New Roman" w:hAnsi="Times New Roman"/>
                <w:sz w:val="20"/>
                <w:szCs w:val="20"/>
                <w:color w:val="auto"/>
              </w:rPr>
              <w:t>Non-GAAP Adjusted EBITDA, excluding impacts of a change</w:t>
            </w:r>
          </w:p>
        </w:tc>
        <w:tc>
          <w:tcPr>
            <w:tcW w:w="6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12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40" w:type="dxa"/>
            <w:vAlign w:val="bottom"/>
            <w:shd w:val="clear" w:color="auto" w:fill="D7D7D7"/>
          </w:tcPr>
          <w:p>
            <w:pPr>
              <w:spacing w:after="0"/>
              <w:rPr>
                <w:sz w:val="24"/>
                <w:szCs w:val="24"/>
                <w:color w:val="auto"/>
              </w:rPr>
            </w:pPr>
          </w:p>
        </w:tc>
        <w:tc>
          <w:tcPr>
            <w:tcW w:w="920" w:type="dxa"/>
            <w:vAlign w:val="bottom"/>
            <w:shd w:val="clear" w:color="auto" w:fill="D7D7D7"/>
          </w:tcPr>
          <w:p>
            <w:pPr>
              <w:spacing w:after="0"/>
              <w:rPr>
                <w:sz w:val="24"/>
                <w:szCs w:val="24"/>
                <w:color w:val="auto"/>
              </w:rPr>
            </w:pPr>
          </w:p>
        </w:tc>
        <w:tc>
          <w:tcPr>
            <w:tcW w:w="18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340" w:type="dxa"/>
            <w:vAlign w:val="bottom"/>
            <w:shd w:val="clear" w:color="auto" w:fill="D7D7D7"/>
          </w:tcPr>
          <w:p>
            <w:pPr>
              <w:spacing w:after="0"/>
              <w:rPr>
                <w:sz w:val="24"/>
                <w:szCs w:val="24"/>
                <w:color w:val="auto"/>
              </w:rPr>
            </w:pPr>
          </w:p>
        </w:tc>
        <w:tc>
          <w:tcPr>
            <w:tcW w:w="300" w:type="dxa"/>
            <w:vAlign w:val="bottom"/>
            <w:shd w:val="clear" w:color="auto" w:fill="D7D7D7"/>
          </w:tcPr>
          <w:p>
            <w:pPr>
              <w:spacing w:after="0"/>
              <w:rPr>
                <w:sz w:val="24"/>
                <w:szCs w:val="24"/>
                <w:color w:val="auto"/>
              </w:rPr>
            </w:pPr>
          </w:p>
        </w:tc>
        <w:tc>
          <w:tcPr>
            <w:tcW w:w="760" w:type="dxa"/>
            <w:vAlign w:val="bottom"/>
            <w:shd w:val="clear" w:color="auto" w:fill="D7D7D7"/>
          </w:tcPr>
          <w:p>
            <w:pPr>
              <w:spacing w:after="0"/>
              <w:rPr>
                <w:sz w:val="24"/>
                <w:szCs w:val="24"/>
                <w:color w:val="auto"/>
              </w:rPr>
            </w:pPr>
          </w:p>
        </w:tc>
        <w:tc>
          <w:tcPr>
            <w:tcW w:w="10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0" w:type="dxa"/>
            <w:vAlign w:val="bottom"/>
            <w:shd w:val="clear" w:color="auto" w:fill="D7D7D7"/>
          </w:tcPr>
          <w:p>
            <w:pPr>
              <w:spacing w:after="0"/>
              <w:rPr>
                <w:sz w:val="24"/>
                <w:szCs w:val="24"/>
                <w:color w:val="auto"/>
              </w:rPr>
            </w:pPr>
          </w:p>
        </w:tc>
        <w:tc>
          <w:tcPr>
            <w:tcW w:w="5340" w:type="dxa"/>
            <w:vAlign w:val="bottom"/>
            <w:shd w:val="clear" w:color="auto" w:fill="D7D7D7"/>
          </w:tcPr>
          <w:p>
            <w:pPr>
              <w:spacing w:after="0" w:line="282" w:lineRule="exact"/>
              <w:rPr>
                <w:sz w:val="20"/>
                <w:szCs w:val="20"/>
                <w:color w:val="auto"/>
              </w:rPr>
            </w:pPr>
            <w:r>
              <w:rPr>
                <w:rFonts w:ascii="Times New Roman" w:cs="Times New Roman" w:eastAsia="Times New Roman" w:hAnsi="Times New Roman"/>
                <w:sz w:val="20"/>
                <w:szCs w:val="20"/>
                <w:color w:val="auto"/>
              </w:rPr>
              <w:t>order and closeout of several projects</w:t>
            </w:r>
            <w:r>
              <w:rPr>
                <w:rFonts w:ascii="Times New Roman" w:cs="Times New Roman" w:eastAsia="Times New Roman" w:hAnsi="Times New Roman"/>
                <w:sz w:val="25"/>
                <w:szCs w:val="25"/>
                <w:color w:val="auto"/>
                <w:vertAlign w:val="superscript"/>
              </w:rPr>
              <w:t>3</w:t>
            </w:r>
          </w:p>
        </w:tc>
        <w:tc>
          <w:tcPr>
            <w:tcW w:w="6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12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4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481,182</w:t>
            </w:r>
          </w:p>
        </w:tc>
        <w:tc>
          <w:tcPr>
            <w:tcW w:w="18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340" w:type="dxa"/>
            <w:vAlign w:val="bottom"/>
            <w:shd w:val="clear" w:color="auto" w:fill="D7D7D7"/>
          </w:tcPr>
          <w:p>
            <w:pPr>
              <w:spacing w:after="0"/>
              <w:rPr>
                <w:sz w:val="24"/>
                <w:szCs w:val="24"/>
                <w:color w:val="auto"/>
              </w:rPr>
            </w:pPr>
          </w:p>
        </w:tc>
        <w:tc>
          <w:tcPr>
            <w:tcW w:w="300" w:type="dxa"/>
            <w:vAlign w:val="bottom"/>
            <w:shd w:val="clear" w:color="auto" w:fill="D7D7D7"/>
          </w:tcPr>
          <w:p>
            <w:pPr>
              <w:spacing w:after="0"/>
              <w:rPr>
                <w:sz w:val="24"/>
                <w:szCs w:val="24"/>
                <w:color w:val="auto"/>
              </w:rPr>
            </w:pPr>
          </w:p>
        </w:tc>
        <w:tc>
          <w:tcPr>
            <w:tcW w:w="760" w:type="dxa"/>
            <w:vAlign w:val="bottom"/>
            <w:shd w:val="clear" w:color="auto" w:fill="D7D7D7"/>
          </w:tcPr>
          <w:p>
            <w:pPr>
              <w:spacing w:after="0"/>
              <w:rPr>
                <w:sz w:val="24"/>
                <w:szCs w:val="24"/>
                <w:color w:val="auto"/>
              </w:rPr>
            </w:pPr>
          </w:p>
        </w:tc>
        <w:tc>
          <w:tcPr>
            <w:tcW w:w="10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Contract revenues, excluding impacts of a change order and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closeout of several projects</w:t>
            </w:r>
            <w:r>
              <w:rPr>
                <w:rFonts w:ascii="Times New Roman" w:cs="Times New Roman" w:eastAsia="Times New Roman" w:hAnsi="Times New Roman"/>
                <w:sz w:val="25"/>
                <w:szCs w:val="25"/>
                <w:color w:val="auto"/>
                <w:vertAlign w:val="superscript"/>
              </w:rPr>
              <w:t>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4,149,035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0" w:type="dxa"/>
            <w:vAlign w:val="bottom"/>
            <w:shd w:val="clear" w:color="auto" w:fill="D7D7D7"/>
          </w:tcPr>
          <w:p>
            <w:pPr>
              <w:spacing w:after="0"/>
              <w:rPr>
                <w:sz w:val="24"/>
                <w:szCs w:val="24"/>
                <w:color w:val="auto"/>
              </w:rPr>
            </w:pPr>
          </w:p>
        </w:tc>
        <w:tc>
          <w:tcPr>
            <w:tcW w:w="5340" w:type="dxa"/>
            <w:vAlign w:val="bottom"/>
            <w:shd w:val="clear" w:color="auto" w:fill="D7D7D7"/>
          </w:tcPr>
          <w:p>
            <w:pPr>
              <w:spacing w:after="0"/>
              <w:rPr>
                <w:sz w:val="20"/>
                <w:szCs w:val="20"/>
                <w:color w:val="auto"/>
              </w:rPr>
            </w:pPr>
            <w:r>
              <w:rPr>
                <w:rFonts w:ascii="Times New Roman" w:cs="Times New Roman" w:eastAsia="Times New Roman" w:hAnsi="Times New Roman"/>
                <w:sz w:val="20"/>
                <w:szCs w:val="20"/>
                <w:i w:val="1"/>
                <w:iCs w:val="1"/>
                <w:color w:val="auto"/>
              </w:rPr>
              <w:t>Non-GAAP Adjusted EBITDA % of contract revenues, excluding</w:t>
            </w:r>
          </w:p>
        </w:tc>
        <w:tc>
          <w:tcPr>
            <w:tcW w:w="6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12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40" w:type="dxa"/>
            <w:vAlign w:val="bottom"/>
            <w:shd w:val="clear" w:color="auto" w:fill="D7D7D7"/>
          </w:tcPr>
          <w:p>
            <w:pPr>
              <w:spacing w:after="0"/>
              <w:rPr>
                <w:sz w:val="24"/>
                <w:szCs w:val="24"/>
                <w:color w:val="auto"/>
              </w:rPr>
            </w:pPr>
          </w:p>
        </w:tc>
        <w:tc>
          <w:tcPr>
            <w:tcW w:w="920" w:type="dxa"/>
            <w:vAlign w:val="bottom"/>
            <w:shd w:val="clear" w:color="auto" w:fill="D7D7D7"/>
          </w:tcPr>
          <w:p>
            <w:pPr>
              <w:spacing w:after="0"/>
              <w:rPr>
                <w:sz w:val="24"/>
                <w:szCs w:val="24"/>
                <w:color w:val="auto"/>
              </w:rPr>
            </w:pPr>
          </w:p>
        </w:tc>
        <w:tc>
          <w:tcPr>
            <w:tcW w:w="18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340" w:type="dxa"/>
            <w:vAlign w:val="bottom"/>
            <w:shd w:val="clear" w:color="auto" w:fill="D7D7D7"/>
          </w:tcPr>
          <w:p>
            <w:pPr>
              <w:spacing w:after="0"/>
              <w:rPr>
                <w:sz w:val="24"/>
                <w:szCs w:val="24"/>
                <w:color w:val="auto"/>
              </w:rPr>
            </w:pPr>
          </w:p>
        </w:tc>
        <w:tc>
          <w:tcPr>
            <w:tcW w:w="300" w:type="dxa"/>
            <w:vAlign w:val="bottom"/>
            <w:shd w:val="clear" w:color="auto" w:fill="D7D7D7"/>
          </w:tcPr>
          <w:p>
            <w:pPr>
              <w:spacing w:after="0"/>
              <w:rPr>
                <w:sz w:val="24"/>
                <w:szCs w:val="24"/>
                <w:color w:val="auto"/>
              </w:rPr>
            </w:pPr>
          </w:p>
        </w:tc>
        <w:tc>
          <w:tcPr>
            <w:tcW w:w="760" w:type="dxa"/>
            <w:vAlign w:val="bottom"/>
            <w:shd w:val="clear" w:color="auto" w:fill="D7D7D7"/>
          </w:tcPr>
          <w:p>
            <w:pPr>
              <w:spacing w:after="0"/>
              <w:rPr>
                <w:sz w:val="24"/>
                <w:szCs w:val="24"/>
                <w:color w:val="auto"/>
              </w:rPr>
            </w:pPr>
          </w:p>
        </w:tc>
        <w:tc>
          <w:tcPr>
            <w:tcW w:w="10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D7D7D7"/>
          </w:tcPr>
          <w:p>
            <w:pPr>
              <w:spacing w:after="0"/>
              <w:rPr>
                <w:sz w:val="24"/>
                <w:szCs w:val="24"/>
                <w:color w:val="auto"/>
              </w:rPr>
            </w:pPr>
          </w:p>
        </w:tc>
        <w:tc>
          <w:tcPr>
            <w:tcW w:w="5340" w:type="dxa"/>
            <w:vAlign w:val="bottom"/>
            <w:shd w:val="clear" w:color="auto" w:fill="D7D7D7"/>
          </w:tcPr>
          <w:p>
            <w:pPr>
              <w:spacing w:after="0" w:line="278" w:lineRule="exact"/>
              <w:rPr>
                <w:sz w:val="20"/>
                <w:szCs w:val="20"/>
                <w:color w:val="auto"/>
              </w:rPr>
            </w:pPr>
            <w:r>
              <w:rPr>
                <w:rFonts w:ascii="Times New Roman" w:cs="Times New Roman" w:eastAsia="Times New Roman" w:hAnsi="Times New Roman"/>
                <w:sz w:val="20"/>
                <w:szCs w:val="20"/>
                <w:i w:val="1"/>
                <w:iCs w:val="1"/>
                <w:color w:val="auto"/>
              </w:rPr>
              <w:t>impacts of a change order and closeout of several projects</w:t>
            </w:r>
            <w:r>
              <w:rPr>
                <w:rFonts w:ascii="Times New Roman" w:cs="Times New Roman" w:eastAsia="Times New Roman" w:hAnsi="Times New Roman"/>
                <w:sz w:val="25"/>
                <w:szCs w:val="25"/>
                <w:i w:val="1"/>
                <w:iCs w:val="1"/>
                <w:color w:val="auto"/>
                <w:vertAlign w:val="superscript"/>
              </w:rPr>
              <w:t>3</w:t>
            </w:r>
          </w:p>
        </w:tc>
        <w:tc>
          <w:tcPr>
            <w:tcW w:w="6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12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120" w:type="dxa"/>
            <w:vAlign w:val="bottom"/>
            <w:shd w:val="clear" w:color="auto" w:fill="D7D7D7"/>
          </w:tcPr>
          <w:p>
            <w:pPr>
              <w:spacing w:after="0"/>
              <w:rPr>
                <w:sz w:val="24"/>
                <w:szCs w:val="24"/>
                <w:color w:val="auto"/>
              </w:rPr>
            </w:pPr>
          </w:p>
        </w:tc>
        <w:tc>
          <w:tcPr>
            <w:tcW w:w="140" w:type="dxa"/>
            <w:vAlign w:val="bottom"/>
            <w:shd w:val="clear" w:color="auto" w:fill="D7D7D7"/>
          </w:tcPr>
          <w:p>
            <w:pPr>
              <w:spacing w:after="0"/>
              <w:rPr>
                <w:sz w:val="24"/>
                <w:szCs w:val="24"/>
                <w:color w:val="auto"/>
              </w:rPr>
            </w:pPr>
          </w:p>
        </w:tc>
        <w:tc>
          <w:tcPr>
            <w:tcW w:w="92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i w:val="1"/>
                <w:iCs w:val="1"/>
                <w:color w:val="auto"/>
              </w:rPr>
              <w:t>11.6</w:t>
            </w:r>
          </w:p>
        </w:tc>
        <w:tc>
          <w:tcPr>
            <w:tcW w:w="18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i w:val="1"/>
                <w:iCs w:val="1"/>
                <w:color w:val="auto"/>
                <w:w w:val="95"/>
              </w:rPr>
              <w:t>%</w:t>
            </w:r>
          </w:p>
        </w:tc>
        <w:tc>
          <w:tcPr>
            <w:tcW w:w="20" w:type="dxa"/>
            <w:vAlign w:val="bottom"/>
            <w:shd w:val="clear" w:color="auto" w:fill="D7D7D7"/>
          </w:tcPr>
          <w:p>
            <w:pPr>
              <w:spacing w:after="0"/>
              <w:rPr>
                <w:sz w:val="24"/>
                <w:szCs w:val="24"/>
                <w:color w:val="auto"/>
              </w:rPr>
            </w:pPr>
          </w:p>
        </w:tc>
        <w:tc>
          <w:tcPr>
            <w:tcW w:w="340" w:type="dxa"/>
            <w:vAlign w:val="bottom"/>
            <w:shd w:val="clear" w:color="auto" w:fill="D7D7D7"/>
          </w:tcPr>
          <w:p>
            <w:pPr>
              <w:spacing w:after="0"/>
              <w:rPr>
                <w:sz w:val="24"/>
                <w:szCs w:val="24"/>
                <w:color w:val="auto"/>
              </w:rPr>
            </w:pPr>
          </w:p>
        </w:tc>
        <w:tc>
          <w:tcPr>
            <w:tcW w:w="300" w:type="dxa"/>
            <w:vAlign w:val="bottom"/>
            <w:shd w:val="clear" w:color="auto" w:fill="D7D7D7"/>
          </w:tcPr>
          <w:p>
            <w:pPr>
              <w:spacing w:after="0"/>
              <w:rPr>
                <w:sz w:val="24"/>
                <w:szCs w:val="24"/>
                <w:color w:val="auto"/>
              </w:rPr>
            </w:pPr>
          </w:p>
        </w:tc>
        <w:tc>
          <w:tcPr>
            <w:tcW w:w="760" w:type="dxa"/>
            <w:vAlign w:val="bottom"/>
            <w:shd w:val="clear" w:color="auto" w:fill="D7D7D7"/>
          </w:tcPr>
          <w:p>
            <w:pPr>
              <w:spacing w:after="0"/>
              <w:rPr>
                <w:sz w:val="24"/>
                <w:szCs w:val="24"/>
                <w:color w:val="auto"/>
              </w:rPr>
            </w:pPr>
          </w:p>
        </w:tc>
        <w:tc>
          <w:tcPr>
            <w:tcW w:w="10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5217795</wp:posOffset>
                </wp:positionH>
                <wp:positionV relativeFrom="paragraph">
                  <wp:posOffset>-3432175</wp:posOffset>
                </wp:positionV>
                <wp:extent cx="0" cy="188595"/>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8595"/>
                        </a:xfrm>
                        <a:prstGeom prst="line">
                          <a:avLst/>
                        </a:prstGeom>
                        <a:solidFill>
                          <a:srgbClr val="FFFFFF"/>
                        </a:solidFill>
                        <a:ln w="12178">
                          <a:solidFill>
                            <a:srgbClr val="FFFFFF"/>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85pt,-270.2499pt" to="410.85pt,-255.3999pt" o:allowincell="f" strokecolor="#FFFFFF" strokeweight="0.9589pt"/>
            </w:pict>
          </mc:Fallback>
        </mc:AlternateContent>
        <mc:AlternateContent>
          <mc:Choice Requires="wps">
            <w:drawing>
              <wp:anchor simplePos="0" relativeHeight="251657728" behindDoc="1" locked="0" layoutInCell="0" allowOverlap="1">
                <wp:simplePos x="0" y="0"/>
                <wp:positionH relativeFrom="column">
                  <wp:posOffset>5360670</wp:posOffset>
                </wp:positionH>
                <wp:positionV relativeFrom="paragraph">
                  <wp:posOffset>-2300605</wp:posOffset>
                </wp:positionV>
                <wp:extent cx="668020"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8020" cy="4763"/>
                        </a:xfrm>
                        <a:prstGeom prst="line">
                          <a:avLst/>
                        </a:prstGeom>
                        <a:solidFill>
                          <a:srgbClr val="FFFFFF"/>
                        </a:solidFill>
                        <a:ln w="12191">
                          <a:solidFill>
                            <a:srgbClr val="FFFFFF"/>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2.1pt,-181.1499pt" to="474.7pt,-181.1499pt" o:allowincell="f" strokecolor="#FFFFFF" strokeweight="0.9599pt"/>
            </w:pict>
          </mc:Fallback>
        </mc:AlternateContent>
      </w:r>
    </w:p>
    <w:p>
      <w:pPr>
        <w:sectPr>
          <w:pgSz w:w="11880" w:h="15480" w:orient="portrait"/>
          <w:cols w:equalWidth="0" w:num="1">
            <w:col w:w="9600"/>
          </w:cols>
          <w:pgMar w:left="1000" w:top="8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9"/>
          <w:szCs w:val="19"/>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283845</wp:posOffset>
            </wp:positionV>
            <wp:extent cx="76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4">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283845</wp:posOffset>
            </wp:positionV>
            <wp:extent cx="76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5">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600"/>
          </w:cols>
          <w:pgMar w:left="1000" w:top="871" w:right="1280" w:bottom="0" w:gutter="0" w:footer="0" w:header="0"/>
          <w:type w:val="continuous"/>
        </w:sectPr>
      </w:pPr>
    </w:p>
    <w:bookmarkStart w:id="91" w:name="page92"/>
    <w:bookmarkEnd w:id="91"/>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t>RECONCILIATION OF NON-GAAP</w:t>
      </w: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FINANCIAL MEASURES</w:t>
      </w: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TO COMPARABLE GAAP FINANCIAL MEASURES (CONTINUED)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Fiscal Year</w:t>
            </w:r>
          </w:p>
        </w:tc>
        <w:tc>
          <w:tcPr>
            <w:tcW w:w="200" w:type="dxa"/>
            <w:vAlign w:val="bottom"/>
          </w:tcPr>
          <w:p>
            <w:pPr>
              <w:spacing w:after="0"/>
              <w:rPr>
                <w:sz w:val="24"/>
                <w:szCs w:val="24"/>
                <w:color w:val="auto"/>
              </w:rPr>
            </w:pPr>
          </w:p>
        </w:tc>
        <w:tc>
          <w:tcPr>
            <w:tcW w:w="1240" w:type="dxa"/>
            <w:vAlign w:val="bottom"/>
            <w:gridSpan w:val="4"/>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Fiscal Year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Ended</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January 25,</w:t>
            </w:r>
          </w:p>
        </w:tc>
        <w:tc>
          <w:tcPr>
            <w:tcW w:w="200" w:type="dxa"/>
            <w:vAlign w:val="bottom"/>
          </w:tcPr>
          <w:p>
            <w:pPr>
              <w:spacing w:after="0"/>
              <w:rPr>
                <w:sz w:val="20"/>
                <w:szCs w:val="20"/>
                <w:color w:val="auto"/>
              </w:rPr>
            </w:pPr>
          </w:p>
        </w:tc>
        <w:tc>
          <w:tcPr>
            <w:tcW w:w="1240" w:type="dxa"/>
            <w:vAlign w:val="bottom"/>
            <w:gridSpan w:val="4"/>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January 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6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Reconciliation of net income to Non-GAAP Adjusted Net Income:</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9"/>
              <w:spacing w:after="0" w:line="193" w:lineRule="exact"/>
              <w:rPr>
                <w:sz w:val="20"/>
                <w:szCs w:val="20"/>
                <w:color w:val="auto"/>
              </w:rPr>
            </w:pPr>
            <w:r>
              <w:rPr>
                <w:rFonts w:ascii="Times New Roman" w:cs="Times New Roman" w:eastAsia="Times New Roman" w:hAnsi="Times New Roman"/>
                <w:sz w:val="20"/>
                <w:szCs w:val="20"/>
                <w:b w:val="1"/>
                <w:bCs w:val="1"/>
                <w:color w:val="auto"/>
                <w:w w:val="99"/>
              </w:rPr>
              <w:t>2025</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9"/>
              <w:spacing w:after="0" w:line="193" w:lineRule="exact"/>
              <w:rPr>
                <w:sz w:val="20"/>
                <w:szCs w:val="20"/>
                <w:color w:val="auto"/>
              </w:rPr>
            </w:pPr>
            <w:r>
              <w:rPr>
                <w:rFonts w:ascii="Times New Roman" w:cs="Times New Roman" w:eastAsia="Times New Roman" w:hAnsi="Times New Roman"/>
                <w:sz w:val="20"/>
                <w:szCs w:val="20"/>
                <w:b w:val="1"/>
                <w:bCs w:val="1"/>
                <w:color w:val="auto"/>
                <w:w w:val="99"/>
              </w:rPr>
              <w:t>2024</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690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100" w:type="dxa"/>
            <w:vAlign w:val="bottom"/>
            <w:shd w:val="clear" w:color="auto" w:fill="D7D7D7"/>
          </w:tcPr>
          <w:p>
            <w:pPr>
              <w:spacing w:after="0"/>
              <w:rPr>
                <w:sz w:val="24"/>
                <w:szCs w:val="24"/>
                <w:color w:val="auto"/>
              </w:rPr>
            </w:pPr>
          </w:p>
        </w:tc>
        <w:tc>
          <w:tcPr>
            <w:tcW w:w="6900" w:type="dxa"/>
            <w:vAlign w:val="bottom"/>
            <w:shd w:val="clear" w:color="auto" w:fill="D7D7D7"/>
          </w:tcPr>
          <w:p>
            <w:pPr>
              <w:ind w:left="20"/>
              <w:spacing w:after="0"/>
              <w:rPr>
                <w:sz w:val="20"/>
                <w:szCs w:val="20"/>
                <w:color w:val="auto"/>
              </w:rPr>
            </w:pPr>
            <w:r>
              <w:rPr>
                <w:rFonts w:ascii="Times New Roman" w:cs="Times New Roman" w:eastAsia="Times New Roman" w:hAnsi="Times New Roman"/>
                <w:sz w:val="20"/>
                <w:szCs w:val="20"/>
                <w:color w:val="auto"/>
              </w:rPr>
              <w:t>Net income</w:t>
            </w:r>
          </w:p>
        </w:tc>
        <w:tc>
          <w:tcPr>
            <w:tcW w:w="22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233,413</w:t>
            </w:r>
          </w:p>
        </w:tc>
        <w:tc>
          <w:tcPr>
            <w:tcW w:w="400" w:type="dxa"/>
            <w:vAlign w:val="bottom"/>
            <w:gridSpan w:val="2"/>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218,923</w:t>
            </w:r>
          </w:p>
        </w:tc>
        <w:tc>
          <w:tcPr>
            <w:tcW w:w="20" w:type="dxa"/>
            <w:vAlign w:val="bottom"/>
          </w:tcPr>
          <w:p>
            <w:pPr>
              <w:spacing w:after="0"/>
              <w:rPr>
                <w:sz w:val="24"/>
                <w:szCs w:val="24"/>
                <w:color w:val="auto"/>
              </w:rPr>
            </w:pPr>
          </w:p>
        </w:tc>
        <w:tc>
          <w:tcPr>
            <w:tcW w:w="10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100" w:type="dxa"/>
            <w:vAlign w:val="bottom"/>
          </w:tcPr>
          <w:p>
            <w:pPr>
              <w:spacing w:after="0"/>
              <w:rPr>
                <w:sz w:val="24"/>
                <w:szCs w:val="24"/>
                <w:color w:val="auto"/>
              </w:rPr>
            </w:pPr>
          </w:p>
        </w:tc>
        <w:tc>
          <w:tcPr>
            <w:tcW w:w="6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Pre-Tax Adjustments:</w:t>
            </w: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00" w:type="dxa"/>
            <w:vAlign w:val="bottom"/>
            <w:shd w:val="clear" w:color="auto" w:fill="D7D7D7"/>
          </w:tcPr>
          <w:p>
            <w:pPr>
              <w:spacing w:after="0"/>
              <w:rPr>
                <w:sz w:val="24"/>
                <w:szCs w:val="24"/>
                <w:color w:val="auto"/>
              </w:rPr>
            </w:pPr>
          </w:p>
        </w:tc>
        <w:tc>
          <w:tcPr>
            <w:tcW w:w="6900" w:type="dxa"/>
            <w:vAlign w:val="bottom"/>
            <w:shd w:val="clear" w:color="auto" w:fill="D7D7D7"/>
          </w:tcPr>
          <w:p>
            <w:pPr>
              <w:ind w:left="140"/>
              <w:spacing w:after="0"/>
              <w:rPr>
                <w:sz w:val="20"/>
                <w:szCs w:val="20"/>
                <w:color w:val="auto"/>
              </w:rPr>
            </w:pPr>
            <w:r>
              <w:rPr>
                <w:rFonts w:ascii="Times New Roman" w:cs="Times New Roman" w:eastAsia="Times New Roman" w:hAnsi="Times New Roman"/>
                <w:sz w:val="20"/>
                <w:szCs w:val="20"/>
                <w:color w:val="auto"/>
              </w:rPr>
              <w:t>Stock-based compensation modification</w:t>
            </w:r>
            <w:r>
              <w:rPr>
                <w:rFonts w:ascii="Times New Roman" w:cs="Times New Roman" w:eastAsia="Times New Roman" w:hAnsi="Times New Roman"/>
                <w:sz w:val="25"/>
                <w:szCs w:val="25"/>
                <w:color w:val="auto"/>
                <w:vertAlign w:val="superscript"/>
              </w:rPr>
              <w:t>4</w:t>
            </w:r>
          </w:p>
        </w:tc>
        <w:tc>
          <w:tcPr>
            <w:tcW w:w="220" w:type="dxa"/>
            <w:vAlign w:val="bottom"/>
            <w:shd w:val="clear" w:color="auto" w:fill="D7D7D7"/>
          </w:tcPr>
          <w:p>
            <w:pPr>
              <w:spacing w:after="0"/>
              <w:rPr>
                <w:sz w:val="24"/>
                <w:szCs w:val="24"/>
                <w:color w:val="auto"/>
              </w:rPr>
            </w:pPr>
          </w:p>
        </w:tc>
        <w:tc>
          <w:tcPr>
            <w:tcW w:w="102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11,419</w:t>
            </w:r>
          </w:p>
        </w:tc>
        <w:tc>
          <w:tcPr>
            <w:tcW w:w="200" w:type="dxa"/>
            <w:vAlign w:val="bottom"/>
            <w:shd w:val="clear" w:color="auto" w:fill="D7D7D7"/>
          </w:tcPr>
          <w:p>
            <w:pPr>
              <w:spacing w:after="0"/>
              <w:rPr>
                <w:sz w:val="24"/>
                <w:szCs w:val="24"/>
                <w:color w:val="auto"/>
              </w:rPr>
            </w:pPr>
          </w:p>
        </w:tc>
        <w:tc>
          <w:tcPr>
            <w:tcW w:w="200" w:type="dxa"/>
            <w:vAlign w:val="bottom"/>
            <w:shd w:val="clear" w:color="auto" w:fill="D7D7D7"/>
          </w:tcPr>
          <w:p>
            <w:pPr>
              <w:spacing w:after="0"/>
              <w:rPr>
                <w:sz w:val="24"/>
                <w:szCs w:val="24"/>
                <w:color w:val="auto"/>
              </w:rPr>
            </w:pPr>
          </w:p>
        </w:tc>
        <w:tc>
          <w:tcPr>
            <w:tcW w:w="92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10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00" w:type="dxa"/>
            <w:vAlign w:val="bottom"/>
          </w:tcPr>
          <w:p>
            <w:pPr>
              <w:spacing w:after="0"/>
              <w:rPr>
                <w:sz w:val="24"/>
                <w:szCs w:val="24"/>
                <w:color w:val="auto"/>
              </w:rPr>
            </w:pPr>
          </w:p>
        </w:tc>
        <w:tc>
          <w:tcPr>
            <w:tcW w:w="69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Acquisition integration costs</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00" w:type="dxa"/>
            <w:vAlign w:val="bottom"/>
            <w:shd w:val="clear" w:color="auto" w:fill="D7D7D7"/>
          </w:tcPr>
          <w:p>
            <w:pPr>
              <w:spacing w:after="0"/>
              <w:rPr>
                <w:sz w:val="24"/>
                <w:szCs w:val="24"/>
                <w:color w:val="auto"/>
              </w:rPr>
            </w:pPr>
          </w:p>
        </w:tc>
        <w:tc>
          <w:tcPr>
            <w:tcW w:w="6900" w:type="dxa"/>
            <w:vAlign w:val="bottom"/>
            <w:shd w:val="clear" w:color="auto" w:fill="D7D7D7"/>
          </w:tcPr>
          <w:p>
            <w:pPr>
              <w:ind w:left="140"/>
              <w:spacing w:after="0"/>
              <w:rPr>
                <w:sz w:val="20"/>
                <w:szCs w:val="20"/>
                <w:color w:val="auto"/>
              </w:rPr>
            </w:pPr>
            <w:r>
              <w:rPr>
                <w:rFonts w:ascii="Times New Roman" w:cs="Times New Roman" w:eastAsia="Times New Roman" w:hAnsi="Times New Roman"/>
                <w:sz w:val="20"/>
                <w:szCs w:val="20"/>
                <w:color w:val="auto"/>
              </w:rPr>
              <w:t>Loss on debt extinguishment</w:t>
            </w:r>
            <w:r>
              <w:rPr>
                <w:rFonts w:ascii="Times New Roman" w:cs="Times New Roman" w:eastAsia="Times New Roman" w:hAnsi="Times New Roman"/>
                <w:sz w:val="25"/>
                <w:szCs w:val="25"/>
                <w:color w:val="auto"/>
                <w:vertAlign w:val="superscript"/>
              </w:rPr>
              <w:t>1</w:t>
            </w:r>
          </w:p>
        </w:tc>
        <w:tc>
          <w:tcPr>
            <w:tcW w:w="220" w:type="dxa"/>
            <w:vAlign w:val="bottom"/>
            <w:shd w:val="clear" w:color="auto" w:fill="D7D7D7"/>
          </w:tcPr>
          <w:p>
            <w:pPr>
              <w:spacing w:after="0"/>
              <w:rPr>
                <w:sz w:val="24"/>
                <w:szCs w:val="24"/>
                <w:color w:val="auto"/>
              </w:rPr>
            </w:pPr>
          </w:p>
        </w:tc>
        <w:tc>
          <w:tcPr>
            <w:tcW w:w="102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965</w:t>
            </w:r>
          </w:p>
        </w:tc>
        <w:tc>
          <w:tcPr>
            <w:tcW w:w="200" w:type="dxa"/>
            <w:vAlign w:val="bottom"/>
            <w:shd w:val="clear" w:color="auto" w:fill="D7D7D7"/>
          </w:tcPr>
          <w:p>
            <w:pPr>
              <w:spacing w:after="0"/>
              <w:rPr>
                <w:sz w:val="24"/>
                <w:szCs w:val="24"/>
                <w:color w:val="auto"/>
              </w:rPr>
            </w:pPr>
          </w:p>
        </w:tc>
        <w:tc>
          <w:tcPr>
            <w:tcW w:w="200" w:type="dxa"/>
            <w:vAlign w:val="bottom"/>
            <w:shd w:val="clear" w:color="auto" w:fill="D7D7D7"/>
          </w:tcPr>
          <w:p>
            <w:pPr>
              <w:spacing w:after="0"/>
              <w:rPr>
                <w:sz w:val="24"/>
                <w:szCs w:val="24"/>
                <w:color w:val="auto"/>
              </w:rPr>
            </w:pPr>
          </w:p>
        </w:tc>
        <w:tc>
          <w:tcPr>
            <w:tcW w:w="92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10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00" w:type="dxa"/>
            <w:vAlign w:val="bottom"/>
          </w:tcPr>
          <w:p>
            <w:pPr>
              <w:spacing w:after="0"/>
              <w:rPr>
                <w:sz w:val="24"/>
                <w:szCs w:val="24"/>
                <w:color w:val="auto"/>
              </w:rPr>
            </w:pPr>
          </w:p>
        </w:tc>
        <w:tc>
          <w:tcPr>
            <w:tcW w:w="6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Tax Adjustments: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00" w:type="dxa"/>
            <w:vAlign w:val="bottom"/>
            <w:shd w:val="clear" w:color="auto" w:fill="D7D7D7"/>
          </w:tcPr>
          <w:p>
            <w:pPr>
              <w:spacing w:after="0"/>
              <w:rPr>
                <w:sz w:val="24"/>
                <w:szCs w:val="24"/>
                <w:color w:val="auto"/>
              </w:rPr>
            </w:pPr>
          </w:p>
        </w:tc>
        <w:tc>
          <w:tcPr>
            <w:tcW w:w="6900" w:type="dxa"/>
            <w:vAlign w:val="bottom"/>
            <w:shd w:val="clear" w:color="auto" w:fill="D7D7D7"/>
          </w:tcPr>
          <w:p>
            <w:pPr>
              <w:ind w:left="160"/>
              <w:spacing w:after="0"/>
              <w:rPr>
                <w:sz w:val="20"/>
                <w:szCs w:val="20"/>
                <w:color w:val="auto"/>
              </w:rPr>
            </w:pPr>
            <w:r>
              <w:rPr>
                <w:rFonts w:ascii="Times New Roman" w:cs="Times New Roman" w:eastAsia="Times New Roman" w:hAnsi="Times New Roman"/>
                <w:sz w:val="20"/>
                <w:szCs w:val="20"/>
                <w:color w:val="auto"/>
              </w:rPr>
              <w:t>Tax impact of pre-tax adjustments</w:t>
            </w:r>
          </w:p>
        </w:tc>
        <w:tc>
          <w:tcPr>
            <w:tcW w:w="220" w:type="dxa"/>
            <w:vAlign w:val="bottom"/>
            <w:tcBorders>
              <w:bottom w:val="single" w:sz="8" w:color="auto"/>
            </w:tcBorders>
            <w:shd w:val="clear" w:color="auto" w:fill="D7D7D7"/>
          </w:tcPr>
          <w:p>
            <w:pPr>
              <w:spacing w:after="0"/>
              <w:rPr>
                <w:sz w:val="24"/>
                <w:szCs w:val="24"/>
                <w:color w:val="auto"/>
              </w:rPr>
            </w:pPr>
          </w:p>
        </w:tc>
        <w:tc>
          <w:tcPr>
            <w:tcW w:w="1020" w:type="dxa"/>
            <w:vAlign w:val="bottom"/>
            <w:tcBorders>
              <w:bottom w:val="single" w:sz="8" w:color="auto"/>
            </w:tcBorders>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(1,229)</w:t>
            </w:r>
          </w:p>
        </w:tc>
        <w:tc>
          <w:tcPr>
            <w:tcW w:w="200" w:type="dxa"/>
            <w:vAlign w:val="bottom"/>
            <w:shd w:val="clear" w:color="auto" w:fill="D7D7D7"/>
          </w:tcPr>
          <w:p>
            <w:pPr>
              <w:spacing w:after="0"/>
              <w:rPr>
                <w:sz w:val="24"/>
                <w:szCs w:val="24"/>
                <w:color w:val="auto"/>
              </w:rPr>
            </w:pPr>
          </w:p>
        </w:tc>
        <w:tc>
          <w:tcPr>
            <w:tcW w:w="200" w:type="dxa"/>
            <w:vAlign w:val="bottom"/>
            <w:tcBorders>
              <w:bottom w:val="single" w:sz="8" w:color="auto"/>
            </w:tcBorders>
            <w:shd w:val="clear" w:color="auto" w:fill="D7D7D7"/>
          </w:tcPr>
          <w:p>
            <w:pPr>
              <w:spacing w:after="0"/>
              <w:rPr>
                <w:sz w:val="24"/>
                <w:szCs w:val="24"/>
                <w:color w:val="auto"/>
              </w:rPr>
            </w:pPr>
          </w:p>
        </w:tc>
        <w:tc>
          <w:tcPr>
            <w:tcW w:w="920" w:type="dxa"/>
            <w:vAlign w:val="bottom"/>
            <w:tcBorders>
              <w:bottom w:val="single" w:sz="8" w:color="auto"/>
            </w:tcBorders>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6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adjustments, net of tax</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15,318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00" w:type="dxa"/>
            <w:vAlign w:val="bottom"/>
            <w:tcBorders>
              <w:bottom w:val="single" w:sz="8" w:color="D7D7D7"/>
            </w:tcBorders>
          </w:tcPr>
          <w:p>
            <w:pPr>
              <w:spacing w:after="0"/>
              <w:rPr>
                <w:sz w:val="8"/>
                <w:szCs w:val="8"/>
                <w:color w:val="auto"/>
              </w:rPr>
            </w:pPr>
          </w:p>
        </w:tc>
        <w:tc>
          <w:tcPr>
            <w:tcW w:w="6900" w:type="dxa"/>
            <w:vAlign w:val="bottom"/>
            <w:tcBorders>
              <w:bottom w:val="single" w:sz="8" w:color="D7D7D7"/>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D7D7D7"/>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D7D7D7"/>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100" w:type="dxa"/>
            <w:vAlign w:val="bottom"/>
            <w:shd w:val="clear" w:color="auto" w:fill="D7D7D7"/>
          </w:tcPr>
          <w:p>
            <w:pPr>
              <w:spacing w:after="0"/>
              <w:rPr>
                <w:sz w:val="24"/>
                <w:szCs w:val="24"/>
                <w:color w:val="auto"/>
              </w:rPr>
            </w:pPr>
          </w:p>
        </w:tc>
        <w:tc>
          <w:tcPr>
            <w:tcW w:w="6900" w:type="dxa"/>
            <w:vAlign w:val="bottom"/>
            <w:shd w:val="clear" w:color="auto" w:fill="D7D7D7"/>
          </w:tcPr>
          <w:p>
            <w:pPr>
              <w:ind w:left="20"/>
              <w:spacing w:after="0"/>
              <w:rPr>
                <w:sz w:val="20"/>
                <w:szCs w:val="20"/>
                <w:color w:val="auto"/>
              </w:rPr>
            </w:pPr>
            <w:r>
              <w:rPr>
                <w:rFonts w:ascii="Times New Roman" w:cs="Times New Roman" w:eastAsia="Times New Roman" w:hAnsi="Times New Roman"/>
                <w:sz w:val="20"/>
                <w:szCs w:val="20"/>
                <w:color w:val="auto"/>
              </w:rPr>
              <w:t>Non-GAAP Adjusted Net Income</w:t>
            </w:r>
          </w:p>
        </w:tc>
        <w:tc>
          <w:tcPr>
            <w:tcW w:w="22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248,731</w:t>
            </w:r>
          </w:p>
        </w:tc>
        <w:tc>
          <w:tcPr>
            <w:tcW w:w="400" w:type="dxa"/>
            <w:vAlign w:val="bottom"/>
            <w:gridSpan w:val="2"/>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218,923</w:t>
            </w:r>
          </w:p>
        </w:tc>
        <w:tc>
          <w:tcPr>
            <w:tcW w:w="20" w:type="dxa"/>
            <w:vAlign w:val="bottom"/>
          </w:tcPr>
          <w:p>
            <w:pPr>
              <w:spacing w:after="0"/>
              <w:rPr>
                <w:sz w:val="24"/>
                <w:szCs w:val="24"/>
                <w:color w:val="auto"/>
              </w:rPr>
            </w:pPr>
          </w:p>
        </w:tc>
        <w:tc>
          <w:tcPr>
            <w:tcW w:w="10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00" w:type="dxa"/>
            <w:vAlign w:val="bottom"/>
          </w:tcPr>
          <w:p>
            <w:pPr>
              <w:spacing w:after="0"/>
              <w:rPr>
                <w:sz w:val="21"/>
                <w:szCs w:val="21"/>
                <w:color w:val="auto"/>
              </w:rPr>
            </w:pPr>
          </w:p>
        </w:tc>
        <w:tc>
          <w:tcPr>
            <w:tcW w:w="6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00" w:type="dxa"/>
            <w:vAlign w:val="bottom"/>
            <w:shd w:val="clear" w:color="auto" w:fill="D7D7D7"/>
          </w:tcPr>
          <w:p>
            <w:pPr>
              <w:spacing w:after="0"/>
              <w:rPr>
                <w:sz w:val="24"/>
                <w:szCs w:val="24"/>
                <w:color w:val="auto"/>
              </w:rPr>
            </w:pPr>
          </w:p>
        </w:tc>
        <w:tc>
          <w:tcPr>
            <w:tcW w:w="6900" w:type="dxa"/>
            <w:vAlign w:val="bottom"/>
            <w:shd w:val="clear" w:color="auto" w:fill="D7D7D7"/>
          </w:tcPr>
          <w:p>
            <w:pPr>
              <w:ind w:left="20"/>
              <w:spacing w:after="0"/>
              <w:rPr>
                <w:sz w:val="20"/>
                <w:szCs w:val="20"/>
                <w:color w:val="auto"/>
              </w:rPr>
            </w:pPr>
            <w:r>
              <w:rPr>
                <w:rFonts w:ascii="Times New Roman" w:cs="Times New Roman" w:eastAsia="Times New Roman" w:hAnsi="Times New Roman"/>
                <w:sz w:val="20"/>
                <w:szCs w:val="20"/>
                <w:color w:val="auto"/>
              </w:rPr>
              <w:t>Non-GAAP Adjusted Net Income, excluding impacts of a change</w:t>
            </w:r>
          </w:p>
        </w:tc>
        <w:tc>
          <w:tcPr>
            <w:tcW w:w="220" w:type="dxa"/>
            <w:vAlign w:val="bottom"/>
            <w:shd w:val="clear" w:color="auto" w:fill="D7D7D7"/>
          </w:tcPr>
          <w:p>
            <w:pPr>
              <w:spacing w:after="0"/>
              <w:rPr>
                <w:sz w:val="24"/>
                <w:szCs w:val="24"/>
                <w:color w:val="auto"/>
              </w:rPr>
            </w:pPr>
          </w:p>
        </w:tc>
        <w:tc>
          <w:tcPr>
            <w:tcW w:w="1020" w:type="dxa"/>
            <w:vAlign w:val="bottom"/>
            <w:shd w:val="clear" w:color="auto" w:fill="D7D7D7"/>
          </w:tcPr>
          <w:p>
            <w:pPr>
              <w:spacing w:after="0"/>
              <w:rPr>
                <w:sz w:val="24"/>
                <w:szCs w:val="24"/>
                <w:color w:val="auto"/>
              </w:rPr>
            </w:pPr>
          </w:p>
        </w:tc>
        <w:tc>
          <w:tcPr>
            <w:tcW w:w="200" w:type="dxa"/>
            <w:vAlign w:val="bottom"/>
            <w:shd w:val="clear" w:color="auto" w:fill="D7D7D7"/>
          </w:tcPr>
          <w:p>
            <w:pPr>
              <w:spacing w:after="0"/>
              <w:rPr>
                <w:sz w:val="24"/>
                <w:szCs w:val="24"/>
                <w:color w:val="auto"/>
              </w:rPr>
            </w:pPr>
          </w:p>
        </w:tc>
        <w:tc>
          <w:tcPr>
            <w:tcW w:w="200" w:type="dxa"/>
            <w:vAlign w:val="bottom"/>
            <w:shd w:val="clear" w:color="auto" w:fill="D7D7D7"/>
          </w:tcPr>
          <w:p>
            <w:pPr>
              <w:spacing w:after="0"/>
              <w:rPr>
                <w:sz w:val="24"/>
                <w:szCs w:val="24"/>
                <w:color w:val="auto"/>
              </w:rPr>
            </w:pPr>
          </w:p>
        </w:tc>
        <w:tc>
          <w:tcPr>
            <w:tcW w:w="920" w:type="dxa"/>
            <w:vAlign w:val="bottom"/>
            <w:shd w:val="clear" w:color="auto" w:fill="D7D7D7"/>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 w:type="dxa"/>
            <w:vAlign w:val="bottom"/>
            <w:shd w:val="clear" w:color="auto" w:fill="D7D7D7"/>
          </w:tcPr>
          <w:p>
            <w:pPr>
              <w:spacing w:after="0"/>
              <w:rPr>
                <w:sz w:val="24"/>
                <w:szCs w:val="24"/>
                <w:color w:val="auto"/>
              </w:rPr>
            </w:pPr>
          </w:p>
        </w:tc>
        <w:tc>
          <w:tcPr>
            <w:tcW w:w="6900" w:type="dxa"/>
            <w:vAlign w:val="bottom"/>
            <w:shd w:val="clear" w:color="auto" w:fill="D7D7D7"/>
          </w:tcPr>
          <w:p>
            <w:pPr>
              <w:ind w:left="20"/>
              <w:spacing w:after="0" w:line="287" w:lineRule="exact"/>
              <w:rPr>
                <w:sz w:val="20"/>
                <w:szCs w:val="20"/>
                <w:color w:val="auto"/>
              </w:rPr>
            </w:pPr>
            <w:r>
              <w:rPr>
                <w:rFonts w:ascii="Times New Roman" w:cs="Times New Roman" w:eastAsia="Times New Roman" w:hAnsi="Times New Roman"/>
                <w:sz w:val="20"/>
                <w:szCs w:val="20"/>
                <w:color w:val="auto"/>
              </w:rPr>
              <w:t>order and closeout of several projects</w:t>
            </w:r>
            <w:r>
              <w:rPr>
                <w:rFonts w:ascii="Times New Roman" w:cs="Times New Roman" w:eastAsia="Times New Roman" w:hAnsi="Times New Roman"/>
                <w:sz w:val="25"/>
                <w:szCs w:val="25"/>
                <w:color w:val="auto"/>
                <w:vertAlign w:val="superscript"/>
              </w:rPr>
              <w:t>3</w:t>
            </w:r>
          </w:p>
        </w:tc>
        <w:tc>
          <w:tcPr>
            <w:tcW w:w="220" w:type="dxa"/>
            <w:vAlign w:val="bottom"/>
            <w:shd w:val="clear" w:color="auto" w:fill="D7D7D7"/>
          </w:tcPr>
          <w:p>
            <w:pPr>
              <w:spacing w:after="0"/>
              <w:rPr>
                <w:sz w:val="24"/>
                <w:szCs w:val="24"/>
                <w:color w:val="auto"/>
              </w:rPr>
            </w:pPr>
          </w:p>
        </w:tc>
        <w:tc>
          <w:tcPr>
            <w:tcW w:w="1020" w:type="dxa"/>
            <w:vAlign w:val="bottom"/>
            <w:shd w:val="clear" w:color="auto" w:fill="D7D7D7"/>
          </w:tcPr>
          <w:p>
            <w:pPr>
              <w:spacing w:after="0"/>
              <w:rPr>
                <w:sz w:val="24"/>
                <w:szCs w:val="24"/>
                <w:color w:val="auto"/>
              </w:rPr>
            </w:pPr>
          </w:p>
        </w:tc>
        <w:tc>
          <w:tcPr>
            <w:tcW w:w="400" w:type="dxa"/>
            <w:vAlign w:val="bottom"/>
            <w:gridSpan w:val="2"/>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201,443</w:t>
            </w:r>
          </w:p>
        </w:tc>
        <w:tc>
          <w:tcPr>
            <w:tcW w:w="20" w:type="dxa"/>
            <w:vAlign w:val="bottom"/>
          </w:tcPr>
          <w:p>
            <w:pPr>
              <w:spacing w:after="0"/>
              <w:rPr>
                <w:sz w:val="24"/>
                <w:szCs w:val="24"/>
                <w:color w:val="auto"/>
              </w:rPr>
            </w:pPr>
          </w:p>
        </w:tc>
        <w:tc>
          <w:tcPr>
            <w:tcW w:w="10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525"/>
        </w:trPr>
        <w:tc>
          <w:tcPr>
            <w:tcW w:w="100" w:type="dxa"/>
            <w:vAlign w:val="bottom"/>
          </w:tcPr>
          <w:p>
            <w:pPr>
              <w:spacing w:after="0"/>
              <w:rPr>
                <w:sz w:val="24"/>
                <w:szCs w:val="24"/>
                <w:color w:val="auto"/>
              </w:rPr>
            </w:pPr>
          </w:p>
        </w:tc>
        <w:tc>
          <w:tcPr>
            <w:tcW w:w="6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Reconciliation of diluted earnings per common share to Non-GAAP</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3"/>
                <w:szCs w:val="23"/>
                <w:color w:val="auto"/>
              </w:rPr>
            </w:pPr>
          </w:p>
        </w:tc>
        <w:tc>
          <w:tcPr>
            <w:tcW w:w="6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Adjusted Diluted Earnings per Common Share:</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100" w:type="dxa"/>
            <w:vAlign w:val="bottom"/>
            <w:shd w:val="clear" w:color="auto" w:fill="D7D7D7"/>
          </w:tcPr>
          <w:p>
            <w:pPr>
              <w:spacing w:after="0"/>
              <w:rPr>
                <w:sz w:val="24"/>
                <w:szCs w:val="24"/>
                <w:color w:val="auto"/>
              </w:rPr>
            </w:pPr>
          </w:p>
        </w:tc>
        <w:tc>
          <w:tcPr>
            <w:tcW w:w="6900" w:type="dxa"/>
            <w:vAlign w:val="bottom"/>
            <w:shd w:val="clear" w:color="auto" w:fill="D7D7D7"/>
          </w:tcPr>
          <w:p>
            <w:pPr>
              <w:ind w:left="20"/>
              <w:spacing w:after="0"/>
              <w:rPr>
                <w:sz w:val="20"/>
                <w:szCs w:val="20"/>
                <w:color w:val="auto"/>
              </w:rPr>
            </w:pPr>
            <w:r>
              <w:rPr>
                <w:rFonts w:ascii="Times New Roman" w:cs="Times New Roman" w:eastAsia="Times New Roman" w:hAnsi="Times New Roman"/>
                <w:sz w:val="20"/>
                <w:szCs w:val="20"/>
                <w:color w:val="auto"/>
              </w:rPr>
              <w:t>GAAP diluted earnings per common share</w:t>
            </w:r>
          </w:p>
        </w:tc>
        <w:tc>
          <w:tcPr>
            <w:tcW w:w="22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7.92</w:t>
            </w:r>
          </w:p>
        </w:tc>
        <w:tc>
          <w:tcPr>
            <w:tcW w:w="400" w:type="dxa"/>
            <w:vAlign w:val="bottom"/>
            <w:gridSpan w:val="2"/>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7.37</w:t>
            </w:r>
          </w:p>
        </w:tc>
        <w:tc>
          <w:tcPr>
            <w:tcW w:w="20" w:type="dxa"/>
            <w:vAlign w:val="bottom"/>
          </w:tcPr>
          <w:p>
            <w:pPr>
              <w:spacing w:after="0"/>
              <w:rPr>
                <w:sz w:val="24"/>
                <w:szCs w:val="24"/>
                <w:color w:val="auto"/>
              </w:rPr>
            </w:pPr>
          </w:p>
        </w:tc>
        <w:tc>
          <w:tcPr>
            <w:tcW w:w="10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00" w:type="dxa"/>
            <w:vAlign w:val="bottom"/>
            <w:tcBorders>
              <w:bottom w:val="single" w:sz="8" w:color="D7D7D7"/>
            </w:tcBorders>
          </w:tcPr>
          <w:p>
            <w:pPr>
              <w:spacing w:after="0"/>
              <w:rPr>
                <w:sz w:val="24"/>
                <w:szCs w:val="24"/>
                <w:color w:val="auto"/>
              </w:rPr>
            </w:pPr>
          </w:p>
        </w:tc>
        <w:tc>
          <w:tcPr>
            <w:tcW w:w="6900" w:type="dxa"/>
            <w:vAlign w:val="bottom"/>
            <w:tcBorders>
              <w:bottom w:val="single" w:sz="8" w:color="D7D7D7"/>
            </w:tcBorders>
          </w:tcPr>
          <w:p>
            <w:pPr>
              <w:ind w:left="160"/>
              <w:spacing w:after="0"/>
              <w:rPr>
                <w:sz w:val="20"/>
                <w:szCs w:val="20"/>
                <w:color w:val="auto"/>
              </w:rPr>
            </w:pPr>
            <w:r>
              <w:rPr>
                <w:rFonts w:ascii="Times New Roman" w:cs="Times New Roman" w:eastAsia="Times New Roman" w:hAnsi="Times New Roman"/>
                <w:sz w:val="20"/>
                <w:szCs w:val="20"/>
                <w:color w:val="auto"/>
              </w:rPr>
              <w:t>Total adjustments, net of tax</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0.52</w:t>
            </w:r>
          </w:p>
        </w:tc>
        <w:tc>
          <w:tcPr>
            <w:tcW w:w="200" w:type="dxa"/>
            <w:vAlign w:val="bottom"/>
            <w:tcBorders>
              <w:bottom w:val="single" w:sz="8" w:color="D7D7D7"/>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D7D7D7"/>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00" w:type="dxa"/>
            <w:vAlign w:val="bottom"/>
            <w:shd w:val="clear" w:color="auto" w:fill="D7D7D7"/>
          </w:tcPr>
          <w:p>
            <w:pPr>
              <w:spacing w:after="0"/>
              <w:rPr>
                <w:sz w:val="24"/>
                <w:szCs w:val="24"/>
                <w:color w:val="auto"/>
              </w:rPr>
            </w:pPr>
          </w:p>
        </w:tc>
        <w:tc>
          <w:tcPr>
            <w:tcW w:w="6900" w:type="dxa"/>
            <w:vAlign w:val="bottom"/>
            <w:shd w:val="clear" w:color="auto" w:fill="D7D7D7"/>
          </w:tcPr>
          <w:p>
            <w:pPr>
              <w:ind w:left="20"/>
              <w:spacing w:after="0"/>
              <w:rPr>
                <w:sz w:val="20"/>
                <w:szCs w:val="20"/>
                <w:color w:val="auto"/>
              </w:rPr>
            </w:pPr>
            <w:r>
              <w:rPr>
                <w:rFonts w:ascii="Times New Roman" w:cs="Times New Roman" w:eastAsia="Times New Roman" w:hAnsi="Times New Roman"/>
                <w:sz w:val="20"/>
                <w:szCs w:val="20"/>
                <w:color w:val="auto"/>
              </w:rPr>
              <w:t>Non-GAAP Adjusted Diluted Earnings per Common Share</w:t>
            </w:r>
          </w:p>
        </w:tc>
        <w:tc>
          <w:tcPr>
            <w:tcW w:w="22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8.44</w:t>
            </w:r>
          </w:p>
        </w:tc>
        <w:tc>
          <w:tcPr>
            <w:tcW w:w="400" w:type="dxa"/>
            <w:vAlign w:val="bottom"/>
            <w:gridSpan w:val="2"/>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7.37</w:t>
            </w:r>
          </w:p>
        </w:tc>
        <w:tc>
          <w:tcPr>
            <w:tcW w:w="20" w:type="dxa"/>
            <w:vAlign w:val="bottom"/>
          </w:tcPr>
          <w:p>
            <w:pPr>
              <w:spacing w:after="0"/>
              <w:rPr>
                <w:sz w:val="24"/>
                <w:szCs w:val="24"/>
                <w:color w:val="auto"/>
              </w:rPr>
            </w:pPr>
          </w:p>
        </w:tc>
        <w:tc>
          <w:tcPr>
            <w:tcW w:w="10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00" w:type="dxa"/>
            <w:vAlign w:val="bottom"/>
          </w:tcPr>
          <w:p>
            <w:pPr>
              <w:spacing w:after="0"/>
              <w:rPr>
                <w:sz w:val="21"/>
                <w:szCs w:val="21"/>
                <w:color w:val="auto"/>
              </w:rPr>
            </w:pPr>
          </w:p>
        </w:tc>
        <w:tc>
          <w:tcPr>
            <w:tcW w:w="6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4"/>
        </w:trPr>
        <w:tc>
          <w:tcPr>
            <w:tcW w:w="100" w:type="dxa"/>
            <w:vAlign w:val="bottom"/>
            <w:shd w:val="clear" w:color="auto" w:fill="D7D7D7"/>
          </w:tcPr>
          <w:p>
            <w:pPr>
              <w:spacing w:after="0"/>
              <w:rPr>
                <w:sz w:val="24"/>
                <w:szCs w:val="24"/>
                <w:color w:val="auto"/>
              </w:rPr>
            </w:pPr>
          </w:p>
        </w:tc>
        <w:tc>
          <w:tcPr>
            <w:tcW w:w="6900" w:type="dxa"/>
            <w:vAlign w:val="bottom"/>
            <w:shd w:val="clear" w:color="auto" w:fill="D7D7D7"/>
          </w:tcPr>
          <w:p>
            <w:pPr>
              <w:ind w:left="20"/>
              <w:spacing w:after="0"/>
              <w:rPr>
                <w:sz w:val="20"/>
                <w:szCs w:val="20"/>
                <w:color w:val="auto"/>
              </w:rPr>
            </w:pPr>
            <w:r>
              <w:rPr>
                <w:rFonts w:ascii="Times New Roman" w:cs="Times New Roman" w:eastAsia="Times New Roman" w:hAnsi="Times New Roman"/>
                <w:sz w:val="20"/>
                <w:szCs w:val="20"/>
                <w:color w:val="auto"/>
              </w:rPr>
              <w:t>Non-GAAP Adjusted Diluted Earnings per Common Share,</w:t>
            </w:r>
          </w:p>
        </w:tc>
        <w:tc>
          <w:tcPr>
            <w:tcW w:w="220" w:type="dxa"/>
            <w:vAlign w:val="bottom"/>
            <w:shd w:val="clear" w:color="auto" w:fill="D7D7D7"/>
          </w:tcPr>
          <w:p>
            <w:pPr>
              <w:spacing w:after="0"/>
              <w:rPr>
                <w:sz w:val="24"/>
                <w:szCs w:val="24"/>
                <w:color w:val="auto"/>
              </w:rPr>
            </w:pPr>
          </w:p>
        </w:tc>
        <w:tc>
          <w:tcPr>
            <w:tcW w:w="1020" w:type="dxa"/>
            <w:vAlign w:val="bottom"/>
            <w:shd w:val="clear" w:color="auto" w:fill="D7D7D7"/>
          </w:tcPr>
          <w:p>
            <w:pPr>
              <w:spacing w:after="0"/>
              <w:rPr>
                <w:sz w:val="24"/>
                <w:szCs w:val="24"/>
                <w:color w:val="auto"/>
              </w:rPr>
            </w:pPr>
          </w:p>
        </w:tc>
        <w:tc>
          <w:tcPr>
            <w:tcW w:w="200" w:type="dxa"/>
            <w:vAlign w:val="bottom"/>
            <w:shd w:val="clear" w:color="auto" w:fill="D7D7D7"/>
          </w:tcPr>
          <w:p>
            <w:pPr>
              <w:spacing w:after="0"/>
              <w:rPr>
                <w:sz w:val="24"/>
                <w:szCs w:val="24"/>
                <w:color w:val="auto"/>
              </w:rPr>
            </w:pPr>
          </w:p>
        </w:tc>
        <w:tc>
          <w:tcPr>
            <w:tcW w:w="200" w:type="dxa"/>
            <w:vAlign w:val="bottom"/>
            <w:shd w:val="clear" w:color="auto" w:fill="D7D7D7"/>
          </w:tcPr>
          <w:p>
            <w:pPr>
              <w:spacing w:after="0"/>
              <w:rPr>
                <w:sz w:val="24"/>
                <w:szCs w:val="24"/>
                <w:color w:val="auto"/>
              </w:rPr>
            </w:pPr>
          </w:p>
        </w:tc>
        <w:tc>
          <w:tcPr>
            <w:tcW w:w="920" w:type="dxa"/>
            <w:vAlign w:val="bottom"/>
            <w:shd w:val="clear" w:color="auto" w:fill="D7D7D7"/>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0" w:type="dxa"/>
            <w:vAlign w:val="bottom"/>
            <w:shd w:val="clear" w:color="auto" w:fill="D7D7D7"/>
          </w:tcPr>
          <w:p>
            <w:pPr>
              <w:spacing w:after="0"/>
              <w:rPr>
                <w:sz w:val="24"/>
                <w:szCs w:val="24"/>
                <w:color w:val="auto"/>
              </w:rPr>
            </w:pPr>
          </w:p>
        </w:tc>
        <w:tc>
          <w:tcPr>
            <w:tcW w:w="6900" w:type="dxa"/>
            <w:vAlign w:val="bottom"/>
            <w:shd w:val="clear" w:color="auto" w:fill="D7D7D7"/>
          </w:tcPr>
          <w:p>
            <w:pPr>
              <w:ind w:left="20"/>
              <w:spacing w:after="0" w:line="282" w:lineRule="exact"/>
              <w:rPr>
                <w:sz w:val="20"/>
                <w:szCs w:val="20"/>
                <w:color w:val="auto"/>
              </w:rPr>
            </w:pPr>
            <w:r>
              <w:rPr>
                <w:rFonts w:ascii="Times New Roman" w:cs="Times New Roman" w:eastAsia="Times New Roman" w:hAnsi="Times New Roman"/>
                <w:sz w:val="20"/>
                <w:szCs w:val="20"/>
                <w:color w:val="auto"/>
              </w:rPr>
              <w:t>excluding impacts of a change order and closeout of several projects</w:t>
            </w:r>
            <w:r>
              <w:rPr>
                <w:rFonts w:ascii="Times New Roman" w:cs="Times New Roman" w:eastAsia="Times New Roman" w:hAnsi="Times New Roman"/>
                <w:sz w:val="25"/>
                <w:szCs w:val="25"/>
                <w:color w:val="auto"/>
                <w:vertAlign w:val="superscript"/>
              </w:rPr>
              <w:t>3</w:t>
            </w:r>
          </w:p>
        </w:tc>
        <w:tc>
          <w:tcPr>
            <w:tcW w:w="220" w:type="dxa"/>
            <w:vAlign w:val="bottom"/>
            <w:shd w:val="clear" w:color="auto" w:fill="D7D7D7"/>
          </w:tcPr>
          <w:p>
            <w:pPr>
              <w:spacing w:after="0"/>
              <w:rPr>
                <w:sz w:val="24"/>
                <w:szCs w:val="24"/>
                <w:color w:val="auto"/>
              </w:rPr>
            </w:pPr>
          </w:p>
        </w:tc>
        <w:tc>
          <w:tcPr>
            <w:tcW w:w="1020" w:type="dxa"/>
            <w:vAlign w:val="bottom"/>
            <w:shd w:val="clear" w:color="auto" w:fill="D7D7D7"/>
          </w:tcPr>
          <w:p>
            <w:pPr>
              <w:spacing w:after="0"/>
              <w:rPr>
                <w:sz w:val="24"/>
                <w:szCs w:val="24"/>
                <w:color w:val="auto"/>
              </w:rPr>
            </w:pPr>
          </w:p>
        </w:tc>
        <w:tc>
          <w:tcPr>
            <w:tcW w:w="400" w:type="dxa"/>
            <w:vAlign w:val="bottom"/>
            <w:gridSpan w:val="2"/>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6.78</w:t>
            </w:r>
          </w:p>
        </w:tc>
        <w:tc>
          <w:tcPr>
            <w:tcW w:w="20" w:type="dxa"/>
            <w:vAlign w:val="bottom"/>
          </w:tcPr>
          <w:p>
            <w:pPr>
              <w:spacing w:after="0"/>
              <w:rPr>
                <w:sz w:val="24"/>
                <w:szCs w:val="24"/>
                <w:color w:val="auto"/>
              </w:rPr>
            </w:pPr>
          </w:p>
        </w:tc>
        <w:tc>
          <w:tcPr>
            <w:tcW w:w="10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00" w:type="dxa"/>
            <w:vAlign w:val="bottom"/>
            <w:shd w:val="clear" w:color="auto" w:fill="D7D7D7"/>
          </w:tcPr>
          <w:p>
            <w:pPr>
              <w:spacing w:after="0"/>
              <w:rPr>
                <w:sz w:val="24"/>
                <w:szCs w:val="24"/>
                <w:color w:val="auto"/>
              </w:rPr>
            </w:pPr>
          </w:p>
        </w:tc>
        <w:tc>
          <w:tcPr>
            <w:tcW w:w="6900" w:type="dxa"/>
            <w:vAlign w:val="bottom"/>
            <w:shd w:val="clear" w:color="auto" w:fill="D7D7D7"/>
          </w:tcPr>
          <w:p>
            <w:pPr>
              <w:ind w:left="20"/>
              <w:spacing w:after="0"/>
              <w:rPr>
                <w:sz w:val="20"/>
                <w:szCs w:val="20"/>
                <w:color w:val="auto"/>
              </w:rPr>
            </w:pPr>
            <w:r>
              <w:rPr>
                <w:rFonts w:ascii="Times New Roman" w:cs="Times New Roman" w:eastAsia="Times New Roman" w:hAnsi="Times New Roman"/>
                <w:sz w:val="20"/>
                <w:szCs w:val="20"/>
                <w:color w:val="auto"/>
              </w:rPr>
              <w:t>Shares used in computing Non-GAAP Adjusted Diluted Earnings per</w:t>
            </w:r>
          </w:p>
        </w:tc>
        <w:tc>
          <w:tcPr>
            <w:tcW w:w="220" w:type="dxa"/>
            <w:vAlign w:val="bottom"/>
            <w:shd w:val="clear" w:color="auto" w:fill="D7D7D7"/>
          </w:tcPr>
          <w:p>
            <w:pPr>
              <w:spacing w:after="0"/>
              <w:rPr>
                <w:sz w:val="24"/>
                <w:szCs w:val="24"/>
                <w:color w:val="auto"/>
              </w:rPr>
            </w:pPr>
          </w:p>
        </w:tc>
        <w:tc>
          <w:tcPr>
            <w:tcW w:w="1020" w:type="dxa"/>
            <w:vAlign w:val="bottom"/>
            <w:shd w:val="clear" w:color="auto" w:fill="D7D7D7"/>
          </w:tcPr>
          <w:p>
            <w:pPr>
              <w:spacing w:after="0"/>
              <w:rPr>
                <w:sz w:val="24"/>
                <w:szCs w:val="24"/>
                <w:color w:val="auto"/>
              </w:rPr>
            </w:pPr>
          </w:p>
        </w:tc>
        <w:tc>
          <w:tcPr>
            <w:tcW w:w="200" w:type="dxa"/>
            <w:vAlign w:val="bottom"/>
            <w:shd w:val="clear" w:color="auto" w:fill="D7D7D7"/>
          </w:tcPr>
          <w:p>
            <w:pPr>
              <w:spacing w:after="0"/>
              <w:rPr>
                <w:sz w:val="24"/>
                <w:szCs w:val="24"/>
                <w:color w:val="auto"/>
              </w:rPr>
            </w:pPr>
          </w:p>
        </w:tc>
        <w:tc>
          <w:tcPr>
            <w:tcW w:w="200" w:type="dxa"/>
            <w:vAlign w:val="bottom"/>
            <w:shd w:val="clear" w:color="auto" w:fill="D7D7D7"/>
          </w:tcPr>
          <w:p>
            <w:pPr>
              <w:spacing w:after="0"/>
              <w:rPr>
                <w:sz w:val="24"/>
                <w:szCs w:val="24"/>
                <w:color w:val="auto"/>
              </w:rPr>
            </w:pPr>
          </w:p>
        </w:tc>
        <w:tc>
          <w:tcPr>
            <w:tcW w:w="920" w:type="dxa"/>
            <w:vAlign w:val="bottom"/>
            <w:shd w:val="clear" w:color="auto" w:fill="D7D7D7"/>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shd w:val="clear" w:color="auto" w:fill="D7D7D7"/>
          </w:tcPr>
          <w:p>
            <w:pPr>
              <w:spacing w:after="0"/>
              <w:rPr>
                <w:sz w:val="24"/>
                <w:szCs w:val="24"/>
                <w:color w:val="auto"/>
              </w:rPr>
            </w:pPr>
          </w:p>
        </w:tc>
        <w:tc>
          <w:tcPr>
            <w:tcW w:w="20" w:type="dxa"/>
            <w:vAlign w:val="bottom"/>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00" w:type="dxa"/>
            <w:vAlign w:val="bottom"/>
            <w:shd w:val="clear" w:color="auto" w:fill="D7D7D7"/>
          </w:tcPr>
          <w:p>
            <w:pPr>
              <w:spacing w:after="0"/>
              <w:rPr>
                <w:sz w:val="24"/>
                <w:szCs w:val="24"/>
                <w:color w:val="auto"/>
              </w:rPr>
            </w:pPr>
          </w:p>
        </w:tc>
        <w:tc>
          <w:tcPr>
            <w:tcW w:w="6900" w:type="dxa"/>
            <w:vAlign w:val="bottom"/>
            <w:shd w:val="clear" w:color="auto" w:fill="D7D7D7"/>
          </w:tcPr>
          <w:p>
            <w:pPr>
              <w:ind w:left="20"/>
              <w:spacing w:after="0"/>
              <w:rPr>
                <w:sz w:val="20"/>
                <w:szCs w:val="20"/>
                <w:color w:val="auto"/>
              </w:rPr>
            </w:pPr>
            <w:r>
              <w:rPr>
                <w:rFonts w:ascii="Times New Roman" w:cs="Times New Roman" w:eastAsia="Times New Roman" w:hAnsi="Times New Roman"/>
                <w:sz w:val="20"/>
                <w:szCs w:val="20"/>
                <w:color w:val="auto"/>
              </w:rPr>
              <w:t>Common Share</w:t>
            </w:r>
          </w:p>
        </w:tc>
        <w:tc>
          <w:tcPr>
            <w:tcW w:w="220" w:type="dxa"/>
            <w:vAlign w:val="bottom"/>
            <w:tcBorders>
              <w:bottom w:val="single" w:sz="8" w:color="auto"/>
            </w:tcBorders>
            <w:shd w:val="clear" w:color="auto" w:fill="D7D7D7"/>
          </w:tcPr>
          <w:p>
            <w:pPr>
              <w:spacing w:after="0"/>
              <w:rPr>
                <w:sz w:val="24"/>
                <w:szCs w:val="24"/>
                <w:color w:val="auto"/>
              </w:rPr>
            </w:pPr>
          </w:p>
        </w:tc>
        <w:tc>
          <w:tcPr>
            <w:tcW w:w="1020" w:type="dxa"/>
            <w:vAlign w:val="bottom"/>
            <w:tcBorders>
              <w:bottom w:val="single" w:sz="8" w:color="auto"/>
            </w:tcBorders>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rPr>
              <w:t>29,481,791</w:t>
            </w:r>
          </w:p>
        </w:tc>
        <w:tc>
          <w:tcPr>
            <w:tcW w:w="200" w:type="dxa"/>
            <w:vAlign w:val="bottom"/>
            <w:shd w:val="clear" w:color="auto" w:fill="D7D7D7"/>
          </w:tcPr>
          <w:p>
            <w:pPr>
              <w:spacing w:after="0"/>
              <w:rPr>
                <w:sz w:val="24"/>
                <w:szCs w:val="24"/>
                <w:color w:val="auto"/>
              </w:rPr>
            </w:pPr>
          </w:p>
        </w:tc>
        <w:tc>
          <w:tcPr>
            <w:tcW w:w="200" w:type="dxa"/>
            <w:vAlign w:val="bottom"/>
            <w:tcBorders>
              <w:bottom w:val="single" w:sz="8" w:color="auto"/>
            </w:tcBorders>
            <w:shd w:val="clear" w:color="auto" w:fill="D7D7D7"/>
          </w:tcPr>
          <w:p>
            <w:pPr>
              <w:spacing w:after="0"/>
              <w:rPr>
                <w:sz w:val="24"/>
                <w:szCs w:val="24"/>
                <w:color w:val="auto"/>
              </w:rPr>
            </w:pPr>
          </w:p>
        </w:tc>
        <w:tc>
          <w:tcPr>
            <w:tcW w:w="920" w:type="dxa"/>
            <w:vAlign w:val="bottom"/>
            <w:tcBorders>
              <w:bottom w:val="single" w:sz="8" w:color="auto"/>
            </w:tcBorders>
            <w:shd w:val="clear" w:color="auto" w:fill="D7D7D7"/>
          </w:tcPr>
          <w:p>
            <w:pPr>
              <w:jc w:val="right"/>
              <w:spacing w:after="0"/>
              <w:rPr>
                <w:sz w:val="20"/>
                <w:szCs w:val="20"/>
                <w:color w:val="auto"/>
              </w:rPr>
            </w:pPr>
            <w:r>
              <w:rPr>
                <w:rFonts w:ascii="Times New Roman" w:cs="Times New Roman" w:eastAsia="Times New Roman" w:hAnsi="Times New Roman"/>
                <w:sz w:val="20"/>
                <w:szCs w:val="20"/>
                <w:color w:val="auto"/>
                <w:w w:val="91"/>
              </w:rPr>
              <w:t>29,698,926</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shd w:val="clear" w:color="auto" w:fill="D7D7D7"/>
          </w:tcPr>
          <w:p>
            <w:pPr>
              <w:spacing w:after="0"/>
              <w:rPr>
                <w:sz w:val="24"/>
                <w:szCs w:val="24"/>
                <w:color w:val="auto"/>
              </w:rPr>
            </w:pPr>
          </w:p>
        </w:tc>
        <w:tc>
          <w:tcPr>
            <w:tcW w:w="20" w:type="dxa"/>
            <w:vAlign w:val="bottom"/>
            <w:tcBorders>
              <w:bottom w:val="single" w:sz="8" w:color="D7D7D7"/>
            </w:tcBorders>
            <w:shd w:val="clear" w:color="auto" w:fill="D7D7D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57785</wp:posOffset>
                </wp:positionH>
                <wp:positionV relativeFrom="paragraph">
                  <wp:posOffset>-3997960</wp:posOffset>
                </wp:positionV>
                <wp:extent cx="5962015" cy="188595"/>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2015" cy="188595"/>
                        </a:xfrm>
                        <a:prstGeom prst="rect">
                          <a:avLst/>
                        </a:prstGeom>
                        <a:solidFill>
                          <a:srgbClr val="D7D7D7"/>
                        </a:solidFill>
                      </wps:spPr>
                      <wps:bodyPr/>
                    </wps:wsp>
                  </a:graphicData>
                </a:graphic>
              </wp:anchor>
            </w:drawing>
          </mc:Choice>
          <mc:Fallback>
            <w:pict>
              <v:rect id="Shape 225" o:spid="_x0000_s1250" style="position:absolute;margin-left:4.55pt;margin-top:-314.7999pt;width:469.45pt;height:14.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7D7D7" stroked="f"/>
            </w:pict>
          </mc:Fallback>
        </mc:AlternateContent>
        <mc:AlternateContent>
          <mc:Choice Requires="wps">
            <w:drawing>
              <wp:anchor simplePos="0" relativeHeight="251657728" behindDoc="1" locked="0" layoutInCell="0" allowOverlap="1">
                <wp:simplePos x="0" y="0"/>
                <wp:positionH relativeFrom="column">
                  <wp:posOffset>57785</wp:posOffset>
                </wp:positionH>
                <wp:positionV relativeFrom="paragraph">
                  <wp:posOffset>-3540760</wp:posOffset>
                </wp:positionV>
                <wp:extent cx="5962015" cy="188595"/>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2015" cy="188595"/>
                        </a:xfrm>
                        <a:prstGeom prst="rect">
                          <a:avLst/>
                        </a:prstGeom>
                        <a:solidFill>
                          <a:srgbClr val="D7D7D7"/>
                        </a:solidFill>
                      </wps:spPr>
                      <wps:bodyPr/>
                    </wps:wsp>
                  </a:graphicData>
                </a:graphic>
              </wp:anchor>
            </w:drawing>
          </mc:Choice>
          <mc:Fallback>
            <w:pict>
              <v:rect id="Shape 226" o:spid="_x0000_s1251" style="position:absolute;margin-left:4.55pt;margin-top:-278.7999pt;width:469.45pt;height:14.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7D7D7" stroked="f"/>
            </w:pict>
          </mc:Fallback>
        </mc:AlternateContent>
        <mc:AlternateContent>
          <mc:Choice Requires="wps">
            <w:drawing>
              <wp:anchor simplePos="0" relativeHeight="251657728" behindDoc="1" locked="0" layoutInCell="0" allowOverlap="1">
                <wp:simplePos x="0" y="0"/>
                <wp:positionH relativeFrom="column">
                  <wp:posOffset>57785</wp:posOffset>
                </wp:positionH>
                <wp:positionV relativeFrom="paragraph">
                  <wp:posOffset>-770255</wp:posOffset>
                </wp:positionV>
                <wp:extent cx="5962015" cy="164465"/>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2015" cy="164465"/>
                        </a:xfrm>
                        <a:prstGeom prst="rect">
                          <a:avLst/>
                        </a:prstGeom>
                        <a:solidFill>
                          <a:srgbClr val="D7D7D7"/>
                        </a:solidFill>
                      </wps:spPr>
                      <wps:bodyPr/>
                    </wps:wsp>
                  </a:graphicData>
                </a:graphic>
              </wp:anchor>
            </w:drawing>
          </mc:Choice>
          <mc:Fallback>
            <w:pict>
              <v:rect id="Shape 227" o:spid="_x0000_s1252" style="position:absolute;margin-left:4.55pt;margin-top:-60.6499pt;width:469.4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7D7D7"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Amounts in tables above may not add due to rounding.</w:t>
      </w:r>
    </w:p>
    <w:p>
      <w:pPr>
        <w:sectPr>
          <w:pgSz w:w="11880" w:h="15480" w:orient="portrait"/>
          <w:cols w:equalWidth="0" w:num="1">
            <w:col w:w="9700"/>
          </w:cols>
          <w:pgMar w:left="960" w:top="901"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297815</wp:posOffset>
            </wp:positionV>
            <wp:extent cx="76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28">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6926580</wp:posOffset>
            </wp:positionH>
            <wp:positionV relativeFrom="paragraph">
              <wp:posOffset>297815</wp:posOffset>
            </wp:positionV>
            <wp:extent cx="76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29">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700"/>
          </w:cols>
          <w:pgMar w:left="960" w:top="901" w:right="1220" w:bottom="0" w:gutter="0" w:footer="0" w:header="0"/>
          <w:type w:val="continuous"/>
        </w:sectPr>
      </w:pPr>
    </w:p>
    <w:bookmarkStart w:id="92" w:name="page93"/>
    <w:bookmarkEnd w:id="92"/>
    <w:p>
      <w:pPr>
        <w:jc w:val="center"/>
        <w:ind w:right="171"/>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t>RECONCILIATION OF NON-GAAP</w:t>
      </w:r>
    </w:p>
    <w:p>
      <w:pPr>
        <w:jc w:val="center"/>
        <w:ind w:right="171"/>
        <w:spacing w:after="0"/>
        <w:rPr>
          <w:sz w:val="20"/>
          <w:szCs w:val="20"/>
          <w:color w:val="auto"/>
        </w:rPr>
      </w:pPr>
      <w:r>
        <w:rPr>
          <w:rFonts w:ascii="Times New Roman" w:cs="Times New Roman" w:eastAsia="Times New Roman" w:hAnsi="Times New Roman"/>
          <w:sz w:val="20"/>
          <w:szCs w:val="20"/>
          <w:b w:val="1"/>
          <w:bCs w:val="1"/>
          <w:color w:val="auto"/>
        </w:rPr>
        <w:t>FINANCIAL MEASURES</w:t>
      </w:r>
    </w:p>
    <w:p>
      <w:pPr>
        <w:jc w:val="center"/>
        <w:ind w:right="171"/>
        <w:spacing w:after="0"/>
        <w:rPr>
          <w:sz w:val="20"/>
          <w:szCs w:val="20"/>
          <w:color w:val="auto"/>
        </w:rPr>
      </w:pPr>
      <w:r>
        <w:rPr>
          <w:rFonts w:ascii="Times New Roman" w:cs="Times New Roman" w:eastAsia="Times New Roman" w:hAnsi="Times New Roman"/>
          <w:sz w:val="20"/>
          <w:szCs w:val="20"/>
          <w:b w:val="1"/>
          <w:bCs w:val="1"/>
          <w:color w:val="auto"/>
        </w:rPr>
        <w:t>TO COMPARABLE GAAP FINANCIAL MEASURES (CONTINUED)</w:t>
      </w:r>
    </w:p>
    <w:p>
      <w:pPr>
        <w:spacing w:after="0" w:line="259"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b w:val="1"/>
          <w:bCs w:val="1"/>
          <w:color w:val="auto"/>
        </w:rPr>
        <w:t>Notes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-118110</wp:posOffset>
                </wp:positionH>
                <wp:positionV relativeFrom="paragraph">
                  <wp:posOffset>40640</wp:posOffset>
                </wp:positionV>
                <wp:extent cx="6318250" cy="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8250" cy="4763"/>
                        </a:xfrm>
                        <a:prstGeom prst="line">
                          <a:avLst/>
                        </a:prstGeom>
                        <a:solidFill>
                          <a:srgbClr val="FFFFFF"/>
                        </a:solidFill>
                        <a:ln w="25397">
                          <a:solidFill>
                            <a:srgbClr val="000000"/>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2999pt,3.2pt" to="488.2pt,3.2pt" o:allowincell="f" strokecolor="#000000" strokeweight="1.9998pt"/>
            </w:pict>
          </mc:Fallback>
        </mc:AlternateContent>
      </w:r>
    </w:p>
    <w:p>
      <w:pPr>
        <w:spacing w:after="0" w:line="200" w:lineRule="exact"/>
        <w:rPr>
          <w:sz w:val="20"/>
          <w:szCs w:val="20"/>
          <w:color w:val="auto"/>
        </w:rPr>
      </w:pPr>
    </w:p>
    <w:p>
      <w:pPr>
        <w:spacing w:after="0" w:line="220" w:lineRule="exact"/>
        <w:rPr>
          <w:sz w:val="20"/>
          <w:szCs w:val="20"/>
          <w:color w:val="auto"/>
        </w:rPr>
      </w:pPr>
    </w:p>
    <w:p>
      <w:pPr>
        <w:ind w:left="9" w:hanging="9"/>
        <w:spacing w:after="0" w:line="273" w:lineRule="auto"/>
        <w:tabs>
          <w:tab w:leader="none" w:pos="106" w:val="left"/>
        </w:tabs>
        <w:numPr>
          <w:ilvl w:val="0"/>
          <w:numId w:val="3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During the fiscal year ended January 25, 2025, the Company recognized a loss on debt extinguishment of approximately $1.0 million in connection with the amendment of its credit agreement. During the fiscal year ended January 29, 2022, the Company recognized a loss on debt extinguishment of $0.1 million in connection with the amendment and restatement of its credit agreement maturing in April 2026.</w:t>
      </w:r>
    </w:p>
    <w:p>
      <w:pPr>
        <w:spacing w:after="0" w:line="72" w:lineRule="exact"/>
        <w:rPr>
          <w:sz w:val="20"/>
          <w:szCs w:val="20"/>
          <w:color w:val="auto"/>
        </w:rPr>
      </w:pPr>
    </w:p>
    <w:p>
      <w:pPr>
        <w:ind w:left="9" w:right="340" w:hanging="9"/>
        <w:spacing w:after="0" w:line="259" w:lineRule="auto"/>
        <w:tabs>
          <w:tab w:leader="none" w:pos="106" w:val="left"/>
        </w:tabs>
        <w:numPr>
          <w:ilvl w:val="0"/>
          <w:numId w:val="3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Company incurred costs of approximately $4.2 million in connection with the integration of a business acquired during the quarter ended October 26, 2024.</w:t>
      </w:r>
    </w:p>
    <w:p>
      <w:pPr>
        <w:spacing w:after="0" w:line="101" w:lineRule="exact"/>
        <w:rPr>
          <w:sz w:val="20"/>
          <w:szCs w:val="20"/>
          <w:color w:val="auto"/>
        </w:rPr>
      </w:pPr>
    </w:p>
    <w:p>
      <w:pPr>
        <w:ind w:left="9" w:right="160" w:hanging="9"/>
        <w:spacing w:after="0" w:line="279" w:lineRule="auto"/>
        <w:tabs>
          <w:tab w:leader="none" w:pos="106" w:val="left"/>
        </w:tabs>
        <w:numPr>
          <w:ilvl w:val="0"/>
          <w:numId w:val="3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impacts of a change order and the closeout of several projects increased contract revenues by $26.5 million for the fiscal year ended January 27, 2024. After the impacts of certain other costs, these items contributed $23.6 million to Adjusted EBITDA for the fiscal year ended January 27, 2024. As a result, reported Adjusted EBITDA was increased by 0.6% as a percentage of contract revenues, for the fiscal year ended January 27, 2024. On an after-tax basis, these items contributed approximately $17.5 million to reported net income, or $0.59 per common share diluted, for the fiscal year ended January 27, 2024.</w:t>
      </w:r>
    </w:p>
    <w:p>
      <w:pPr>
        <w:spacing w:after="0" w:line="108" w:lineRule="exact"/>
        <w:rPr>
          <w:sz w:val="20"/>
          <w:szCs w:val="20"/>
          <w:color w:val="auto"/>
        </w:rPr>
      </w:pPr>
    </w:p>
    <w:p>
      <w:pPr>
        <w:ind w:left="9" w:right="120" w:hanging="9"/>
        <w:spacing w:after="0" w:line="268" w:lineRule="auto"/>
        <w:tabs>
          <w:tab w:leader="none" w:pos="124" w:val="left"/>
        </w:tabs>
        <w:numPr>
          <w:ilvl w:val="0"/>
          <w:numId w:val="3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 connection with the Company’s CEO succession plan and transition completed in November 2024, the Company incurred stock-based compensation modification expense of $11.4 million during the fiscal year ended January 25, 2025 related to previously issued equity awards.</w:t>
      </w:r>
    </w:p>
    <w:p>
      <w:pPr>
        <w:sectPr>
          <w:pgSz w:w="11880" w:h="15480" w:orient="portrait"/>
          <w:cols w:equalWidth="0" w:num="1">
            <w:col w:w="9769"/>
          </w:cols>
          <w:pgMar w:left="971" w:top="881"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28"/>
        <w:spacing w:after="0"/>
        <w:rPr>
          <w:sz w:val="20"/>
          <w:szCs w:val="20"/>
          <w:color w:val="auto"/>
        </w:rPr>
      </w:pPr>
      <w:r>
        <w:rPr>
          <w:rFonts w:ascii="Times New Roman" w:cs="Times New Roman" w:eastAsia="Times New Roman" w:hAnsi="Times New Roman"/>
          <w:sz w:val="19"/>
          <w:szCs w:val="19"/>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284480</wp:posOffset>
            </wp:positionV>
            <wp:extent cx="76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32">
                      <a:extLst>
                        <a:ext uri="{28A0092B-C50C-407E-A947-70E740481C1C}"/>
                      </a:extLst>
                    </a:blip>
                    <a:srcRect/>
                    <a:stretch>
                      <a:fillRect/>
                    </a:stretch>
                  </pic:blipFill>
                  <pic:spPr bwMode="auto">
                    <a:xfrm>
                      <a:off x="0" y="0"/>
                      <a:ext cx="7620" cy="8255"/>
                    </a:xfrm>
                    <a:prstGeom prst="rect">
                      <a:avLst/>
                    </a:prstGeom>
                    <a:noFill/>
                  </pic:spPr>
                </pic:pic>
              </a:graphicData>
            </a:graphic>
          </wp:anchor>
        </w:drawing>
        <w:drawing>
          <wp:anchor simplePos="0" relativeHeight="251657728" behindDoc="1" locked="0" layoutInCell="0" allowOverlap="1">
            <wp:simplePos x="0" y="0"/>
            <wp:positionH relativeFrom="column">
              <wp:posOffset>6918960</wp:posOffset>
            </wp:positionH>
            <wp:positionV relativeFrom="paragraph">
              <wp:posOffset>284480</wp:posOffset>
            </wp:positionV>
            <wp:extent cx="76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33">
                      <a:extLst>
                        <a:ext uri="{28A0092B-C50C-407E-A947-70E740481C1C}"/>
                      </a:extLst>
                    </a:blip>
                    <a:srcRect/>
                    <a:stretch>
                      <a:fillRect/>
                    </a:stretch>
                  </pic:blipFill>
                  <pic:spPr bwMode="auto">
                    <a:xfrm>
                      <a:off x="0" y="0"/>
                      <a:ext cx="7620" cy="8255"/>
                    </a:xfrm>
                    <a:prstGeom prst="rect">
                      <a:avLst/>
                    </a:prstGeom>
                    <a:noFill/>
                  </pic:spPr>
                </pic:pic>
              </a:graphicData>
            </a:graphic>
          </wp:anchor>
        </w:drawing>
      </w:r>
    </w:p>
    <w:p>
      <w:pPr>
        <w:sectPr>
          <w:pgSz w:w="11880" w:h="15480" w:orient="portrait"/>
          <w:cols w:equalWidth="0" w:num="1">
            <w:col w:w="9769"/>
          </w:cols>
          <w:pgMar w:left="971" w:top="881" w:right="1140" w:bottom="0" w:gutter="0" w:footer="0" w:header="0"/>
          <w:type w:val="continuous"/>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page intentionally left blank.</w:t>
      </w:r>
    </w:p>
    <w:p>
      <w:pPr>
        <w:spacing w:after="0" w:line="20" w:lineRule="exact"/>
        <w:rPr>
          <w:sz w:val="20"/>
          <w:szCs w:val="20"/>
          <w:color w:val="auto"/>
        </w:rPr>
      </w:pPr>
    </w:p>
    <w:p>
      <w:pPr>
        <w:sectPr>
          <w:pgSz w:w="11880" w:h="15480" w:orient="portrait"/>
          <w:cols w:equalWidth="0" w:num="1">
            <w:col w:w="9000"/>
          </w:cols>
          <w:pgMar w:left="1440" w:top="1440" w:right="1440" w:bottom="1440" w:gutter="0" w:footer="0" w:header="0"/>
        </w:sectPr>
      </w:pPr>
    </w:p>
    <w:bookmarkStart w:id="94" w:name="page95"/>
    <w:bookmarkEnd w:id="94"/>
    <w:p>
      <w:pPr>
        <w:spacing w:after="0"/>
        <w:rPr>
          <w:sz w:val="20"/>
          <w:szCs w:val="20"/>
          <w:color w:val="auto"/>
        </w:rPr>
      </w:pPr>
      <w:r>
        <w:rPr>
          <w:rFonts w:ascii="Arial" w:cs="Arial" w:eastAsia="Arial" w:hAnsi="Arial"/>
          <w:sz w:val="50"/>
          <w:szCs w:val="50"/>
          <w:color w:val="0055B5"/>
        </w:rPr>
        <w:t>CORPORATE</w:t>
      </w:r>
    </w:p>
    <w:p>
      <w:pPr>
        <w:spacing w:after="0"/>
        <w:rPr>
          <w:sz w:val="20"/>
          <w:szCs w:val="20"/>
          <w:color w:val="auto"/>
        </w:rPr>
      </w:pPr>
      <w:r>
        <w:rPr>
          <w:rFonts w:ascii="Arial" w:cs="Arial" w:eastAsia="Arial" w:hAnsi="Arial"/>
          <w:sz w:val="50"/>
          <w:szCs w:val="50"/>
          <w:b w:val="1"/>
          <w:bCs w:val="1"/>
          <w:color w:val="0055B5"/>
        </w:rPr>
        <w:t>DIRECTORY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0055B5"/>
        </w:rPr>
        <w:t>DIRECTORS: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Luis Avila-Marco 1, 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Jennifer M. Fritzsche 2, 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Eitan Gertel 1, 2, 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Daniel S. Peyovich 4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Peter T. Pruitt, Jr. 1, 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Stephen C. Robinson 1, 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Carmen M. Sabater 2, 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Richard K. Sykes 3, 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Laurie J. Thomsen 1, 3, 5</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0055B5"/>
        </w:rPr>
        <w:t>COMMITTEES:</w:t>
      </w:r>
    </w:p>
    <w:p>
      <w:pPr>
        <w:spacing w:after="0" w:line="93" w:lineRule="exact"/>
        <w:rPr>
          <w:sz w:val="20"/>
          <w:szCs w:val="20"/>
          <w:color w:val="auto"/>
        </w:rPr>
      </w:pPr>
    </w:p>
    <w:p>
      <w:pPr>
        <w:ind w:right="1360"/>
        <w:spacing w:after="0" w:line="360" w:lineRule="auto"/>
        <w:rPr>
          <w:sz w:val="20"/>
          <w:szCs w:val="20"/>
          <w:color w:val="auto"/>
        </w:rPr>
      </w:pPr>
      <w:r>
        <w:rPr>
          <w:rFonts w:ascii="Arial" w:cs="Arial" w:eastAsia="Arial" w:hAnsi="Arial"/>
          <w:sz w:val="18"/>
          <w:szCs w:val="18"/>
          <w:color w:val="auto"/>
        </w:rPr>
        <w:t>1 Audit Committee 2 Compensation Committee 3 Corporate Governance Committee 4 Executive Committee 5 Finance Committee</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0055B5"/>
        </w:rPr>
        <w:t>EXECUTIVE OFFICERS: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Daniel S. Peyovich</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Kevin M. Wetherington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Operating Officer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Andrew DeFerrari</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Jill L. Ramshaw</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Human Resources Officer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F. Urness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General Counsel and Secretary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0055B5"/>
        </w:rPr>
        <w:t>REGISTRAR AND TRANSFER AGENT: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Equiniti Trust Company, LLC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0055B5"/>
        </w:rPr>
        <w:t>INDEPENDENT AUDITORS: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Hallandale Beach, Florida</w:t>
      </w:r>
    </w:p>
    <w:p>
      <w:pPr>
        <w:spacing w:after="0" w:line="20" w:lineRule="exact"/>
        <w:rPr>
          <w:sz w:val="20"/>
          <w:szCs w:val="20"/>
          <w:color w:val="auto"/>
        </w:rPr>
      </w:pP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0055B5"/>
        </w:rPr>
        <w:t>ANNUAL MEETING:</w:t>
      </w:r>
    </w:p>
    <w:p>
      <w:pPr>
        <w:spacing w:after="0" w:line="20" w:lineRule="exact"/>
        <w:rPr>
          <w:sz w:val="20"/>
          <w:szCs w:val="20"/>
          <w:color w:val="auto"/>
        </w:rPr>
      </w:pPr>
    </w:p>
    <w:p>
      <w:pPr>
        <w:spacing w:after="0" w:line="73"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The 2025 Annual Shareholders Meeting will be held via a virtual meeting portal at 10:00 a.m. ET on Thursday, May 22, 2025. The virtual meeting can be accessed via the following link: www.virtualshareholdermeeting.com/DY2025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55B5"/>
        </w:rPr>
        <w:t>COMMON STOCK:</w:t>
      </w:r>
    </w:p>
    <w:p>
      <w:pPr>
        <w:spacing w:after="0" w:line="93" w:lineRule="exact"/>
        <w:rPr>
          <w:sz w:val="20"/>
          <w:szCs w:val="20"/>
          <w:color w:val="auto"/>
        </w:rPr>
      </w:pPr>
    </w:p>
    <w:p>
      <w:pPr>
        <w:ind w:right="60"/>
        <w:spacing w:after="0" w:line="312" w:lineRule="auto"/>
        <w:rPr>
          <w:sz w:val="20"/>
          <w:szCs w:val="20"/>
          <w:color w:val="auto"/>
        </w:rPr>
      </w:pPr>
      <w:r>
        <w:rPr>
          <w:rFonts w:ascii="Arial" w:cs="Arial" w:eastAsia="Arial" w:hAnsi="Arial"/>
          <w:sz w:val="18"/>
          <w:szCs w:val="18"/>
          <w:color w:val="auto"/>
        </w:rPr>
        <w:t>The common stock of Dycom Industries, Inc. is traded on the New York Stock Exchange under the trading symbol “DY”.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55B5"/>
        </w:rPr>
        <w:t>SHAREHOLDER INFORMATION:</w:t>
      </w:r>
    </w:p>
    <w:p>
      <w:pPr>
        <w:spacing w:after="0" w:line="93" w:lineRule="exact"/>
        <w:rPr>
          <w:sz w:val="20"/>
          <w:szCs w:val="20"/>
          <w:color w:val="auto"/>
        </w:rPr>
      </w:pPr>
    </w:p>
    <w:p>
      <w:pPr>
        <w:ind w:right="100"/>
        <w:spacing w:after="0" w:line="289" w:lineRule="auto"/>
        <w:rPr>
          <w:sz w:val="20"/>
          <w:szCs w:val="20"/>
          <w:color w:val="auto"/>
        </w:rPr>
      </w:pPr>
      <w:r>
        <w:rPr>
          <w:rFonts w:ascii="Arial" w:cs="Arial" w:eastAsia="Arial" w:hAnsi="Arial"/>
          <w:sz w:val="18"/>
          <w:szCs w:val="18"/>
          <w:color w:val="auto"/>
        </w:rPr>
        <w:t>Copies of this report to Shareholders, the Annual Report to the Securities and Exchange Commission (“SEC”) on Form 10-K, and other published reports may be obtained, without charge, by sending a written request to: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Dycom Industries,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300 Banyan Blvd Suite 1101</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West Palm Beach, Florida 33401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Telephone: (561) 627-7171</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Web Site: www.dycomind.com</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E-mail: info@dycomind.com</w:t>
      </w:r>
    </w:p>
    <w:p>
      <w:pPr>
        <w:spacing w:after="0" w:line="203" w:lineRule="exact"/>
        <w:rPr>
          <w:sz w:val="20"/>
          <w:szCs w:val="20"/>
          <w:color w:val="auto"/>
        </w:rPr>
      </w:pPr>
    </w:p>
    <w:p>
      <w:pPr>
        <w:ind w:right="60"/>
        <w:spacing w:after="0" w:line="312" w:lineRule="auto"/>
        <w:rPr>
          <w:sz w:val="20"/>
          <w:szCs w:val="20"/>
          <w:color w:val="auto"/>
        </w:rPr>
      </w:pPr>
      <w:r>
        <w:rPr>
          <w:rFonts w:ascii="Arial" w:cs="Arial" w:eastAsia="Arial" w:hAnsi="Arial"/>
          <w:sz w:val="18"/>
          <w:szCs w:val="18"/>
          <w:color w:val="auto"/>
        </w:rPr>
        <w:t>Documents that Dycom has filed electronically with the SEC can be accessed on the SEC’s website at www.sec.gov.</w:t>
      </w:r>
    </w:p>
    <w:p>
      <w:pPr>
        <w:spacing w:after="0" w:line="112" w:lineRule="exact"/>
        <w:rPr>
          <w:sz w:val="20"/>
          <w:szCs w:val="20"/>
          <w:color w:val="auto"/>
        </w:rPr>
      </w:pPr>
    </w:p>
    <w:p>
      <w:pPr>
        <w:ind w:right="80"/>
        <w:spacing w:after="0" w:line="289" w:lineRule="auto"/>
        <w:rPr>
          <w:sz w:val="20"/>
          <w:szCs w:val="20"/>
          <w:color w:val="auto"/>
        </w:rPr>
      </w:pPr>
      <w:r>
        <w:rPr>
          <w:rFonts w:ascii="Arial" w:cs="Arial" w:eastAsia="Arial" w:hAnsi="Arial"/>
          <w:sz w:val="18"/>
          <w:szCs w:val="18"/>
          <w:color w:val="auto"/>
        </w:rPr>
        <w:t>Dycom has filed the certifications of the Chief Executive Officer and Chief Financial Officer required by Section 302 of the Sarbanes-Oxley Act of 2002 as Exhibits 31.1 and 31.2 of its 2025 Annual Report on Form 10-K filed with the SEC.</w:t>
      </w:r>
    </w:p>
    <w:p>
      <w:pPr>
        <w:spacing w:after="0" w:line="20" w:lineRule="exact"/>
        <w:rPr>
          <w:sz w:val="20"/>
          <w:szCs w:val="20"/>
          <w:color w:val="auto"/>
        </w:rPr>
      </w:pPr>
    </w:p>
    <w:p>
      <w:pPr>
        <w:sectPr>
          <w:pgSz w:w="11880" w:h="15480" w:orient="portrait"/>
          <w:cols w:equalWidth="0" w:num="2">
            <w:col w:w="4440" w:space="720"/>
            <w:col w:w="4920"/>
          </w:cols>
          <w:pgMar w:left="900" w:top="1073" w:right="900"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34">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80" w:right="5500"/>
        <w:spacing w:after="0" w:line="258" w:lineRule="auto"/>
        <w:rPr>
          <w:sz w:val="20"/>
          <w:szCs w:val="20"/>
          <w:color w:val="auto"/>
        </w:rPr>
      </w:pPr>
      <w:r>
        <w:rPr>
          <w:rFonts w:ascii="Arial" w:cs="Arial" w:eastAsia="Arial" w:hAnsi="Arial"/>
          <w:sz w:val="24"/>
          <w:szCs w:val="24"/>
          <w:color w:val="FFFFFF"/>
        </w:rPr>
        <w:t>300 Banyan Blvd, Suite 1101 West Palm Beach, FL 33401</w:t>
      </w:r>
    </w:p>
    <w:p>
      <w:pPr>
        <w:spacing w:after="0" w:line="266" w:lineRule="exact"/>
        <w:rPr>
          <w:sz w:val="20"/>
          <w:szCs w:val="20"/>
          <w:color w:val="auto"/>
        </w:rPr>
      </w:pPr>
    </w:p>
    <w:p>
      <w:pPr>
        <w:ind w:left="380"/>
        <w:spacing w:after="0"/>
        <w:rPr>
          <w:sz w:val="20"/>
          <w:szCs w:val="20"/>
          <w:color w:val="auto"/>
        </w:rPr>
      </w:pPr>
      <w:r>
        <w:rPr>
          <w:rFonts w:ascii="Arial" w:cs="Arial" w:eastAsia="Arial" w:hAnsi="Arial"/>
          <w:sz w:val="22"/>
          <w:szCs w:val="22"/>
          <w:color w:val="FFFFFF"/>
        </w:rPr>
        <w:t>dycomind.com</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22"/>
          <w:szCs w:val="22"/>
          <w:color w:val="FFFFFF"/>
        </w:rPr>
        <w:t>info@dycomind.com</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22"/>
          <w:szCs w:val="22"/>
          <w:color w:val="FFFFFF"/>
        </w:rPr>
        <w:t>561.627.7171</w:t>
      </w:r>
    </w:p>
    <w:sectPr>
      <w:pgSz w:w="11880" w:h="15480" w:orient="portrait"/>
      <w:cols w:equalWidth="0" w:num="1">
        <w:col w:w="900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4"/>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6"/>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lvl w:ilvl="1">
      <w:lvlJc w:val="left"/>
      <w:lvlText w:val="•"/>
      <w:numFmt w:val="bullet"/>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0"/>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20"/>
    </w:lvl>
  </w:abstractNum>
  <w:abstractNum w:abstractNumId="21">
    <w:nsid w:val="836C40E"/>
    <w:multiLevelType w:val="hybridMultilevel"/>
    <w:lvl w:ilvl="0">
      <w:lvlJc w:val="left"/>
      <w:lvlText w:val="(%1)"/>
      <w:numFmt w:val="lowerRoman"/>
      <w:start w:val="3"/>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lowerLetter"/>
      <w:start w:val="1"/>
    </w:lvl>
    <w:lvl w:ilvl="1">
      <w:lvlJc w:val="left"/>
      <w:lvlText w:val="%2."/>
      <w:numFmt w:val="decimal"/>
      <w:start w:val="1"/>
    </w:lvl>
  </w:abstractNum>
  <w:abstractNum w:abstractNumId="24">
    <w:nsid w:val="8138641"/>
    <w:multiLevelType w:val="hybridMultilevel"/>
    <w:lvl w:ilvl="0">
      <w:lvlJc w:val="left"/>
      <w:lvlText w:val="%1"/>
      <w:numFmt w:val="decimal"/>
      <w:start w:val="97"/>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bullet"/>
      <w:start w:val="1"/>
    </w:lvl>
  </w:abstractNum>
  <w:abstractNum w:abstractNumId="32">
    <w:nsid w:val="614FD4A1"/>
    <w:multiLevelType w:val="hybridMultilevel"/>
    <w:lvl w:ilvl="0">
      <w:lvlJc w:val="left"/>
      <w:lvlText w:val="2"/>
      <w:numFmt w:val="bullet"/>
      <w:start w:val="1"/>
    </w:lvl>
  </w:abstractNum>
  <w:abstractNum w:abstractNumId="33">
    <w:nsid w:val="419AC241"/>
    <w:multiLevelType w:val="hybridMultilevel"/>
    <w:lvl w:ilvl="0">
      <w:lvlJc w:val="left"/>
      <w:lvlText w:val="3"/>
      <w:numFmt w:val="bullet"/>
      <w:start w:val="1"/>
    </w:lvl>
  </w:abstractNum>
  <w:abstractNum w:abstractNumId="34">
    <w:nsid w:val="5577F8E1"/>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2025-04-11T20:40:32Z</dcterms:created>
  <dcterms:modified xsi:type="dcterms:W3CDTF">2025-04-11T20:40:32Z</dcterms:modified>
</cp:coreProperties>
</file>