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4"/>
          <w:szCs w:val="14"/>
          <w:b w:val="1"/>
          <w:bCs w:val="1"/>
          <w:color w:val="auto"/>
        </w:rPr>
        <w:t>UNITED STATES SECURITIES AND EXCHANGE COMMISSION</w:t>
      </w:r>
    </w:p>
    <w:p>
      <w:pPr>
        <w:jc w:val="center"/>
        <w:spacing w:after="0" w:line="229" w:lineRule="auto"/>
        <w:rPr>
          <w:sz w:val="20"/>
          <w:szCs w:val="20"/>
          <w:color w:val="auto"/>
        </w:rPr>
      </w:pPr>
      <w:r>
        <w:rPr>
          <w:rFonts w:ascii="Times New Roman" w:cs="Times New Roman" w:eastAsia="Times New Roman" w:hAnsi="Times New Roman"/>
          <w:sz w:val="14"/>
          <w:szCs w:val="14"/>
          <w:b w:val="1"/>
          <w:bCs w:val="1"/>
          <w:color w:val="auto"/>
        </w:rPr>
        <w:t>Washington, D.C. 20549</w:t>
      </w:r>
    </w:p>
    <w:p>
      <w:pPr>
        <w:jc w:val="center"/>
        <w:spacing w:after="0" w:line="222" w:lineRule="auto"/>
        <w:rPr>
          <w:sz w:val="20"/>
          <w:szCs w:val="20"/>
          <w:color w:val="auto"/>
        </w:rPr>
      </w:pPr>
      <w:r>
        <w:rPr>
          <w:rFonts w:ascii="Times New Roman" w:cs="Times New Roman" w:eastAsia="Times New Roman" w:hAnsi="Times New Roman"/>
          <w:sz w:val="14"/>
          <w:szCs w:val="14"/>
          <w:b w:val="1"/>
          <w:bCs w:val="1"/>
          <w:color w:val="auto"/>
        </w:rPr>
        <w:t>FORM 10-K</w:t>
      </w:r>
    </w:p>
    <w:p>
      <w:pPr>
        <w:spacing w:after="0"/>
        <w:rPr>
          <w:sz w:val="20"/>
          <w:szCs w:val="20"/>
          <w:color w:val="auto"/>
        </w:rPr>
      </w:pPr>
      <w:r>
        <w:rPr>
          <w:rFonts w:ascii="Times New Roman" w:cs="Times New Roman" w:eastAsia="Times New Roman" w:hAnsi="Times New Roman"/>
          <w:sz w:val="14"/>
          <w:szCs w:val="14"/>
          <w:color w:val="auto"/>
        </w:rPr>
        <w:t>(Mark One)</w:t>
      </w:r>
    </w:p>
    <w:p>
      <w:pPr>
        <w:spacing w:after="0" w:line="171" w:lineRule="exact"/>
        <w:rPr>
          <w:sz w:val="24"/>
          <w:szCs w:val="24"/>
          <w:color w:val="auto"/>
        </w:rPr>
      </w:pPr>
    </w:p>
    <w:p>
      <w:pPr>
        <w:ind w:right="4200" w:firstLine="5"/>
        <w:spacing w:after="0" w:line="290" w:lineRule="auto"/>
        <w:tabs>
          <w:tab w:leader="none" w:pos="167"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b w:val="1"/>
          <w:bCs w:val="1"/>
          <w:color w:val="auto"/>
        </w:rPr>
        <w:t>ANNUAL REPORT PURSUANT TO SECTION 13 OR 15(d) OF THE SECURITIES EXCHANGE ACT OF 1934 For the fiscal year ended January 25, 2025</w:t>
      </w:r>
    </w:p>
    <w:p>
      <w:pPr>
        <w:spacing w:after="0" w:line="226" w:lineRule="exact"/>
        <w:rPr>
          <w:sz w:val="24"/>
          <w:szCs w:val="24"/>
          <w:color w:val="auto"/>
        </w:rPr>
      </w:pPr>
    </w:p>
    <w:p>
      <w:pPr>
        <w:ind w:right="3920" w:firstLine="5"/>
        <w:spacing w:after="0" w:line="290" w:lineRule="auto"/>
        <w:tabs>
          <w:tab w:leader="none" w:pos="167" w:val="left"/>
        </w:tabs>
        <w:numPr>
          <w:ilvl w:val="0"/>
          <w:numId w:val="2"/>
        </w:numPr>
        <w:rPr>
          <w:rFonts w:ascii="MS PGothic" w:cs="MS PGothic" w:eastAsia="MS PGothic" w:hAnsi="MS PGothic"/>
          <w:sz w:val="14"/>
          <w:szCs w:val="14"/>
          <w:color w:val="auto"/>
        </w:rPr>
      </w:pPr>
      <w:r>
        <w:rPr>
          <w:rFonts w:ascii="Times New Roman" w:cs="Times New Roman" w:eastAsia="Times New Roman" w:hAnsi="Times New Roman"/>
          <w:sz w:val="14"/>
          <w:szCs w:val="14"/>
          <w:b w:val="1"/>
          <w:bCs w:val="1"/>
          <w:color w:val="auto"/>
        </w:rPr>
        <w:t>TRANSITION REPORT PURSUANT TO SECTION 13 OR 15(d) OF THE SECURITIES EXCHANGE ACT OF 1934 For the transition period from ________ to ________</w:t>
      </w:r>
    </w:p>
    <w:p>
      <w:pPr>
        <w:spacing w:after="0" w:line="32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Commission File Number 001-10613</w:t>
      </w:r>
    </w:p>
    <w:p>
      <w:pPr>
        <w:jc w:val="center"/>
        <w:spacing w:after="0" w:line="229" w:lineRule="auto"/>
        <w:rPr>
          <w:sz w:val="20"/>
          <w:szCs w:val="20"/>
          <w:color w:val="auto"/>
        </w:rPr>
      </w:pPr>
      <w:r>
        <w:rPr>
          <w:rFonts w:ascii="Times New Roman" w:cs="Times New Roman" w:eastAsia="Times New Roman" w:hAnsi="Times New Roman"/>
          <w:sz w:val="14"/>
          <w:szCs w:val="14"/>
          <w:b w:val="1"/>
          <w:bCs w:val="1"/>
          <w:u w:val="single" w:color="auto"/>
          <w:color w:val="auto"/>
        </w:rPr>
        <w:t>DYCOM INDUSTRIES, INC.</w:t>
      </w:r>
    </w:p>
    <w:p>
      <w:pPr>
        <w:jc w:val="center"/>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Exact name of registrant as specified in its charter</w:t>
      </w:r>
      <w:r>
        <w:rPr>
          <w:rFonts w:ascii="Times New Roman" w:cs="Times New Roman" w:eastAsia="Times New Roman" w:hAnsi="Times New Roman"/>
          <w:sz w:val="14"/>
          <w:szCs w:val="14"/>
          <w:color w:val="auto"/>
        </w:rPr>
        <w:t>)</w:t>
      </w:r>
    </w:p>
    <w:p>
      <w:pPr>
        <w:spacing w:after="0" w:line="12" w:lineRule="exact"/>
        <w:rPr>
          <w:sz w:val="24"/>
          <w:szCs w:val="24"/>
          <w:color w:val="auto"/>
        </w:rPr>
      </w:pPr>
    </w:p>
    <w:tbl>
      <w:tblPr>
        <w:tblLayout w:type="fixed"/>
        <w:tblInd w:w="2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3760" w:type="dxa"/>
            <w:vAlign w:val="bottom"/>
          </w:tcPr>
          <w:p>
            <w:pPr>
              <w:jc w:val="center"/>
              <w:ind w:left="171"/>
              <w:spacing w:after="0"/>
              <w:rPr>
                <w:sz w:val="20"/>
                <w:szCs w:val="20"/>
                <w:color w:val="auto"/>
              </w:rPr>
            </w:pPr>
            <w:r>
              <w:rPr>
                <w:rFonts w:ascii="Times New Roman" w:cs="Times New Roman" w:eastAsia="Times New Roman" w:hAnsi="Times New Roman"/>
                <w:sz w:val="14"/>
                <w:szCs w:val="14"/>
                <w:b w:val="1"/>
                <w:bCs w:val="1"/>
                <w:color w:val="auto"/>
                <w:w w:val="99"/>
              </w:rPr>
              <w:t>Florida</w:t>
            </w:r>
          </w:p>
        </w:tc>
        <w:tc>
          <w:tcPr>
            <w:tcW w:w="2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20" w:type="dxa"/>
            <w:vAlign w:val="bottom"/>
            <w:gridSpan w:val="2"/>
          </w:tcPr>
          <w:p>
            <w:pPr>
              <w:jc w:val="right"/>
              <w:ind w:right="1532"/>
              <w:spacing w:after="0"/>
              <w:rPr>
                <w:sz w:val="20"/>
                <w:szCs w:val="20"/>
                <w:color w:val="auto"/>
              </w:rPr>
            </w:pPr>
            <w:r>
              <w:rPr>
                <w:rFonts w:ascii="Times New Roman" w:cs="Times New Roman" w:eastAsia="Times New Roman" w:hAnsi="Times New Roman"/>
                <w:sz w:val="14"/>
                <w:szCs w:val="14"/>
                <w:b w:val="1"/>
                <w:bCs w:val="1"/>
                <w:color w:val="auto"/>
              </w:rPr>
              <w:t>59-1277135</w:t>
            </w:r>
          </w:p>
        </w:tc>
        <w:tc>
          <w:tcPr>
            <w:tcW w:w="20" w:type="dxa"/>
            <w:vAlign w:val="bottom"/>
          </w:tcPr>
          <w:p>
            <w:pPr>
              <w:spacing w:after="0"/>
              <w:rPr>
                <w:sz w:val="16"/>
                <w:szCs w:val="16"/>
                <w:color w:val="auto"/>
              </w:rPr>
            </w:pPr>
          </w:p>
        </w:tc>
      </w:tr>
      <w:tr>
        <w:trPr>
          <w:trHeight w:val="158"/>
        </w:trPr>
        <w:tc>
          <w:tcPr>
            <w:tcW w:w="20" w:type="dxa"/>
            <w:vAlign w:val="bottom"/>
          </w:tcPr>
          <w:p>
            <w:pPr>
              <w:spacing w:after="0"/>
              <w:rPr>
                <w:sz w:val="13"/>
                <w:szCs w:val="13"/>
                <w:color w:val="auto"/>
              </w:rPr>
            </w:pPr>
          </w:p>
        </w:tc>
        <w:tc>
          <w:tcPr>
            <w:tcW w:w="3760" w:type="dxa"/>
            <w:vAlign w:val="bottom"/>
            <w:tcBorders>
              <w:top w:val="single" w:sz="8" w:color="auto"/>
            </w:tcBorders>
          </w:tcPr>
          <w:p>
            <w:pPr>
              <w:jc w:val="center"/>
              <w:ind w:left="191"/>
              <w:spacing w:after="0"/>
              <w:rPr>
                <w:sz w:val="20"/>
                <w:szCs w:val="20"/>
                <w:color w:val="auto"/>
              </w:rPr>
            </w:pPr>
            <w:r>
              <w:rPr>
                <w:rFonts w:ascii="Times New Roman" w:cs="Times New Roman" w:eastAsia="Times New Roman" w:hAnsi="Times New Roman"/>
                <w:sz w:val="13"/>
                <w:szCs w:val="13"/>
                <w:color w:val="auto"/>
                <w:w w:val="97"/>
              </w:rPr>
              <w:t>(</w:t>
            </w:r>
            <w:r>
              <w:rPr>
                <w:rFonts w:ascii="Times New Roman" w:cs="Times New Roman" w:eastAsia="Times New Roman" w:hAnsi="Times New Roman"/>
                <w:sz w:val="13"/>
                <w:szCs w:val="13"/>
                <w:i w:val="1"/>
                <w:iCs w:val="1"/>
                <w:color w:val="auto"/>
                <w:w w:val="97"/>
              </w:rPr>
              <w:t>State or other jurisdiction of incorporation or organization</w:t>
            </w:r>
            <w:r>
              <w:rPr>
                <w:rFonts w:ascii="Times New Roman" w:cs="Times New Roman" w:eastAsia="Times New Roman" w:hAnsi="Times New Roman"/>
                <w:sz w:val="13"/>
                <w:szCs w:val="13"/>
                <w:color w:val="auto"/>
                <w:w w:val="97"/>
              </w:rPr>
              <w:t>)</w:t>
            </w:r>
          </w:p>
        </w:tc>
        <w:tc>
          <w:tcPr>
            <w:tcW w:w="260" w:type="dxa"/>
            <w:vAlign w:val="bottom"/>
            <w:tcBorders>
              <w:top w:val="single" w:sz="8" w:color="auto"/>
            </w:tcBorders>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8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7"/>
              </w:rPr>
              <w:t>(</w:t>
            </w:r>
            <w:r>
              <w:rPr>
                <w:rFonts w:ascii="Times New Roman" w:cs="Times New Roman" w:eastAsia="Times New Roman" w:hAnsi="Times New Roman"/>
                <w:sz w:val="13"/>
                <w:szCs w:val="13"/>
                <w:i w:val="1"/>
                <w:iCs w:val="1"/>
                <w:color w:val="auto"/>
                <w:w w:val="97"/>
              </w:rPr>
              <w:t>I.R.S. Employer Identification No.</w:t>
            </w:r>
            <w:r>
              <w:rPr>
                <w:rFonts w:ascii="Times New Roman" w:cs="Times New Roman" w:eastAsia="Times New Roman" w:hAnsi="Times New Roman"/>
                <w:sz w:val="13"/>
                <w:szCs w:val="13"/>
                <w:color w:val="auto"/>
                <w:w w:val="97"/>
              </w:rPr>
              <w:t>)</w:t>
            </w:r>
          </w:p>
        </w:tc>
        <w:tc>
          <w:tcPr>
            <w:tcW w:w="20" w:type="dxa"/>
            <w:vAlign w:val="bottom"/>
          </w:tcPr>
          <w:p>
            <w:pPr>
              <w:spacing w:after="0"/>
              <w:rPr>
                <w:sz w:val="13"/>
                <w:szCs w:val="13"/>
                <w:color w:val="auto"/>
              </w:rPr>
            </w:pPr>
          </w:p>
        </w:tc>
      </w:tr>
      <w:tr>
        <w:trPr>
          <w:trHeight w:val="219"/>
        </w:trPr>
        <w:tc>
          <w:tcPr>
            <w:tcW w:w="20" w:type="dxa"/>
            <w:vAlign w:val="bottom"/>
          </w:tcPr>
          <w:p>
            <w:pPr>
              <w:spacing w:after="0"/>
              <w:rPr>
                <w:sz w:val="19"/>
                <w:szCs w:val="19"/>
                <w:color w:val="auto"/>
              </w:rPr>
            </w:pPr>
          </w:p>
        </w:tc>
        <w:tc>
          <w:tcPr>
            <w:tcW w:w="37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620" w:type="dxa"/>
            <w:vAlign w:val="bottom"/>
            <w:gridSpan w:val="6"/>
          </w:tcPr>
          <w:p>
            <w:pPr>
              <w:jc w:val="center"/>
              <w:ind w:right="4392"/>
              <w:spacing w:after="0"/>
              <w:rPr>
                <w:sz w:val="20"/>
                <w:szCs w:val="20"/>
                <w:color w:val="auto"/>
              </w:rPr>
            </w:pPr>
            <w:r>
              <w:rPr>
                <w:rFonts w:ascii="Times New Roman" w:cs="Times New Roman" w:eastAsia="Times New Roman" w:hAnsi="Times New Roman"/>
                <w:sz w:val="14"/>
                <w:szCs w:val="14"/>
                <w:b w:val="1"/>
                <w:bCs w:val="1"/>
                <w:color w:val="auto"/>
              </w:rPr>
              <w:t>11780 U.S. Highway One, Suite 600</w:t>
            </w:r>
          </w:p>
        </w:tc>
        <w:tc>
          <w:tcPr>
            <w:tcW w:w="20" w:type="dxa"/>
            <w:vAlign w:val="bottom"/>
          </w:tcPr>
          <w:p>
            <w:pPr>
              <w:spacing w:after="0"/>
              <w:rPr>
                <w:sz w:val="19"/>
                <w:szCs w:val="19"/>
                <w:color w:val="auto"/>
              </w:rPr>
            </w:pPr>
          </w:p>
        </w:tc>
      </w:tr>
      <w:tr>
        <w:trPr>
          <w:trHeight w:val="188"/>
        </w:trPr>
        <w:tc>
          <w:tcPr>
            <w:tcW w:w="20" w:type="dxa"/>
            <w:vAlign w:val="bottom"/>
          </w:tcPr>
          <w:p>
            <w:pPr>
              <w:spacing w:after="0"/>
              <w:rPr>
                <w:sz w:val="16"/>
                <w:szCs w:val="16"/>
                <w:color w:val="auto"/>
              </w:rPr>
            </w:pPr>
          </w:p>
        </w:tc>
        <w:tc>
          <w:tcPr>
            <w:tcW w:w="37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140" w:type="dxa"/>
            <w:vAlign w:val="bottom"/>
            <w:tcBorders>
              <w:bottom w:val="single" w:sz="8" w:color="auto"/>
            </w:tcBorders>
            <w:gridSpan w:val="3"/>
          </w:tcPr>
          <w:p>
            <w:pPr>
              <w:ind w:left="380"/>
              <w:spacing w:after="0"/>
              <w:rPr>
                <w:sz w:val="20"/>
                <w:szCs w:val="20"/>
                <w:color w:val="auto"/>
              </w:rPr>
            </w:pPr>
            <w:r>
              <w:rPr>
                <w:rFonts w:ascii="Times New Roman" w:cs="Times New Roman" w:eastAsia="Times New Roman" w:hAnsi="Times New Roman"/>
                <w:sz w:val="14"/>
                <w:szCs w:val="14"/>
                <w:b w:val="1"/>
                <w:bCs w:val="1"/>
                <w:color w:val="auto"/>
              </w:rPr>
              <w:t>Palm Beach Gardens,</w:t>
            </w:r>
          </w:p>
        </w:tc>
        <w:tc>
          <w:tcPr>
            <w:tcW w:w="44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FL</w:t>
            </w:r>
          </w:p>
        </w:tc>
        <w:tc>
          <w:tcPr>
            <w:tcW w:w="740" w:type="dxa"/>
            <w:vAlign w:val="bottom"/>
            <w:tcBorders>
              <w:bottom w:val="single" w:sz="8" w:color="auto"/>
            </w:tcBorders>
          </w:tcPr>
          <w:p>
            <w:pPr>
              <w:jc w:val="right"/>
              <w:ind w:right="189"/>
              <w:spacing w:after="0"/>
              <w:rPr>
                <w:sz w:val="20"/>
                <w:szCs w:val="20"/>
                <w:color w:val="auto"/>
              </w:rPr>
            </w:pPr>
            <w:r>
              <w:rPr>
                <w:rFonts w:ascii="Times New Roman" w:cs="Times New Roman" w:eastAsia="Times New Roman" w:hAnsi="Times New Roman"/>
                <w:sz w:val="14"/>
                <w:szCs w:val="14"/>
                <w:b w:val="1"/>
                <w:bCs w:val="1"/>
                <w:color w:val="auto"/>
              </w:rPr>
              <w:t>33408</w:t>
            </w:r>
          </w:p>
        </w:tc>
        <w:tc>
          <w:tcPr>
            <w:tcW w:w="388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67"/>
        </w:trPr>
        <w:tc>
          <w:tcPr>
            <w:tcW w:w="2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320" w:type="dxa"/>
            <w:vAlign w:val="bottom"/>
            <w:gridSpan w:val="6"/>
          </w:tcPr>
          <w:p>
            <w:pPr>
              <w:jc w:val="center"/>
              <w:spacing w:after="0"/>
              <w:rPr>
                <w:sz w:val="20"/>
                <w:szCs w:val="20"/>
                <w:color w:val="auto"/>
              </w:rPr>
            </w:pPr>
            <w:r>
              <w:rPr>
                <w:rFonts w:ascii="Times New Roman" w:cs="Times New Roman" w:eastAsia="Times New Roman" w:hAnsi="Times New Roman"/>
                <w:sz w:val="13"/>
                <w:szCs w:val="13"/>
                <w:color w:val="auto"/>
                <w:w w:val="97"/>
              </w:rPr>
              <w:t>(</w:t>
            </w:r>
            <w:r>
              <w:rPr>
                <w:rFonts w:ascii="Times New Roman" w:cs="Times New Roman" w:eastAsia="Times New Roman" w:hAnsi="Times New Roman"/>
                <w:sz w:val="13"/>
                <w:szCs w:val="13"/>
                <w:i w:val="1"/>
                <w:iCs w:val="1"/>
                <w:color w:val="auto"/>
                <w:w w:val="97"/>
              </w:rPr>
              <w:t>Address of principal executive offices, including zip code</w:t>
            </w:r>
            <w:r>
              <w:rPr>
                <w:rFonts w:ascii="Times New Roman" w:cs="Times New Roman" w:eastAsia="Times New Roman" w:hAnsi="Times New Roman"/>
                <w:sz w:val="13"/>
                <w:szCs w:val="13"/>
                <w:color w:val="auto"/>
                <w:w w:val="97"/>
              </w:rPr>
              <w:t>)</w:t>
            </w:r>
          </w:p>
        </w:tc>
        <w:tc>
          <w:tcPr>
            <w:tcW w:w="388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46"/>
        </w:trPr>
        <w:tc>
          <w:tcPr>
            <w:tcW w:w="20" w:type="dxa"/>
            <w:vAlign w:val="bottom"/>
          </w:tcPr>
          <w:p>
            <w:pPr>
              <w:spacing w:after="0"/>
              <w:rPr>
                <w:sz w:val="21"/>
                <w:szCs w:val="21"/>
                <w:color w:val="auto"/>
              </w:rPr>
            </w:pPr>
          </w:p>
        </w:tc>
        <w:tc>
          <w:tcPr>
            <w:tcW w:w="11220" w:type="dxa"/>
            <w:vAlign w:val="bottom"/>
            <w:gridSpan w:val="9"/>
          </w:tcPr>
          <w:p>
            <w:pPr>
              <w:jc w:val="center"/>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 (561) 627-7171</w:t>
            </w:r>
          </w:p>
        </w:tc>
        <w:tc>
          <w:tcPr>
            <w:tcW w:w="20" w:type="dxa"/>
            <w:vAlign w:val="bottom"/>
          </w:tcPr>
          <w:p>
            <w:pPr>
              <w:spacing w:after="0"/>
              <w:rPr>
                <w:sz w:val="21"/>
                <w:szCs w:val="21"/>
                <w:color w:val="auto"/>
              </w:rPr>
            </w:pPr>
          </w:p>
        </w:tc>
      </w:tr>
      <w:tr>
        <w:trPr>
          <w:trHeight w:val="340"/>
        </w:trPr>
        <w:tc>
          <w:tcPr>
            <w:tcW w:w="2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7460" w:type="dxa"/>
            <w:vAlign w:val="bottom"/>
            <w:gridSpan w:val="8"/>
          </w:tcPr>
          <w:p>
            <w:pPr>
              <w:jc w:val="center"/>
              <w:ind w:right="3692"/>
              <w:spacing w:after="0"/>
              <w:rPr>
                <w:sz w:val="20"/>
                <w:szCs w:val="20"/>
                <w:color w:val="auto"/>
              </w:rPr>
            </w:pPr>
            <w:r>
              <w:rPr>
                <w:rFonts w:ascii="Times New Roman" w:cs="Times New Roman" w:eastAsia="Times New Roman" w:hAnsi="Times New Roman"/>
                <w:sz w:val="14"/>
                <w:szCs w:val="14"/>
                <w:b w:val="1"/>
                <w:bCs w:val="1"/>
                <w:color w:val="auto"/>
              </w:rPr>
              <w:t>Securities registered pursuant to Section 12(b) of the Act:</w:t>
            </w:r>
          </w:p>
        </w:tc>
        <w:tc>
          <w:tcPr>
            <w:tcW w:w="20" w:type="dxa"/>
            <w:vAlign w:val="bottom"/>
          </w:tcPr>
          <w:p>
            <w:pPr>
              <w:spacing w:after="0"/>
              <w:rPr>
                <w:sz w:val="24"/>
                <w:szCs w:val="24"/>
                <w:color w:val="auto"/>
              </w:rPr>
            </w:pPr>
          </w:p>
        </w:tc>
      </w:tr>
      <w:tr>
        <w:trPr>
          <w:trHeight w:val="191"/>
        </w:trPr>
        <w:tc>
          <w:tcPr>
            <w:tcW w:w="20" w:type="dxa"/>
            <w:vAlign w:val="bottom"/>
            <w:tcBorders>
              <w:bottom w:val="single" w:sz="8" w:color="auto"/>
            </w:tcBorders>
          </w:tcPr>
          <w:p>
            <w:pPr>
              <w:spacing w:after="0"/>
              <w:rPr>
                <w:sz w:val="16"/>
                <w:szCs w:val="16"/>
                <w:color w:val="auto"/>
              </w:rPr>
            </w:pPr>
          </w:p>
        </w:tc>
        <w:tc>
          <w:tcPr>
            <w:tcW w:w="3760" w:type="dxa"/>
            <w:vAlign w:val="bottom"/>
            <w:tcBorders>
              <w:bottom w:val="single" w:sz="8" w:color="auto"/>
            </w:tcBorders>
          </w:tcPr>
          <w:p>
            <w:pPr>
              <w:jc w:val="center"/>
              <w:ind w:left="751"/>
              <w:spacing w:after="0"/>
              <w:rPr>
                <w:sz w:val="20"/>
                <w:szCs w:val="20"/>
                <w:color w:val="auto"/>
              </w:rPr>
            </w:pPr>
            <w:r>
              <w:rPr>
                <w:rFonts w:ascii="Times New Roman" w:cs="Times New Roman" w:eastAsia="Times New Roman" w:hAnsi="Times New Roman"/>
                <w:sz w:val="14"/>
                <w:szCs w:val="14"/>
                <w:color w:val="auto"/>
                <w:w w:val="99"/>
              </w:rPr>
              <w:t>Title of Each Class</w:t>
            </w:r>
          </w:p>
        </w:tc>
        <w:tc>
          <w:tcPr>
            <w:tcW w:w="26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Borders>
              <w:bottom w:val="single" w:sz="8" w:color="auto"/>
            </w:tcBorders>
          </w:tcPr>
          <w:p>
            <w:pPr>
              <w:jc w:val="center"/>
              <w:ind w:left="269"/>
              <w:spacing w:after="0"/>
              <w:rPr>
                <w:sz w:val="20"/>
                <w:szCs w:val="20"/>
                <w:color w:val="auto"/>
              </w:rPr>
            </w:pPr>
            <w:r>
              <w:rPr>
                <w:rFonts w:ascii="Times New Roman" w:cs="Times New Roman" w:eastAsia="Times New Roman" w:hAnsi="Times New Roman"/>
                <w:sz w:val="14"/>
                <w:szCs w:val="14"/>
                <w:color w:val="auto"/>
              </w:rPr>
              <w:t>Trading Symbol(s)</w:t>
            </w:r>
          </w:p>
        </w:tc>
        <w:tc>
          <w:tcPr>
            <w:tcW w:w="3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3880" w:type="dxa"/>
            <w:vAlign w:val="bottom"/>
            <w:tcBorders>
              <w:bottom w:val="single" w:sz="8" w:color="auto"/>
            </w:tcBorders>
          </w:tcPr>
          <w:p>
            <w:pPr>
              <w:jc w:val="center"/>
              <w:ind w:right="672"/>
              <w:spacing w:after="0"/>
              <w:rPr>
                <w:sz w:val="20"/>
                <w:szCs w:val="20"/>
                <w:color w:val="auto"/>
              </w:rPr>
            </w:pPr>
            <w:r>
              <w:rPr>
                <w:rFonts w:ascii="Times New Roman" w:cs="Times New Roman" w:eastAsia="Times New Roman" w:hAnsi="Times New Roman"/>
                <w:sz w:val="14"/>
                <w:szCs w:val="14"/>
                <w:color w:val="auto"/>
              </w:rPr>
              <w:t>Name of Each Exchange on Which Registered</w:t>
            </w:r>
          </w:p>
        </w:tc>
        <w:tc>
          <w:tcPr>
            <w:tcW w:w="20" w:type="dxa"/>
            <w:vAlign w:val="bottom"/>
            <w:tcBorders>
              <w:bottom w:val="single" w:sz="8" w:color="auto"/>
            </w:tcBorders>
          </w:tcPr>
          <w:p>
            <w:pPr>
              <w:spacing w:after="0"/>
              <w:rPr>
                <w:sz w:val="16"/>
                <w:szCs w:val="16"/>
                <w:color w:val="auto"/>
              </w:rPr>
            </w:pPr>
          </w:p>
        </w:tc>
      </w:tr>
      <w:tr>
        <w:trPr>
          <w:trHeight w:val="177"/>
        </w:trPr>
        <w:tc>
          <w:tcPr>
            <w:tcW w:w="20" w:type="dxa"/>
            <w:vAlign w:val="bottom"/>
          </w:tcPr>
          <w:p>
            <w:pPr>
              <w:spacing w:after="0"/>
              <w:rPr>
                <w:sz w:val="15"/>
                <w:szCs w:val="15"/>
                <w:color w:val="auto"/>
              </w:rPr>
            </w:pPr>
          </w:p>
        </w:tc>
        <w:tc>
          <w:tcPr>
            <w:tcW w:w="3760" w:type="dxa"/>
            <w:vAlign w:val="bottom"/>
          </w:tcPr>
          <w:p>
            <w:pPr>
              <w:jc w:val="center"/>
              <w:ind w:left="731"/>
              <w:spacing w:after="0"/>
              <w:rPr>
                <w:sz w:val="20"/>
                <w:szCs w:val="20"/>
                <w:color w:val="auto"/>
              </w:rPr>
            </w:pPr>
            <w:r>
              <w:rPr>
                <w:rFonts w:ascii="Times New Roman" w:cs="Times New Roman" w:eastAsia="Times New Roman" w:hAnsi="Times New Roman"/>
                <w:sz w:val="14"/>
                <w:szCs w:val="14"/>
                <w:b w:val="1"/>
                <w:bCs w:val="1"/>
                <w:color w:val="auto"/>
              </w:rPr>
              <w:t>Common stock, par value $0.33 1/3 per share</w:t>
            </w:r>
          </w:p>
        </w:tc>
        <w:tc>
          <w:tcPr>
            <w:tcW w:w="2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60" w:type="dxa"/>
            <w:vAlign w:val="bottom"/>
          </w:tcPr>
          <w:p>
            <w:pPr>
              <w:jc w:val="center"/>
              <w:ind w:left="269"/>
              <w:spacing w:after="0"/>
              <w:rPr>
                <w:sz w:val="20"/>
                <w:szCs w:val="20"/>
                <w:color w:val="auto"/>
              </w:rPr>
            </w:pPr>
            <w:r>
              <w:rPr>
                <w:rFonts w:ascii="Times New Roman" w:cs="Times New Roman" w:eastAsia="Times New Roman" w:hAnsi="Times New Roman"/>
                <w:sz w:val="14"/>
                <w:szCs w:val="14"/>
                <w:b w:val="1"/>
                <w:bCs w:val="1"/>
                <w:color w:val="auto"/>
                <w:w w:val="98"/>
              </w:rPr>
              <w:t>DY</w:t>
            </w: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880" w:type="dxa"/>
            <w:vAlign w:val="bottom"/>
          </w:tcPr>
          <w:p>
            <w:pPr>
              <w:jc w:val="center"/>
              <w:ind w:right="652"/>
              <w:spacing w:after="0"/>
              <w:rPr>
                <w:sz w:val="20"/>
                <w:szCs w:val="20"/>
                <w:color w:val="auto"/>
              </w:rPr>
            </w:pPr>
            <w:r>
              <w:rPr>
                <w:rFonts w:ascii="Times New Roman" w:cs="Times New Roman" w:eastAsia="Times New Roman" w:hAnsi="Times New Roman"/>
                <w:sz w:val="14"/>
                <w:szCs w:val="14"/>
                <w:b w:val="1"/>
                <w:bCs w:val="1"/>
                <w:color w:val="auto"/>
              </w:rPr>
              <w:t>New York Stock Exchange</w:t>
            </w:r>
          </w:p>
        </w:tc>
        <w:tc>
          <w:tcPr>
            <w:tcW w:w="20" w:type="dxa"/>
            <w:vAlign w:val="bottom"/>
          </w:tcPr>
          <w:p>
            <w:pPr>
              <w:spacing w:after="0"/>
              <w:rPr>
                <w:sz w:val="15"/>
                <w:szCs w:val="15"/>
                <w:color w:val="auto"/>
              </w:rPr>
            </w:pPr>
          </w:p>
        </w:tc>
      </w:tr>
    </w:tbl>
    <w:p>
      <w:pPr>
        <w:spacing w:after="0" w:line="52" w:lineRule="exact"/>
        <w:rPr>
          <w:sz w:val="24"/>
          <w:szCs w:val="24"/>
          <w:color w:val="auto"/>
        </w:rPr>
      </w:pPr>
    </w:p>
    <w:p>
      <w:pPr>
        <w:ind w:left="3740"/>
        <w:spacing w:after="0"/>
        <w:rPr>
          <w:sz w:val="20"/>
          <w:szCs w:val="20"/>
          <w:color w:val="auto"/>
        </w:rPr>
      </w:pPr>
      <w:r>
        <w:rPr>
          <w:rFonts w:ascii="Times New Roman" w:cs="Times New Roman" w:eastAsia="Times New Roman" w:hAnsi="Times New Roman"/>
          <w:sz w:val="14"/>
          <w:szCs w:val="14"/>
          <w:b w:val="1"/>
          <w:bCs w:val="1"/>
          <w:color w:val="auto"/>
        </w:rPr>
        <w:t>Securities registered pursuant to Section 12(g) of the Act: None</w:t>
      </w:r>
    </w:p>
    <w:p>
      <w:pPr>
        <w:spacing w:after="0" w:line="43" w:lineRule="exact"/>
        <w:rPr>
          <w:sz w:val="24"/>
          <w:szCs w:val="24"/>
          <w:color w:val="auto"/>
        </w:rPr>
      </w:pPr>
    </w:p>
    <w:p>
      <w:pPr>
        <w:ind w:right="3740"/>
        <w:spacing w:after="0" w:line="235" w:lineRule="exact"/>
        <w:rPr>
          <w:sz w:val="20"/>
          <w:szCs w:val="20"/>
          <w:color w:val="auto"/>
        </w:rPr>
      </w:pPr>
      <w:r>
        <w:rPr>
          <w:rFonts w:ascii="Times New Roman" w:cs="Times New Roman" w:eastAsia="Times New Roman" w:hAnsi="Times New Roman"/>
          <w:sz w:val="14"/>
          <w:szCs w:val="14"/>
          <w:color w:val="auto"/>
        </w:rPr>
        <w:t xml:space="preserve">Indicate by check mark if the registrant is a well-known seasoned issuer, as defined in Rule 405 of the Securities Act.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Indicate by check mark if the registrant is not required to file reports pursuant to Section 13 or Section 15(d) of the Act.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29" w:lineRule="exact"/>
        <w:rPr>
          <w:sz w:val="24"/>
          <w:szCs w:val="24"/>
          <w:color w:val="auto"/>
        </w:rPr>
      </w:pPr>
    </w:p>
    <w:p>
      <w:pPr>
        <w:spacing w:after="0" w:line="178"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28" w:lineRule="exact"/>
        <w:rPr>
          <w:sz w:val="24"/>
          <w:szCs w:val="24"/>
          <w:color w:val="auto"/>
        </w:rPr>
      </w:pPr>
    </w:p>
    <w:p>
      <w:pPr>
        <w:spacing w:after="0" w:line="178"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28" w:lineRule="exact"/>
        <w:rPr>
          <w:sz w:val="24"/>
          <w:szCs w:val="24"/>
          <w:color w:val="auto"/>
        </w:rPr>
      </w:pPr>
    </w:p>
    <w:p>
      <w:pPr>
        <w:spacing w:after="0" w:line="247"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 w:lineRule="exact"/>
        <w:rPr>
          <w:sz w:val="24"/>
          <w:szCs w:val="24"/>
          <w:color w:val="auto"/>
        </w:rPr>
      </w:pPr>
    </w:p>
    <w:tbl>
      <w:tblPr>
        <w:tblLayout w:type="fixed"/>
        <w:tblInd w:w="20" w:type="dxa"/>
        <w:tblCellMar>
          <w:top w:w="0" w:type="dxa"/>
          <w:left w:w="0" w:type="dxa"/>
          <w:bottom w:w="0" w:type="dxa"/>
          <w:right w:w="0" w:type="dxa"/>
        </w:tblCellMar>
      </w:tblPr>
      <w:tr>
        <w:trPr>
          <w:trHeight w:val="173"/>
        </w:trPr>
        <w:tc>
          <w:tcPr>
            <w:tcW w:w="2020" w:type="dxa"/>
            <w:vAlign w:val="bottom"/>
          </w:tcPr>
          <w:p>
            <w:pPr>
              <w:spacing w:after="0"/>
              <w:rPr>
                <w:sz w:val="20"/>
                <w:szCs w:val="20"/>
                <w:color w:val="auto"/>
              </w:rPr>
            </w:pPr>
            <w:r>
              <w:rPr>
                <w:rFonts w:ascii="Times New Roman" w:cs="Times New Roman" w:eastAsia="Times New Roman" w:hAnsi="Times New Roman"/>
                <w:sz w:val="14"/>
                <w:szCs w:val="14"/>
                <w:color w:val="auto"/>
              </w:rPr>
              <w:t>Large accelerated filer</w:t>
            </w:r>
          </w:p>
        </w:tc>
        <w:tc>
          <w:tcPr>
            <w:tcW w:w="700" w:type="dxa"/>
            <w:vAlign w:val="bottom"/>
          </w:tcPr>
          <w:p>
            <w:pPr>
              <w:ind w:left="480"/>
              <w:spacing w:after="0" w:line="131" w:lineRule="exact"/>
              <w:rPr>
                <w:sz w:val="20"/>
                <w:szCs w:val="20"/>
                <w:color w:val="auto"/>
              </w:rPr>
            </w:pPr>
            <w:r>
              <w:rPr>
                <w:rFonts w:ascii="MS PGothic" w:cs="MS PGothic" w:eastAsia="MS PGothic" w:hAnsi="MS PGothic"/>
                <w:sz w:val="13"/>
                <w:szCs w:val="13"/>
                <w:color w:val="auto"/>
              </w:rPr>
              <w:t>☒</w:t>
            </w:r>
          </w:p>
        </w:tc>
        <w:tc>
          <w:tcPr>
            <w:tcW w:w="178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Accelerated filer</w:t>
            </w:r>
          </w:p>
        </w:tc>
        <w:tc>
          <w:tcPr>
            <w:tcW w:w="2920" w:type="dxa"/>
            <w:vAlign w:val="bottom"/>
          </w:tcPr>
          <w:p>
            <w:pPr>
              <w:ind w:left="820"/>
              <w:spacing w:after="0" w:line="150" w:lineRule="exact"/>
              <w:rPr>
                <w:sz w:val="20"/>
                <w:szCs w:val="20"/>
                <w:color w:val="auto"/>
              </w:rPr>
            </w:pP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Non-accelerated filer</w:t>
            </w:r>
          </w:p>
        </w:tc>
        <w:tc>
          <w:tcPr>
            <w:tcW w:w="2980" w:type="dxa"/>
            <w:vAlign w:val="bottom"/>
          </w:tcPr>
          <w:p>
            <w:pPr>
              <w:ind w:left="720"/>
              <w:spacing w:after="0" w:line="150" w:lineRule="exact"/>
              <w:rPr>
                <w:sz w:val="20"/>
                <w:szCs w:val="20"/>
                <w:color w:val="auto"/>
              </w:rPr>
            </w:pP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Smaller reporting company</w:t>
            </w:r>
          </w:p>
        </w:tc>
        <w:tc>
          <w:tcPr>
            <w:tcW w:w="700" w:type="dxa"/>
            <w:vAlign w:val="bottom"/>
          </w:tcPr>
          <w:p>
            <w:pPr>
              <w:ind w:left="56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14"/>
        </w:trPr>
        <w:tc>
          <w:tcPr>
            <w:tcW w:w="2020" w:type="dxa"/>
            <w:vAlign w:val="bottom"/>
          </w:tcPr>
          <w:p>
            <w:pPr>
              <w:spacing w:after="0"/>
              <w:rPr>
                <w:sz w:val="20"/>
                <w:szCs w:val="20"/>
                <w:color w:val="auto"/>
              </w:rPr>
            </w:pPr>
            <w:r>
              <w:rPr>
                <w:rFonts w:ascii="Times New Roman" w:cs="Times New Roman" w:eastAsia="Times New Roman" w:hAnsi="Times New Roman"/>
                <w:sz w:val="14"/>
                <w:szCs w:val="14"/>
                <w:color w:val="auto"/>
              </w:rPr>
              <w:t>Emerging growth company</w:t>
            </w:r>
          </w:p>
        </w:tc>
        <w:tc>
          <w:tcPr>
            <w:tcW w:w="700" w:type="dxa"/>
            <w:vAlign w:val="bottom"/>
          </w:tcPr>
          <w:p>
            <w:pPr>
              <w:ind w:left="480"/>
              <w:spacing w:after="0" w:line="131" w:lineRule="exact"/>
              <w:rPr>
                <w:sz w:val="20"/>
                <w:szCs w:val="20"/>
                <w:color w:val="auto"/>
              </w:rPr>
            </w:pPr>
            <w:r>
              <w:rPr>
                <w:rFonts w:ascii="MS PGothic" w:cs="MS PGothic" w:eastAsia="MS PGothic" w:hAnsi="MS PGothic"/>
                <w:sz w:val="13"/>
                <w:szCs w:val="13"/>
                <w:color w:val="auto"/>
              </w:rPr>
              <w:t>☐</w:t>
            </w:r>
          </w:p>
        </w:tc>
        <w:tc>
          <w:tcPr>
            <w:tcW w:w="178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700" w:type="dxa"/>
            <w:vAlign w:val="bottom"/>
          </w:tcPr>
          <w:p>
            <w:pPr>
              <w:spacing w:after="0"/>
              <w:rPr>
                <w:sz w:val="18"/>
                <w:szCs w:val="18"/>
                <w:color w:val="auto"/>
              </w:rPr>
            </w:pPr>
          </w:p>
        </w:tc>
      </w:tr>
    </w:tbl>
    <w:p>
      <w:pPr>
        <w:spacing w:after="0" w:line="55" w:lineRule="exact"/>
        <w:rPr>
          <w:sz w:val="24"/>
          <w:szCs w:val="24"/>
          <w:color w:val="auto"/>
        </w:rPr>
      </w:pPr>
    </w:p>
    <w:p>
      <w:pPr>
        <w:ind w:right="220"/>
        <w:spacing w:after="0" w:line="173"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170"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7262(b)0 by the registered public accounting firm that prepared or issued its audit report. </w:t>
      </w:r>
      <w:r>
        <w:rPr>
          <w:rFonts w:ascii="MS PGothic" w:cs="MS PGothic" w:eastAsia="MS PGothic" w:hAnsi="MS PGothic"/>
          <w:sz w:val="14"/>
          <w:szCs w:val="14"/>
          <w:color w:val="auto"/>
        </w:rPr>
        <w:t>☒</w:t>
      </w:r>
    </w:p>
    <w:p>
      <w:pPr>
        <w:spacing w:after="0" w:line="28" w:lineRule="exact"/>
        <w:rPr>
          <w:sz w:val="24"/>
          <w:szCs w:val="24"/>
          <w:color w:val="auto"/>
        </w:rPr>
      </w:pPr>
    </w:p>
    <w:p>
      <w:pPr>
        <w:spacing w:after="0" w:line="178" w:lineRule="exact"/>
        <w:rPr>
          <w:sz w:val="20"/>
          <w:szCs w:val="20"/>
          <w:color w:val="auto"/>
        </w:rPr>
      </w:pPr>
      <w:r>
        <w:rPr>
          <w:rFonts w:ascii="Times New Roman" w:cs="Times New Roman" w:eastAsia="Times New Roman" w:hAnsi="Times New Roman"/>
          <w:sz w:val="14"/>
          <w:szCs w:val="14"/>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4"/>
          <w:szCs w:val="14"/>
          <w:color w:val="auto"/>
        </w:rPr>
        <w:t>☐</w:t>
      </w:r>
    </w:p>
    <w:p>
      <w:pPr>
        <w:spacing w:after="0" w:line="28" w:lineRule="exact"/>
        <w:rPr>
          <w:sz w:val="24"/>
          <w:szCs w:val="24"/>
          <w:color w:val="auto"/>
        </w:rPr>
      </w:pPr>
    </w:p>
    <w:p>
      <w:pPr>
        <w:spacing w:after="0" w:line="178" w:lineRule="exact"/>
        <w:rPr>
          <w:sz w:val="20"/>
          <w:szCs w:val="20"/>
          <w:color w:val="auto"/>
        </w:rPr>
      </w:pPr>
      <w:r>
        <w:rPr>
          <w:rFonts w:ascii="Times New Roman" w:cs="Times New Roman" w:eastAsia="Times New Roman" w:hAnsi="Times New Roman"/>
          <w:sz w:val="14"/>
          <w:szCs w:val="14"/>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Section 240.10D-1(b). </w:t>
      </w:r>
      <w:r>
        <w:rPr>
          <w:rFonts w:ascii="MS PGothic" w:cs="MS PGothic" w:eastAsia="MS PGothic" w:hAnsi="MS PGothic"/>
          <w:sz w:val="14"/>
          <w:szCs w:val="14"/>
          <w:color w:val="auto"/>
        </w:rPr>
        <w:t>☐</w:t>
      </w:r>
    </w:p>
    <w:p>
      <w:pPr>
        <w:spacing w:after="0" w:line="161" w:lineRule="exact"/>
        <w:tabs>
          <w:tab w:leader="none" w:pos="6960" w:val="left"/>
        </w:tabs>
        <w:rPr>
          <w:sz w:val="20"/>
          <w:szCs w:val="20"/>
          <w:color w:val="auto"/>
        </w:rPr>
      </w:pPr>
      <w:r>
        <w:rPr>
          <w:rFonts w:ascii="Times New Roman" w:cs="Times New Roman" w:eastAsia="Times New Roman" w:hAnsi="Times New Roman"/>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sz w:val="20"/>
          <w:szCs w:val="20"/>
          <w:color w:val="auto"/>
        </w:rPr>
        <w:tab/>
      </w:r>
      <w:r>
        <w:rPr>
          <w:rFonts w:ascii="Times New Roman" w:cs="Times New Roman" w:eastAsia="Times New Roman" w:hAnsi="Times New Roman"/>
          <w:sz w:val="12"/>
          <w:szCs w:val="12"/>
          <w:color w:val="auto"/>
        </w:rPr>
        <w:t xml:space="preserve">No </w:t>
      </w:r>
      <w:r>
        <w:rPr>
          <w:rFonts w:ascii="MS PGothic" w:cs="MS PGothic" w:eastAsia="MS PGothic" w:hAnsi="MS PGothic"/>
          <w:sz w:val="12"/>
          <w:szCs w:val="12"/>
          <w:color w:val="auto"/>
        </w:rPr>
        <w:t>☒</w:t>
      </w:r>
    </w:p>
    <w:p>
      <w:pPr>
        <w:spacing w:after="0" w:line="110" w:lineRule="exact"/>
        <w:rPr>
          <w:sz w:val="24"/>
          <w:szCs w:val="24"/>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The aggregate market value of the common stock, par value $0.33 1/3 per share, held by non-affiliates of the registrant, computed by reference to the closing price of such stock on the New York Stock Exchange on July 27, 2024, was $4,995,661,562.</w:t>
      </w:r>
    </w:p>
    <w:p>
      <w:pPr>
        <w:spacing w:after="0" w:line="29" w:lineRule="exact"/>
        <w:rPr>
          <w:sz w:val="24"/>
          <w:szCs w:val="24"/>
          <w:color w:val="auto"/>
        </w:rPr>
      </w:pPr>
    </w:p>
    <w:tbl>
      <w:tblPr>
        <w:tblLayout w:type="fixed"/>
        <w:tblInd w:w="0" w:type="dxa"/>
        <w:tblCellMar>
          <w:top w:w="0" w:type="dxa"/>
          <w:left w:w="0" w:type="dxa"/>
          <w:bottom w:w="0" w:type="dxa"/>
          <w:right w:w="0" w:type="dxa"/>
        </w:tblCellMar>
      </w:tblPr>
      <w:tr>
        <w:trPr>
          <w:trHeight w:val="184"/>
        </w:trPr>
        <w:tc>
          <w:tcPr>
            <w:tcW w:w="728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There were 28,979,138 shares of common stock with a par value of $0.33 1/3 outstanding at February 25, 2025.</w:t>
            </w:r>
          </w:p>
        </w:tc>
        <w:tc>
          <w:tcPr>
            <w:tcW w:w="20" w:type="dxa"/>
            <w:vAlign w:val="bottom"/>
          </w:tcPr>
          <w:p>
            <w:pPr>
              <w:spacing w:after="0"/>
              <w:rPr>
                <w:sz w:val="16"/>
                <w:szCs w:val="16"/>
                <w:color w:val="auto"/>
              </w:rPr>
            </w:pPr>
          </w:p>
        </w:tc>
        <w:tc>
          <w:tcPr>
            <w:tcW w:w="3740" w:type="dxa"/>
            <w:vAlign w:val="bottom"/>
          </w:tcPr>
          <w:p>
            <w:pPr>
              <w:spacing w:after="0"/>
              <w:rPr>
                <w:sz w:val="16"/>
                <w:szCs w:val="16"/>
                <w:color w:val="auto"/>
              </w:rPr>
            </w:pPr>
          </w:p>
        </w:tc>
      </w:tr>
      <w:tr>
        <w:trPr>
          <w:trHeight w:val="233"/>
        </w:trPr>
        <w:tc>
          <w:tcPr>
            <w:tcW w:w="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640" w:type="dxa"/>
            <w:vAlign w:val="bottom"/>
          </w:tcPr>
          <w:p>
            <w:pPr>
              <w:ind w:left="3380"/>
              <w:spacing w:after="0"/>
              <w:rPr>
                <w:sz w:val="20"/>
                <w:szCs w:val="20"/>
                <w:color w:val="auto"/>
              </w:rPr>
            </w:pPr>
            <w:r>
              <w:rPr>
                <w:rFonts w:ascii="Times New Roman" w:cs="Times New Roman" w:eastAsia="Times New Roman" w:hAnsi="Times New Roman"/>
                <w:sz w:val="14"/>
                <w:szCs w:val="14"/>
                <w:b w:val="1"/>
                <w:bCs w:val="1"/>
                <w:color w:val="auto"/>
              </w:rPr>
              <w:t>DOCUMENTS INCORPORATED BY REFERENCE</w:t>
            </w:r>
          </w:p>
        </w:tc>
        <w:tc>
          <w:tcPr>
            <w:tcW w:w="20" w:type="dxa"/>
            <w:vAlign w:val="bottom"/>
          </w:tcPr>
          <w:p>
            <w:pPr>
              <w:spacing w:after="0"/>
              <w:rPr>
                <w:sz w:val="20"/>
                <w:szCs w:val="20"/>
                <w:color w:val="auto"/>
              </w:rPr>
            </w:pPr>
          </w:p>
        </w:tc>
        <w:tc>
          <w:tcPr>
            <w:tcW w:w="3740" w:type="dxa"/>
            <w:vAlign w:val="bottom"/>
          </w:tcPr>
          <w:p>
            <w:pPr>
              <w:spacing w:after="0"/>
              <w:rPr>
                <w:sz w:val="20"/>
                <w:szCs w:val="20"/>
                <w:color w:val="auto"/>
              </w:rPr>
            </w:pPr>
          </w:p>
        </w:tc>
      </w:tr>
      <w:tr>
        <w:trPr>
          <w:trHeight w:val="160"/>
        </w:trPr>
        <w:tc>
          <w:tcPr>
            <w:tcW w:w="20" w:type="dxa"/>
            <w:vAlign w:val="bottom"/>
          </w:tcPr>
          <w:p>
            <w:pPr>
              <w:spacing w:after="0"/>
              <w:rPr>
                <w:sz w:val="13"/>
                <w:szCs w:val="13"/>
                <w:color w:val="auto"/>
              </w:rPr>
            </w:pPr>
          </w:p>
        </w:tc>
        <w:tc>
          <w:tcPr>
            <w:tcW w:w="620" w:type="dxa"/>
            <w:vAlign w:val="bottom"/>
            <w:tcBorders>
              <w:bottom w:val="single" w:sz="8" w:color="auto"/>
            </w:tcBorders>
          </w:tcPr>
          <w:p>
            <w:pPr>
              <w:spacing w:after="0" w:line="159" w:lineRule="exact"/>
              <w:rPr>
                <w:sz w:val="20"/>
                <w:szCs w:val="20"/>
                <w:color w:val="auto"/>
              </w:rPr>
            </w:pPr>
            <w:r>
              <w:rPr>
                <w:rFonts w:ascii="Times New Roman" w:cs="Times New Roman" w:eastAsia="Times New Roman" w:hAnsi="Times New Roman"/>
                <w:sz w:val="14"/>
                <w:szCs w:val="14"/>
                <w:b w:val="1"/>
                <w:bCs w:val="1"/>
                <w:color w:val="auto"/>
                <w:w w:val="97"/>
              </w:rPr>
              <w:t>Document</w:t>
            </w:r>
          </w:p>
        </w:tc>
        <w:tc>
          <w:tcPr>
            <w:tcW w:w="6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740" w:type="dxa"/>
            <w:vAlign w:val="bottom"/>
            <w:tcBorders>
              <w:bottom w:val="single" w:sz="8" w:color="auto"/>
            </w:tcBorders>
          </w:tcPr>
          <w:p>
            <w:pPr>
              <w:jc w:val="center"/>
              <w:spacing w:after="0" w:line="159" w:lineRule="exact"/>
              <w:rPr>
                <w:sz w:val="20"/>
                <w:szCs w:val="20"/>
                <w:color w:val="auto"/>
              </w:rPr>
            </w:pPr>
            <w:r>
              <w:rPr>
                <w:rFonts w:ascii="Times New Roman" w:cs="Times New Roman" w:eastAsia="Times New Roman" w:hAnsi="Times New Roman"/>
                <w:sz w:val="14"/>
                <w:szCs w:val="14"/>
                <w:b w:val="1"/>
                <w:bCs w:val="1"/>
                <w:color w:val="auto"/>
              </w:rPr>
              <w:t>Part of Annual Report on Form 10-K into which incorporated</w:t>
            </w:r>
          </w:p>
        </w:tc>
      </w:tr>
      <w:tr>
        <w:trPr>
          <w:trHeight w:val="192"/>
        </w:trPr>
        <w:tc>
          <w:tcPr>
            <w:tcW w:w="20" w:type="dxa"/>
            <w:vAlign w:val="bottom"/>
          </w:tcPr>
          <w:p>
            <w:pPr>
              <w:spacing w:after="0"/>
              <w:rPr>
                <w:sz w:val="16"/>
                <w:szCs w:val="16"/>
                <w:color w:val="auto"/>
              </w:rPr>
            </w:pPr>
          </w:p>
        </w:tc>
        <w:tc>
          <w:tcPr>
            <w:tcW w:w="72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Portions of the registrant’s Proxy Statement for its 2025 Annual Meeting of Shareholders</w:t>
            </w:r>
          </w:p>
        </w:tc>
        <w:tc>
          <w:tcPr>
            <w:tcW w:w="20" w:type="dxa"/>
            <w:vAlign w:val="bottom"/>
          </w:tcPr>
          <w:p>
            <w:pPr>
              <w:spacing w:after="0"/>
              <w:rPr>
                <w:sz w:val="16"/>
                <w:szCs w:val="16"/>
                <w:color w:val="auto"/>
              </w:rPr>
            </w:pPr>
          </w:p>
        </w:tc>
        <w:tc>
          <w:tcPr>
            <w:tcW w:w="37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Parts II and III</w:t>
            </w:r>
          </w:p>
        </w:tc>
      </w:tr>
    </w:tbl>
    <w:p>
      <w:pPr>
        <w:spacing w:after="0" w:line="39"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4"/>
          <w:szCs w:val="14"/>
          <w:color w:val="auto"/>
        </w:rPr>
        <w:t>Such Proxy Statement, except for the portions thereof which have been specifically incorporated by reference, shall not be deemed “filed” as part of this Annual Report on 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-8890</wp:posOffset>
            </wp:positionH>
            <wp:positionV relativeFrom="paragraph">
              <wp:posOffset>312420</wp:posOffset>
            </wp:positionV>
            <wp:extent cx="71869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515" w:right="319" w:bottom="1440" w:gutter="0" w:footer="0" w:header="0"/>
        </w:sectPr>
      </w:pPr>
    </w:p>
    <w:bookmarkStart w:id="1" w:name="page2"/>
    <w:bookmarkEnd w:id="1"/>
    <w:p>
      <w:pPr>
        <w:jc w:val="center"/>
        <w:ind w:right="-959"/>
        <w:spacing w:after="0"/>
        <w:rPr>
          <w:sz w:val="20"/>
          <w:szCs w:val="20"/>
          <w:color w:val="auto"/>
        </w:rPr>
      </w:pPr>
      <w:r>
        <w:rPr>
          <w:rFonts w:ascii="Times New Roman" w:cs="Times New Roman" w:eastAsia="Times New Roman" w:hAnsi="Times New Roman"/>
          <w:sz w:val="14"/>
          <w:szCs w:val="14"/>
          <w:b w:val="1"/>
          <w:bCs w:val="1"/>
          <w:color w:val="auto"/>
        </w:rPr>
        <w:t>Dycom Industries, Inc.</w:t>
      </w:r>
    </w:p>
    <w:p>
      <w:pPr>
        <w:spacing w:after="0" w:line="25" w:lineRule="exact"/>
        <w:rPr>
          <w:sz w:val="20"/>
          <w:szCs w:val="20"/>
          <w:color w:val="auto"/>
        </w:rPr>
      </w:pPr>
    </w:p>
    <w:p>
      <w:pPr>
        <w:jc w:val="center"/>
        <w:ind w:right="-959"/>
        <w:spacing w:after="0"/>
        <w:rPr>
          <w:sz w:val="20"/>
          <w:szCs w:val="20"/>
          <w:color w:val="auto"/>
        </w:rPr>
      </w:pPr>
      <w:r>
        <w:rPr>
          <w:rFonts w:ascii="Times New Roman" w:cs="Times New Roman" w:eastAsia="Times New Roman" w:hAnsi="Times New Roman"/>
          <w:sz w:val="14"/>
          <w:szCs w:val="14"/>
          <w:b w:val="1"/>
          <w:bCs w:val="1"/>
          <w:color w:val="auto"/>
        </w:rPr>
        <w:t>Table of Contents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3340" w:type="dxa"/>
            <w:vAlign w:val="bottom"/>
            <w:tcBorders>
              <w:bottom w:val="single" w:sz="8" w:color="0000FF"/>
            </w:tcBorders>
            <w:gridSpan w:val="17"/>
          </w:tcPr>
          <w:p>
            <w:pPr>
              <w:spacing w:after="0"/>
              <w:rPr>
                <w:sz w:val="20"/>
                <w:szCs w:val="20"/>
                <w:color w:val="auto"/>
              </w:rPr>
            </w:pPr>
            <w:r>
              <w:rPr>
                <w:rFonts w:ascii="Times New Roman" w:cs="Times New Roman" w:eastAsia="Times New Roman" w:hAnsi="Times New Roman"/>
                <w:sz w:val="14"/>
                <w:szCs w:val="14"/>
                <w:color w:val="0000FF"/>
              </w:rPr>
              <w:t>Cautionary Note Concerning Forward-Looking Statements</w:t>
            </w:r>
          </w:p>
        </w:tc>
        <w:tc>
          <w:tcPr>
            <w:tcW w:w="4560" w:type="dxa"/>
            <w:vAlign w:val="bottom"/>
            <w:gridSpan w:val="8"/>
          </w:tcPr>
          <w:p>
            <w:pPr>
              <w:spacing w:after="0"/>
              <w:rPr>
                <w:sz w:val="13"/>
                <w:szCs w:val="13"/>
                <w:color w:val="auto"/>
              </w:rPr>
            </w:pPr>
          </w:p>
        </w:tc>
        <w:tc>
          <w:tcPr>
            <w:tcW w:w="8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14"/>
                <w:szCs w:val="14"/>
                <w:color w:val="0000FF"/>
              </w:rPr>
              <w:t>3</w:t>
            </w:r>
          </w:p>
        </w:tc>
        <w:tc>
          <w:tcPr>
            <w:tcW w:w="40" w:type="dxa"/>
            <w:vAlign w:val="bottom"/>
          </w:tcPr>
          <w:p>
            <w:pPr>
              <w:spacing w:after="0"/>
              <w:rPr>
                <w:sz w:val="13"/>
                <w:szCs w:val="13"/>
                <w:color w:val="auto"/>
              </w:rPr>
            </w:pPr>
          </w:p>
        </w:tc>
      </w:tr>
      <w:tr>
        <w:trPr>
          <w:trHeight w:val="160"/>
        </w:trPr>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7900" w:type="dxa"/>
            <w:vAlign w:val="bottom"/>
            <w:gridSpan w:val="25"/>
          </w:tcPr>
          <w:p>
            <w:pPr>
              <w:spacing w:after="0"/>
              <w:rPr>
                <w:sz w:val="20"/>
                <w:szCs w:val="20"/>
                <w:color w:val="auto"/>
              </w:rPr>
            </w:pPr>
            <w:r>
              <w:rPr>
                <w:rFonts w:ascii="Times New Roman" w:cs="Times New Roman" w:eastAsia="Times New Roman" w:hAnsi="Times New Roman"/>
                <w:sz w:val="14"/>
                <w:szCs w:val="14"/>
                <w:color w:val="0000FF"/>
              </w:rPr>
              <w:t>Available Information</w:t>
            </w:r>
          </w:p>
        </w:tc>
        <w:tc>
          <w:tcPr>
            <w:tcW w:w="12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color w:val="0000FF"/>
              </w:rPr>
              <w:t>4</w:t>
            </w:r>
          </w:p>
        </w:tc>
      </w:tr>
      <w:tr>
        <w:trPr>
          <w:trHeight w:val="404"/>
        </w:trPr>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50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80" w:type="dxa"/>
            <w:vAlign w:val="bottom"/>
            <w:gridSpan w:val="10"/>
          </w:tcPr>
          <w:p>
            <w:pPr>
              <w:jc w:val="center"/>
              <w:ind w:right="3660"/>
              <w:spacing w:after="0"/>
              <w:rPr>
                <w:sz w:val="20"/>
                <w:szCs w:val="20"/>
                <w:color w:val="auto"/>
              </w:rPr>
            </w:pPr>
            <w:r>
              <w:rPr>
                <w:rFonts w:ascii="Times New Roman" w:cs="Times New Roman" w:eastAsia="Times New Roman" w:hAnsi="Times New Roman"/>
                <w:sz w:val="14"/>
                <w:szCs w:val="14"/>
                <w:b w:val="1"/>
                <w:bCs w:val="1"/>
                <w:color w:val="auto"/>
                <w:w w:val="97"/>
              </w:rPr>
              <w:t>PART I</w:t>
            </w:r>
          </w:p>
        </w:tc>
        <w:tc>
          <w:tcPr>
            <w:tcW w:w="80" w:type="dxa"/>
            <w:vAlign w:val="bottom"/>
            <w:tcBorders>
              <w:top w:val="single" w:sz="8" w:color="0000FF"/>
            </w:tcBorders>
          </w:tcPr>
          <w:p>
            <w:pPr>
              <w:spacing w:after="0"/>
              <w:rPr>
                <w:sz w:val="24"/>
                <w:szCs w:val="24"/>
                <w:color w:val="auto"/>
              </w:rPr>
            </w:pPr>
          </w:p>
        </w:tc>
        <w:tc>
          <w:tcPr>
            <w:tcW w:w="40" w:type="dxa"/>
            <w:vAlign w:val="bottom"/>
          </w:tcPr>
          <w:p>
            <w:pPr>
              <w:spacing w:after="0"/>
              <w:rPr>
                <w:sz w:val="24"/>
                <w:szCs w:val="24"/>
                <w:color w:val="auto"/>
              </w:rPr>
            </w:pPr>
          </w:p>
        </w:tc>
      </w:tr>
      <w:tr>
        <w:trPr>
          <w:trHeight w:val="361"/>
        </w:trPr>
        <w:tc>
          <w:tcPr>
            <w:tcW w:w="400" w:type="dxa"/>
            <w:vAlign w:val="bottom"/>
          </w:tcPr>
          <w:p>
            <w:pPr>
              <w:spacing w:after="0"/>
              <w:rPr>
                <w:sz w:val="20"/>
                <w:szCs w:val="20"/>
                <w:color w:val="auto"/>
              </w:rPr>
            </w:pPr>
            <w:r>
              <w:rPr>
                <w:rFonts w:ascii="Times New Roman" w:cs="Times New Roman" w:eastAsia="Times New Roman" w:hAnsi="Times New Roman"/>
                <w:sz w:val="14"/>
                <w:szCs w:val="14"/>
                <w:color w:val="0000FF"/>
                <w:w w:val="90"/>
              </w:rPr>
              <w:t>Item 1.</w:t>
            </w:r>
          </w:p>
        </w:tc>
        <w:tc>
          <w:tcPr>
            <w:tcW w:w="1740" w:type="dxa"/>
            <w:vAlign w:val="bottom"/>
            <w:gridSpan w:val="3"/>
          </w:tcPr>
          <w:p>
            <w:pPr>
              <w:spacing w:after="0"/>
              <w:rPr>
                <w:sz w:val="24"/>
                <w:szCs w:val="24"/>
                <w:color w:val="auto"/>
              </w:rPr>
            </w:pPr>
          </w:p>
        </w:tc>
        <w:tc>
          <w:tcPr>
            <w:tcW w:w="7900" w:type="dxa"/>
            <w:vAlign w:val="bottom"/>
            <w:gridSpan w:val="25"/>
          </w:tcPr>
          <w:p>
            <w:pPr>
              <w:spacing w:after="0"/>
              <w:rPr>
                <w:sz w:val="20"/>
                <w:szCs w:val="20"/>
                <w:color w:val="auto"/>
              </w:rPr>
            </w:pPr>
            <w:r>
              <w:rPr>
                <w:rFonts w:ascii="Times New Roman" w:cs="Times New Roman" w:eastAsia="Times New Roman" w:hAnsi="Times New Roman"/>
                <w:sz w:val="14"/>
                <w:szCs w:val="14"/>
                <w:color w:val="0000FF"/>
              </w:rPr>
              <w:t>Business</w:t>
            </w:r>
          </w:p>
        </w:tc>
        <w:tc>
          <w:tcPr>
            <w:tcW w:w="12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color w:val="0000FF"/>
              </w:rPr>
              <w:t>4</w:t>
            </w:r>
          </w:p>
        </w:tc>
      </w:tr>
      <w:tr>
        <w:trPr>
          <w:trHeight w:val="20"/>
        </w:trPr>
        <w:tc>
          <w:tcPr>
            <w:tcW w:w="4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60"/>
        </w:trPr>
        <w:tc>
          <w:tcPr>
            <w:tcW w:w="50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4"/>
                <w:szCs w:val="14"/>
                <w:color w:val="0000FF"/>
                <w:w w:val="96"/>
              </w:rPr>
              <w:t>Item 1A.</w:t>
            </w:r>
          </w:p>
        </w:tc>
        <w:tc>
          <w:tcPr>
            <w:tcW w:w="1640" w:type="dxa"/>
            <w:vAlign w:val="bottom"/>
          </w:tcPr>
          <w:p>
            <w:pPr>
              <w:spacing w:after="0"/>
              <w:rPr>
                <w:sz w:val="13"/>
                <w:szCs w:val="13"/>
                <w:color w:val="auto"/>
              </w:rPr>
            </w:pPr>
          </w:p>
        </w:tc>
        <w:tc>
          <w:tcPr>
            <w:tcW w:w="72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4"/>
                <w:szCs w:val="14"/>
                <w:color w:val="0000FF"/>
                <w:w w:val="99"/>
              </w:rPr>
              <w:t>Risk Factors</w:t>
            </w:r>
          </w:p>
        </w:tc>
        <w:tc>
          <w:tcPr>
            <w:tcW w:w="7180" w:type="dxa"/>
            <w:vAlign w:val="bottom"/>
            <w:gridSpan w:val="22"/>
          </w:tcPr>
          <w:p>
            <w:pPr>
              <w:spacing w:after="0"/>
              <w:rPr>
                <w:sz w:val="13"/>
                <w:szCs w:val="13"/>
                <w:color w:val="auto"/>
              </w:rPr>
            </w:pPr>
          </w:p>
        </w:tc>
        <w:tc>
          <w:tcPr>
            <w:tcW w:w="120" w:type="dxa"/>
            <w:vAlign w:val="bottom"/>
            <w:tcBorders>
              <w:bottom w:val="single" w:sz="8" w:color="0000FF"/>
            </w:tcBorders>
            <w:gridSpan w:val="2"/>
          </w:tcPr>
          <w:p>
            <w:pPr>
              <w:jc w:val="center"/>
              <w:spacing w:after="0"/>
              <w:rPr>
                <w:sz w:val="20"/>
                <w:szCs w:val="20"/>
                <w:color w:val="auto"/>
              </w:rPr>
            </w:pPr>
            <w:r>
              <w:rPr>
                <w:rFonts w:ascii="Times New Roman" w:cs="Times New Roman" w:eastAsia="Times New Roman" w:hAnsi="Times New Roman"/>
                <w:sz w:val="14"/>
                <w:szCs w:val="14"/>
                <w:color w:val="0000FF"/>
                <w:w w:val="85"/>
              </w:rPr>
              <w:t>10</w:t>
            </w:r>
          </w:p>
        </w:tc>
      </w:tr>
      <w:tr>
        <w:trPr>
          <w:trHeight w:val="160"/>
        </w:trPr>
        <w:tc>
          <w:tcPr>
            <w:tcW w:w="2140" w:type="dxa"/>
            <w:vAlign w:val="bottom"/>
            <w:gridSpan w:val="4"/>
          </w:tcPr>
          <w:p>
            <w:pPr>
              <w:spacing w:after="0"/>
              <w:rPr>
                <w:sz w:val="20"/>
                <w:szCs w:val="20"/>
                <w:color w:val="auto"/>
              </w:rPr>
            </w:pPr>
            <w:r>
              <w:rPr>
                <w:rFonts w:ascii="Times New Roman" w:cs="Times New Roman" w:eastAsia="Times New Roman" w:hAnsi="Times New Roman"/>
                <w:sz w:val="14"/>
                <w:szCs w:val="14"/>
                <w:color w:val="0000FF"/>
              </w:rPr>
              <w:t>Item 1B.</w:t>
            </w:r>
          </w:p>
        </w:tc>
        <w:tc>
          <w:tcPr>
            <w:tcW w:w="7900" w:type="dxa"/>
            <w:vAlign w:val="bottom"/>
            <w:gridSpan w:val="25"/>
          </w:tcPr>
          <w:p>
            <w:pPr>
              <w:spacing w:after="0"/>
              <w:rPr>
                <w:sz w:val="20"/>
                <w:szCs w:val="20"/>
                <w:color w:val="auto"/>
              </w:rPr>
            </w:pPr>
            <w:r>
              <w:rPr>
                <w:rFonts w:ascii="Times New Roman" w:cs="Times New Roman" w:eastAsia="Times New Roman" w:hAnsi="Times New Roman"/>
                <w:sz w:val="14"/>
                <w:szCs w:val="14"/>
                <w:color w:val="0000FF"/>
              </w:rPr>
              <w:t>Unresolved Staff Comments</w:t>
            </w:r>
          </w:p>
        </w:tc>
        <w:tc>
          <w:tcPr>
            <w:tcW w:w="12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0000FF"/>
                <w:w w:val="85"/>
              </w:rPr>
              <w:t>20</w:t>
            </w:r>
          </w:p>
        </w:tc>
      </w:tr>
      <w:tr>
        <w:trPr>
          <w:trHeight w:val="20"/>
        </w:trPr>
        <w:tc>
          <w:tcPr>
            <w:tcW w:w="40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540" w:type="dxa"/>
            <w:vAlign w:val="bottom"/>
            <w:tcBorders>
              <w:right w:val="single" w:sz="8" w:color="0000FF"/>
            </w:tcBorders>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r>
      <w:tr>
        <w:trPr>
          <w:trHeight w:val="160"/>
        </w:trPr>
        <w:tc>
          <w:tcPr>
            <w:tcW w:w="214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4"/>
                <w:szCs w:val="14"/>
                <w:color w:val="0000FF"/>
              </w:rPr>
              <w:t>Item 1C.</w:t>
            </w:r>
          </w:p>
        </w:tc>
        <w:tc>
          <w:tcPr>
            <w:tcW w:w="80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4"/>
                <w:szCs w:val="14"/>
                <w:color w:val="0000FF"/>
                <w:w w:val="99"/>
              </w:rPr>
              <w:t>Cybersecurity</w:t>
            </w:r>
          </w:p>
        </w:tc>
        <w:tc>
          <w:tcPr>
            <w:tcW w:w="7100" w:type="dxa"/>
            <w:vAlign w:val="bottom"/>
            <w:gridSpan w:val="21"/>
          </w:tcPr>
          <w:p>
            <w:pPr>
              <w:spacing w:after="0"/>
              <w:rPr>
                <w:sz w:val="13"/>
                <w:szCs w:val="13"/>
                <w:color w:val="auto"/>
              </w:rPr>
            </w:pPr>
          </w:p>
        </w:tc>
        <w:tc>
          <w:tcPr>
            <w:tcW w:w="120" w:type="dxa"/>
            <w:vAlign w:val="bottom"/>
            <w:tcBorders>
              <w:bottom w:val="single" w:sz="8" w:color="0000FF"/>
            </w:tcBorders>
            <w:gridSpan w:val="2"/>
          </w:tcPr>
          <w:p>
            <w:pPr>
              <w:jc w:val="center"/>
              <w:spacing w:after="0"/>
              <w:rPr>
                <w:sz w:val="20"/>
                <w:szCs w:val="20"/>
                <w:color w:val="auto"/>
              </w:rPr>
            </w:pPr>
            <w:r>
              <w:rPr>
                <w:rFonts w:ascii="Times New Roman" w:cs="Times New Roman" w:eastAsia="Times New Roman" w:hAnsi="Times New Roman"/>
                <w:sz w:val="14"/>
                <w:szCs w:val="14"/>
                <w:color w:val="0000FF"/>
                <w:w w:val="85"/>
              </w:rPr>
              <w:t>20</w:t>
            </w:r>
          </w:p>
        </w:tc>
      </w:tr>
      <w:tr>
        <w:trPr>
          <w:trHeight w:val="160"/>
        </w:trPr>
        <w:tc>
          <w:tcPr>
            <w:tcW w:w="40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4"/>
                <w:szCs w:val="14"/>
                <w:color w:val="0000FF"/>
                <w:w w:val="90"/>
              </w:rPr>
              <w:t>Item 2.</w:t>
            </w:r>
          </w:p>
        </w:tc>
        <w:tc>
          <w:tcPr>
            <w:tcW w:w="1740" w:type="dxa"/>
            <w:vAlign w:val="bottom"/>
            <w:gridSpan w:val="3"/>
          </w:tcPr>
          <w:p>
            <w:pPr>
              <w:spacing w:after="0"/>
              <w:rPr>
                <w:sz w:val="13"/>
                <w:szCs w:val="13"/>
                <w:color w:val="auto"/>
              </w:rPr>
            </w:pPr>
          </w:p>
        </w:tc>
        <w:tc>
          <w:tcPr>
            <w:tcW w:w="58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4"/>
                <w:szCs w:val="14"/>
                <w:color w:val="0000FF"/>
                <w:w w:val="98"/>
              </w:rPr>
              <w:t>Properties</w:t>
            </w:r>
          </w:p>
        </w:tc>
        <w:tc>
          <w:tcPr>
            <w:tcW w:w="7320" w:type="dxa"/>
            <w:vAlign w:val="bottom"/>
            <w:gridSpan w:val="23"/>
          </w:tcPr>
          <w:p>
            <w:pPr>
              <w:spacing w:after="0"/>
              <w:rPr>
                <w:sz w:val="13"/>
                <w:szCs w:val="13"/>
                <w:color w:val="auto"/>
              </w:rPr>
            </w:pPr>
          </w:p>
        </w:tc>
        <w:tc>
          <w:tcPr>
            <w:tcW w:w="120" w:type="dxa"/>
            <w:vAlign w:val="bottom"/>
            <w:tcBorders>
              <w:bottom w:val="single" w:sz="8" w:color="0000FF"/>
            </w:tcBorders>
            <w:gridSpan w:val="2"/>
          </w:tcPr>
          <w:p>
            <w:pPr>
              <w:jc w:val="center"/>
              <w:spacing w:after="0"/>
              <w:rPr>
                <w:sz w:val="20"/>
                <w:szCs w:val="20"/>
                <w:color w:val="auto"/>
              </w:rPr>
            </w:pPr>
            <w:r>
              <w:rPr>
                <w:rFonts w:ascii="Times New Roman" w:cs="Times New Roman" w:eastAsia="Times New Roman" w:hAnsi="Times New Roman"/>
                <w:sz w:val="14"/>
                <w:szCs w:val="14"/>
                <w:color w:val="0000FF"/>
                <w:w w:val="85"/>
              </w:rPr>
              <w:t>20</w:t>
            </w:r>
          </w:p>
        </w:tc>
      </w:tr>
      <w:tr>
        <w:trPr>
          <w:trHeight w:val="160"/>
        </w:trPr>
        <w:tc>
          <w:tcPr>
            <w:tcW w:w="40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4"/>
                <w:szCs w:val="14"/>
                <w:color w:val="0000FF"/>
                <w:w w:val="90"/>
              </w:rPr>
              <w:t>Item 3.</w:t>
            </w:r>
          </w:p>
        </w:tc>
        <w:tc>
          <w:tcPr>
            <w:tcW w:w="1740" w:type="dxa"/>
            <w:vAlign w:val="bottom"/>
            <w:gridSpan w:val="3"/>
          </w:tcPr>
          <w:p>
            <w:pPr>
              <w:spacing w:after="0"/>
              <w:rPr>
                <w:sz w:val="13"/>
                <w:szCs w:val="13"/>
                <w:color w:val="auto"/>
              </w:rPr>
            </w:pPr>
          </w:p>
        </w:tc>
        <w:tc>
          <w:tcPr>
            <w:tcW w:w="106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4"/>
                <w:szCs w:val="14"/>
                <w:color w:val="0000FF"/>
              </w:rPr>
              <w:t>Legal Proceedings</w:t>
            </w:r>
          </w:p>
        </w:tc>
        <w:tc>
          <w:tcPr>
            <w:tcW w:w="6840" w:type="dxa"/>
            <w:vAlign w:val="bottom"/>
            <w:gridSpan w:val="19"/>
          </w:tcPr>
          <w:p>
            <w:pPr>
              <w:spacing w:after="0"/>
              <w:rPr>
                <w:sz w:val="13"/>
                <w:szCs w:val="13"/>
                <w:color w:val="auto"/>
              </w:rPr>
            </w:pPr>
          </w:p>
        </w:tc>
        <w:tc>
          <w:tcPr>
            <w:tcW w:w="120" w:type="dxa"/>
            <w:vAlign w:val="bottom"/>
            <w:tcBorders>
              <w:bottom w:val="single" w:sz="8" w:color="0000FF"/>
            </w:tcBorders>
            <w:gridSpan w:val="2"/>
          </w:tcPr>
          <w:p>
            <w:pPr>
              <w:jc w:val="center"/>
              <w:spacing w:after="0"/>
              <w:rPr>
                <w:sz w:val="20"/>
                <w:szCs w:val="20"/>
                <w:color w:val="auto"/>
              </w:rPr>
            </w:pPr>
            <w:r>
              <w:rPr>
                <w:rFonts w:ascii="Times New Roman" w:cs="Times New Roman" w:eastAsia="Times New Roman" w:hAnsi="Times New Roman"/>
                <w:sz w:val="14"/>
                <w:szCs w:val="14"/>
                <w:color w:val="0000FF"/>
                <w:w w:val="85"/>
              </w:rPr>
              <w:t>21</w:t>
            </w:r>
          </w:p>
        </w:tc>
      </w:tr>
      <w:tr>
        <w:trPr>
          <w:trHeight w:val="160"/>
        </w:trPr>
        <w:tc>
          <w:tcPr>
            <w:tcW w:w="2140" w:type="dxa"/>
            <w:vAlign w:val="bottom"/>
            <w:gridSpan w:val="4"/>
          </w:tcPr>
          <w:p>
            <w:pPr>
              <w:spacing w:after="0"/>
              <w:rPr>
                <w:sz w:val="20"/>
                <w:szCs w:val="20"/>
                <w:color w:val="auto"/>
              </w:rPr>
            </w:pPr>
            <w:r>
              <w:rPr>
                <w:rFonts w:ascii="Times New Roman" w:cs="Times New Roman" w:eastAsia="Times New Roman" w:hAnsi="Times New Roman"/>
                <w:sz w:val="14"/>
                <w:szCs w:val="14"/>
                <w:color w:val="0000FF"/>
              </w:rPr>
              <w:t>Item 4.</w:t>
            </w:r>
          </w:p>
        </w:tc>
        <w:tc>
          <w:tcPr>
            <w:tcW w:w="7900" w:type="dxa"/>
            <w:vAlign w:val="bottom"/>
            <w:gridSpan w:val="25"/>
          </w:tcPr>
          <w:p>
            <w:pPr>
              <w:spacing w:after="0"/>
              <w:rPr>
                <w:sz w:val="20"/>
                <w:szCs w:val="20"/>
                <w:color w:val="auto"/>
              </w:rPr>
            </w:pPr>
            <w:r>
              <w:rPr>
                <w:rFonts w:ascii="Times New Roman" w:cs="Times New Roman" w:eastAsia="Times New Roman" w:hAnsi="Times New Roman"/>
                <w:sz w:val="14"/>
                <w:szCs w:val="14"/>
                <w:color w:val="0000FF"/>
              </w:rPr>
              <w:t>Mine Safety Disclosures</w:t>
            </w:r>
          </w:p>
        </w:tc>
        <w:tc>
          <w:tcPr>
            <w:tcW w:w="12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0000FF"/>
                <w:w w:val="85"/>
              </w:rPr>
              <w:t>21</w:t>
            </w:r>
          </w:p>
        </w:tc>
      </w:tr>
      <w:tr>
        <w:trPr>
          <w:trHeight w:val="616"/>
        </w:trPr>
        <w:tc>
          <w:tcPr>
            <w:tcW w:w="400" w:type="dxa"/>
            <w:vAlign w:val="bottom"/>
            <w:tcBorders>
              <w:top w:val="single" w:sz="8" w:color="0000FF"/>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50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80" w:type="dxa"/>
            <w:vAlign w:val="bottom"/>
            <w:gridSpan w:val="10"/>
          </w:tcPr>
          <w:p>
            <w:pPr>
              <w:jc w:val="center"/>
              <w:ind w:right="3680"/>
              <w:spacing w:after="0"/>
              <w:rPr>
                <w:sz w:val="20"/>
                <w:szCs w:val="20"/>
                <w:color w:val="auto"/>
              </w:rPr>
            </w:pPr>
            <w:r>
              <w:rPr>
                <w:rFonts w:ascii="Times New Roman" w:cs="Times New Roman" w:eastAsia="Times New Roman" w:hAnsi="Times New Roman"/>
                <w:sz w:val="14"/>
                <w:szCs w:val="14"/>
                <w:b w:val="1"/>
                <w:bCs w:val="1"/>
                <w:color w:val="auto"/>
                <w:w w:val="98"/>
              </w:rPr>
              <w:t>PART II</w:t>
            </w:r>
          </w:p>
        </w:tc>
        <w:tc>
          <w:tcPr>
            <w:tcW w:w="8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r>
      <w:tr>
        <w:trPr>
          <w:trHeight w:val="361"/>
        </w:trPr>
        <w:tc>
          <w:tcPr>
            <w:tcW w:w="40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4"/>
                <w:szCs w:val="14"/>
                <w:color w:val="0000FF"/>
                <w:w w:val="90"/>
              </w:rPr>
              <w:t>Item 5.</w:t>
            </w:r>
          </w:p>
        </w:tc>
        <w:tc>
          <w:tcPr>
            <w:tcW w:w="1740" w:type="dxa"/>
            <w:vAlign w:val="bottom"/>
            <w:gridSpan w:val="3"/>
          </w:tcPr>
          <w:p>
            <w:pPr>
              <w:spacing w:after="0"/>
              <w:rPr>
                <w:sz w:val="24"/>
                <w:szCs w:val="24"/>
                <w:color w:val="auto"/>
              </w:rPr>
            </w:pPr>
          </w:p>
        </w:tc>
        <w:tc>
          <w:tcPr>
            <w:tcW w:w="6360" w:type="dxa"/>
            <w:vAlign w:val="bottom"/>
            <w:tcBorders>
              <w:bottom w:val="single" w:sz="8" w:color="0000FF"/>
            </w:tcBorders>
            <w:gridSpan w:val="24"/>
          </w:tcPr>
          <w:p>
            <w:pPr>
              <w:spacing w:after="0"/>
              <w:rPr>
                <w:sz w:val="20"/>
                <w:szCs w:val="20"/>
                <w:color w:val="auto"/>
              </w:rPr>
            </w:pPr>
            <w:r>
              <w:rPr>
                <w:rFonts w:ascii="Times New Roman" w:cs="Times New Roman" w:eastAsia="Times New Roman" w:hAnsi="Times New Roman"/>
                <w:sz w:val="14"/>
                <w:szCs w:val="14"/>
                <w:color w:val="0000FF"/>
              </w:rPr>
              <w:t>Market for Registrant’s Common Equity, Related Stockholder Matters and Issuer Purchases of Equity Securities</w:t>
            </w:r>
          </w:p>
        </w:tc>
        <w:tc>
          <w:tcPr>
            <w:tcW w:w="1540" w:type="dxa"/>
            <w:vAlign w:val="bottom"/>
          </w:tcPr>
          <w:p>
            <w:pPr>
              <w:spacing w:after="0"/>
              <w:rPr>
                <w:sz w:val="24"/>
                <w:szCs w:val="24"/>
                <w:color w:val="auto"/>
              </w:rPr>
            </w:pPr>
          </w:p>
        </w:tc>
        <w:tc>
          <w:tcPr>
            <w:tcW w:w="120" w:type="dxa"/>
            <w:vAlign w:val="bottom"/>
            <w:tcBorders>
              <w:bottom w:val="single" w:sz="8" w:color="0000FF"/>
            </w:tcBorders>
            <w:gridSpan w:val="2"/>
          </w:tcPr>
          <w:p>
            <w:pPr>
              <w:jc w:val="center"/>
              <w:spacing w:after="0"/>
              <w:rPr>
                <w:sz w:val="20"/>
                <w:szCs w:val="20"/>
                <w:color w:val="auto"/>
              </w:rPr>
            </w:pPr>
            <w:r>
              <w:rPr>
                <w:rFonts w:ascii="Times New Roman" w:cs="Times New Roman" w:eastAsia="Times New Roman" w:hAnsi="Times New Roman"/>
                <w:sz w:val="14"/>
                <w:szCs w:val="14"/>
                <w:color w:val="0000FF"/>
                <w:w w:val="85"/>
              </w:rPr>
              <w:t>21</w:t>
            </w:r>
          </w:p>
        </w:tc>
      </w:tr>
      <w:tr>
        <w:trPr>
          <w:trHeight w:val="160"/>
        </w:trPr>
        <w:tc>
          <w:tcPr>
            <w:tcW w:w="400" w:type="dxa"/>
            <w:vAlign w:val="bottom"/>
          </w:tcPr>
          <w:p>
            <w:pPr>
              <w:spacing w:after="0"/>
              <w:rPr>
                <w:sz w:val="20"/>
                <w:szCs w:val="20"/>
                <w:color w:val="auto"/>
              </w:rPr>
            </w:pPr>
            <w:r>
              <w:rPr>
                <w:rFonts w:ascii="Times New Roman" w:cs="Times New Roman" w:eastAsia="Times New Roman" w:hAnsi="Times New Roman"/>
                <w:sz w:val="14"/>
                <w:szCs w:val="14"/>
                <w:color w:val="0000FF"/>
                <w:w w:val="90"/>
              </w:rPr>
              <w:t>Item 6.</w:t>
            </w:r>
          </w:p>
        </w:tc>
        <w:tc>
          <w:tcPr>
            <w:tcW w:w="1740" w:type="dxa"/>
            <w:vAlign w:val="bottom"/>
            <w:gridSpan w:val="3"/>
          </w:tcPr>
          <w:p>
            <w:pPr>
              <w:spacing w:after="0"/>
              <w:rPr>
                <w:sz w:val="13"/>
                <w:szCs w:val="13"/>
                <w:color w:val="auto"/>
              </w:rPr>
            </w:pPr>
          </w:p>
        </w:tc>
        <w:tc>
          <w:tcPr>
            <w:tcW w:w="7900" w:type="dxa"/>
            <w:vAlign w:val="bottom"/>
            <w:gridSpan w:val="25"/>
          </w:tcPr>
          <w:p>
            <w:pPr>
              <w:spacing w:after="0"/>
              <w:rPr>
                <w:sz w:val="20"/>
                <w:szCs w:val="20"/>
                <w:color w:val="auto"/>
              </w:rPr>
            </w:pPr>
            <w:r>
              <w:rPr>
                <w:rFonts w:ascii="Times New Roman" w:cs="Times New Roman" w:eastAsia="Times New Roman" w:hAnsi="Times New Roman"/>
                <w:sz w:val="14"/>
                <w:szCs w:val="14"/>
                <w:color w:val="0000FF"/>
              </w:rPr>
              <w:t>Selected Financial Data</w:t>
            </w:r>
          </w:p>
        </w:tc>
        <w:tc>
          <w:tcPr>
            <w:tcW w:w="12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0000FF"/>
                <w:w w:val="85"/>
              </w:rPr>
              <w:t>23</w:t>
            </w:r>
          </w:p>
        </w:tc>
      </w:tr>
      <w:tr>
        <w:trPr>
          <w:trHeight w:val="20"/>
        </w:trPr>
        <w:tc>
          <w:tcPr>
            <w:tcW w:w="400" w:type="dxa"/>
            <w:vAlign w:val="bottom"/>
            <w:shd w:val="clear" w:color="auto" w:fill="0000FF"/>
          </w:tcPr>
          <w:p>
            <w:pPr>
              <w:spacing w:after="0" w:line="20" w:lineRule="exact"/>
              <w:rPr>
                <w:sz w:val="1"/>
                <w:szCs w:val="1"/>
                <w:color w:val="auto"/>
              </w:rPr>
            </w:pPr>
          </w:p>
        </w:tc>
        <w:tc>
          <w:tcPr>
            <w:tcW w:w="1740" w:type="dxa"/>
            <w:vAlign w:val="bottom"/>
            <w:gridSpan w:val="3"/>
          </w:tcPr>
          <w:p>
            <w:pPr>
              <w:spacing w:after="0" w:line="20" w:lineRule="exact"/>
              <w:rPr>
                <w:sz w:val="1"/>
                <w:szCs w:val="1"/>
                <w:color w:val="auto"/>
              </w:rPr>
            </w:pPr>
          </w:p>
        </w:tc>
        <w:tc>
          <w:tcPr>
            <w:tcW w:w="1040" w:type="dxa"/>
            <w:vAlign w:val="bottom"/>
            <w:gridSpan w:val="5"/>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160" w:type="dxa"/>
            <w:vAlign w:val="bottom"/>
            <w:tcBorders>
              <w:right w:val="single" w:sz="8" w:color="0000FF"/>
            </w:tcBorders>
            <w:gridSpan w:val="2"/>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r>
      <w:tr>
        <w:trPr>
          <w:trHeight w:val="160"/>
        </w:trPr>
        <w:tc>
          <w:tcPr>
            <w:tcW w:w="400" w:type="dxa"/>
            <w:vAlign w:val="bottom"/>
          </w:tcPr>
          <w:p>
            <w:pPr>
              <w:spacing w:after="0"/>
              <w:rPr>
                <w:sz w:val="20"/>
                <w:szCs w:val="20"/>
                <w:color w:val="auto"/>
              </w:rPr>
            </w:pPr>
            <w:r>
              <w:rPr>
                <w:rFonts w:ascii="Times New Roman" w:cs="Times New Roman" w:eastAsia="Times New Roman" w:hAnsi="Times New Roman"/>
                <w:sz w:val="14"/>
                <w:szCs w:val="14"/>
                <w:color w:val="0000FF"/>
                <w:w w:val="90"/>
              </w:rPr>
              <w:t>Item 7.</w:t>
            </w:r>
          </w:p>
        </w:tc>
        <w:tc>
          <w:tcPr>
            <w:tcW w:w="1740" w:type="dxa"/>
            <w:vAlign w:val="bottom"/>
            <w:gridSpan w:val="3"/>
          </w:tcPr>
          <w:p>
            <w:pPr>
              <w:spacing w:after="0"/>
              <w:rPr>
                <w:sz w:val="13"/>
                <w:szCs w:val="13"/>
                <w:color w:val="auto"/>
              </w:rPr>
            </w:pPr>
          </w:p>
        </w:tc>
        <w:tc>
          <w:tcPr>
            <w:tcW w:w="7900" w:type="dxa"/>
            <w:vAlign w:val="bottom"/>
            <w:gridSpan w:val="25"/>
          </w:tcPr>
          <w:p>
            <w:pPr>
              <w:spacing w:after="0"/>
              <w:rPr>
                <w:sz w:val="20"/>
                <w:szCs w:val="20"/>
                <w:color w:val="auto"/>
              </w:rPr>
            </w:pPr>
            <w:r>
              <w:rPr>
                <w:rFonts w:ascii="Times New Roman" w:cs="Times New Roman" w:eastAsia="Times New Roman" w:hAnsi="Times New Roman"/>
                <w:sz w:val="14"/>
                <w:szCs w:val="14"/>
                <w:color w:val="0000FF"/>
              </w:rPr>
              <w:t>Management’s Discussion and Analysis of Financial Condition and Results of Operations</w:t>
            </w:r>
          </w:p>
        </w:tc>
        <w:tc>
          <w:tcPr>
            <w:tcW w:w="12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0000FF"/>
                <w:w w:val="85"/>
              </w:rPr>
              <w:t>23</w:t>
            </w:r>
          </w:p>
        </w:tc>
      </w:tr>
      <w:tr>
        <w:trPr>
          <w:trHeight w:val="20"/>
        </w:trPr>
        <w:tc>
          <w:tcPr>
            <w:tcW w:w="400" w:type="dxa"/>
            <w:vAlign w:val="bottom"/>
            <w:shd w:val="clear" w:color="auto" w:fill="0000FF"/>
          </w:tcPr>
          <w:p>
            <w:pPr>
              <w:spacing w:after="0" w:line="20" w:lineRule="exact"/>
              <w:rPr>
                <w:sz w:val="1"/>
                <w:szCs w:val="1"/>
                <w:color w:val="auto"/>
              </w:rPr>
            </w:pPr>
          </w:p>
        </w:tc>
        <w:tc>
          <w:tcPr>
            <w:tcW w:w="1740" w:type="dxa"/>
            <w:vAlign w:val="bottom"/>
            <w:gridSpan w:val="3"/>
          </w:tcPr>
          <w:p>
            <w:pPr>
              <w:spacing w:after="0" w:line="20" w:lineRule="exact"/>
              <w:rPr>
                <w:sz w:val="1"/>
                <w:szCs w:val="1"/>
                <w:color w:val="auto"/>
              </w:rPr>
            </w:pPr>
          </w:p>
        </w:tc>
        <w:tc>
          <w:tcPr>
            <w:tcW w:w="1040" w:type="dxa"/>
            <w:vAlign w:val="bottom"/>
            <w:gridSpan w:val="5"/>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0" w:type="dxa"/>
            <w:vAlign w:val="bottom"/>
            <w:gridSpan w:val="4"/>
            <w:shd w:val="clear" w:color="auto" w:fill="0000FF"/>
          </w:tcPr>
          <w:p>
            <w:pPr>
              <w:spacing w:after="0" w:line="20" w:lineRule="exact"/>
              <w:rPr>
                <w:sz w:val="1"/>
                <w:szCs w:val="1"/>
                <w:color w:val="auto"/>
              </w:rPr>
            </w:pPr>
          </w:p>
        </w:tc>
        <w:tc>
          <w:tcPr>
            <w:tcW w:w="84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160" w:type="dxa"/>
            <w:vAlign w:val="bottom"/>
            <w:tcBorders>
              <w:right w:val="single" w:sz="8" w:color="0000FF"/>
            </w:tcBorders>
            <w:gridSpan w:val="2"/>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r>
      <w:tr>
        <w:trPr>
          <w:trHeight w:val="160"/>
        </w:trPr>
        <w:tc>
          <w:tcPr>
            <w:tcW w:w="50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4"/>
                <w:szCs w:val="14"/>
                <w:color w:val="0000FF"/>
                <w:w w:val="96"/>
              </w:rPr>
              <w:t>Item 7A.</w:t>
            </w:r>
          </w:p>
        </w:tc>
        <w:tc>
          <w:tcPr>
            <w:tcW w:w="1640" w:type="dxa"/>
            <w:vAlign w:val="bottom"/>
          </w:tcPr>
          <w:p>
            <w:pPr>
              <w:spacing w:after="0"/>
              <w:rPr>
                <w:sz w:val="13"/>
                <w:szCs w:val="13"/>
                <w:color w:val="auto"/>
              </w:rPr>
            </w:pPr>
          </w:p>
        </w:tc>
        <w:tc>
          <w:tcPr>
            <w:tcW w:w="3440" w:type="dxa"/>
            <w:vAlign w:val="bottom"/>
            <w:tcBorders>
              <w:bottom w:val="single" w:sz="8" w:color="0000FF"/>
            </w:tcBorders>
            <w:gridSpan w:val="18"/>
          </w:tcPr>
          <w:p>
            <w:pPr>
              <w:spacing w:after="0"/>
              <w:rPr>
                <w:sz w:val="20"/>
                <w:szCs w:val="20"/>
                <w:color w:val="auto"/>
              </w:rPr>
            </w:pPr>
            <w:r>
              <w:rPr>
                <w:rFonts w:ascii="Times New Roman" w:cs="Times New Roman" w:eastAsia="Times New Roman" w:hAnsi="Times New Roman"/>
                <w:sz w:val="14"/>
                <w:szCs w:val="14"/>
                <w:color w:val="0000FF"/>
              </w:rPr>
              <w:t>Quantitative and Qualitative Disclosures About Market Risk</w:t>
            </w:r>
          </w:p>
        </w:tc>
        <w:tc>
          <w:tcPr>
            <w:tcW w:w="4460" w:type="dxa"/>
            <w:vAlign w:val="bottom"/>
            <w:gridSpan w:val="7"/>
          </w:tcPr>
          <w:p>
            <w:pPr>
              <w:spacing w:after="0"/>
              <w:rPr>
                <w:sz w:val="13"/>
                <w:szCs w:val="13"/>
                <w:color w:val="auto"/>
              </w:rPr>
            </w:pPr>
          </w:p>
        </w:tc>
        <w:tc>
          <w:tcPr>
            <w:tcW w:w="120" w:type="dxa"/>
            <w:vAlign w:val="bottom"/>
            <w:tcBorders>
              <w:bottom w:val="single" w:sz="8" w:color="0000FF"/>
            </w:tcBorders>
            <w:gridSpan w:val="2"/>
          </w:tcPr>
          <w:p>
            <w:pPr>
              <w:jc w:val="center"/>
              <w:spacing w:after="0"/>
              <w:rPr>
                <w:sz w:val="20"/>
                <w:szCs w:val="20"/>
                <w:color w:val="auto"/>
              </w:rPr>
            </w:pPr>
            <w:r>
              <w:rPr>
                <w:rFonts w:ascii="Times New Roman" w:cs="Times New Roman" w:eastAsia="Times New Roman" w:hAnsi="Times New Roman"/>
                <w:sz w:val="14"/>
                <w:szCs w:val="14"/>
                <w:color w:val="0000FF"/>
                <w:w w:val="85"/>
              </w:rPr>
              <w:t>40</w:t>
            </w:r>
          </w:p>
        </w:tc>
      </w:tr>
      <w:tr>
        <w:trPr>
          <w:trHeight w:val="160"/>
        </w:trPr>
        <w:tc>
          <w:tcPr>
            <w:tcW w:w="400" w:type="dxa"/>
            <w:vAlign w:val="bottom"/>
          </w:tcPr>
          <w:p>
            <w:pPr>
              <w:spacing w:after="0"/>
              <w:rPr>
                <w:sz w:val="20"/>
                <w:szCs w:val="20"/>
                <w:color w:val="auto"/>
              </w:rPr>
            </w:pPr>
            <w:r>
              <w:rPr>
                <w:rFonts w:ascii="Times New Roman" w:cs="Times New Roman" w:eastAsia="Times New Roman" w:hAnsi="Times New Roman"/>
                <w:sz w:val="14"/>
                <w:szCs w:val="14"/>
                <w:color w:val="0000FF"/>
                <w:w w:val="90"/>
              </w:rPr>
              <w:t>Item 8.</w:t>
            </w:r>
          </w:p>
        </w:tc>
        <w:tc>
          <w:tcPr>
            <w:tcW w:w="1740" w:type="dxa"/>
            <w:vAlign w:val="bottom"/>
            <w:gridSpan w:val="3"/>
          </w:tcPr>
          <w:p>
            <w:pPr>
              <w:spacing w:after="0"/>
              <w:rPr>
                <w:sz w:val="13"/>
                <w:szCs w:val="13"/>
                <w:color w:val="auto"/>
              </w:rPr>
            </w:pPr>
          </w:p>
        </w:tc>
        <w:tc>
          <w:tcPr>
            <w:tcW w:w="7900" w:type="dxa"/>
            <w:vAlign w:val="bottom"/>
            <w:gridSpan w:val="25"/>
          </w:tcPr>
          <w:p>
            <w:pPr>
              <w:spacing w:after="0"/>
              <w:rPr>
                <w:sz w:val="20"/>
                <w:szCs w:val="20"/>
                <w:color w:val="auto"/>
              </w:rPr>
            </w:pPr>
            <w:r>
              <w:rPr>
                <w:rFonts w:ascii="Times New Roman" w:cs="Times New Roman" w:eastAsia="Times New Roman" w:hAnsi="Times New Roman"/>
                <w:sz w:val="14"/>
                <w:szCs w:val="14"/>
                <w:color w:val="0000FF"/>
              </w:rPr>
              <w:t>Financial Statements and Supplementary Data</w:t>
            </w:r>
          </w:p>
        </w:tc>
        <w:tc>
          <w:tcPr>
            <w:tcW w:w="12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0000FF"/>
                <w:w w:val="85"/>
              </w:rPr>
              <w:t>42</w:t>
            </w:r>
          </w:p>
        </w:tc>
      </w:tr>
      <w:tr>
        <w:trPr>
          <w:trHeight w:val="20"/>
        </w:trPr>
        <w:tc>
          <w:tcPr>
            <w:tcW w:w="400" w:type="dxa"/>
            <w:vAlign w:val="bottom"/>
            <w:shd w:val="clear" w:color="auto" w:fill="0000FF"/>
          </w:tcPr>
          <w:p>
            <w:pPr>
              <w:spacing w:after="0" w:line="20" w:lineRule="exact"/>
              <w:rPr>
                <w:sz w:val="1"/>
                <w:szCs w:val="1"/>
                <w:color w:val="auto"/>
              </w:rPr>
            </w:pPr>
          </w:p>
        </w:tc>
        <w:tc>
          <w:tcPr>
            <w:tcW w:w="1740" w:type="dxa"/>
            <w:vAlign w:val="bottom"/>
            <w:gridSpan w:val="3"/>
          </w:tcPr>
          <w:p>
            <w:pPr>
              <w:spacing w:after="0" w:line="20" w:lineRule="exact"/>
              <w:rPr>
                <w:sz w:val="1"/>
                <w:szCs w:val="1"/>
                <w:color w:val="auto"/>
              </w:rPr>
            </w:pPr>
          </w:p>
        </w:tc>
        <w:tc>
          <w:tcPr>
            <w:tcW w:w="1040" w:type="dxa"/>
            <w:vAlign w:val="bottom"/>
            <w:gridSpan w:val="5"/>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0" w:type="dxa"/>
            <w:vAlign w:val="bottom"/>
            <w:gridSpan w:val="4"/>
            <w:shd w:val="clear" w:color="auto" w:fill="0000FF"/>
          </w:tcPr>
          <w:p>
            <w:pPr>
              <w:spacing w:after="0" w:line="20" w:lineRule="exact"/>
              <w:rPr>
                <w:sz w:val="1"/>
                <w:szCs w:val="1"/>
                <w:color w:val="auto"/>
              </w:rPr>
            </w:pPr>
          </w:p>
        </w:tc>
        <w:tc>
          <w:tcPr>
            <w:tcW w:w="84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160" w:type="dxa"/>
            <w:vAlign w:val="bottom"/>
            <w:tcBorders>
              <w:right w:val="single" w:sz="8" w:color="0000FF"/>
            </w:tcBorders>
            <w:gridSpan w:val="2"/>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r>
      <w:tr>
        <w:trPr>
          <w:trHeight w:val="160"/>
        </w:trPr>
        <w:tc>
          <w:tcPr>
            <w:tcW w:w="40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4"/>
                <w:szCs w:val="14"/>
                <w:color w:val="0000FF"/>
                <w:w w:val="90"/>
              </w:rPr>
              <w:t>Item 9.</w:t>
            </w:r>
          </w:p>
        </w:tc>
        <w:tc>
          <w:tcPr>
            <w:tcW w:w="1740" w:type="dxa"/>
            <w:vAlign w:val="bottom"/>
            <w:gridSpan w:val="3"/>
          </w:tcPr>
          <w:p>
            <w:pPr>
              <w:spacing w:after="0"/>
              <w:rPr>
                <w:sz w:val="13"/>
                <w:szCs w:val="13"/>
                <w:color w:val="auto"/>
              </w:rPr>
            </w:pPr>
          </w:p>
        </w:tc>
        <w:tc>
          <w:tcPr>
            <w:tcW w:w="5100" w:type="dxa"/>
            <w:vAlign w:val="bottom"/>
            <w:tcBorders>
              <w:bottom w:val="single" w:sz="8" w:color="0000FF"/>
            </w:tcBorders>
            <w:gridSpan w:val="22"/>
          </w:tcPr>
          <w:p>
            <w:pPr>
              <w:spacing w:after="0"/>
              <w:rPr>
                <w:sz w:val="20"/>
                <w:szCs w:val="20"/>
                <w:color w:val="auto"/>
              </w:rPr>
            </w:pPr>
            <w:r>
              <w:rPr>
                <w:rFonts w:ascii="Times New Roman" w:cs="Times New Roman" w:eastAsia="Times New Roman" w:hAnsi="Times New Roman"/>
                <w:sz w:val="14"/>
                <w:szCs w:val="14"/>
                <w:color w:val="0000FF"/>
              </w:rPr>
              <w:t>Changes in and Disagreements with Accountants on Accounting and Financial Disclosure</w:t>
            </w:r>
          </w:p>
        </w:tc>
        <w:tc>
          <w:tcPr>
            <w:tcW w:w="2800" w:type="dxa"/>
            <w:vAlign w:val="bottom"/>
            <w:gridSpan w:val="3"/>
          </w:tcPr>
          <w:p>
            <w:pPr>
              <w:spacing w:after="0"/>
              <w:rPr>
                <w:sz w:val="13"/>
                <w:szCs w:val="13"/>
                <w:color w:val="auto"/>
              </w:rPr>
            </w:pPr>
          </w:p>
        </w:tc>
        <w:tc>
          <w:tcPr>
            <w:tcW w:w="120" w:type="dxa"/>
            <w:vAlign w:val="bottom"/>
            <w:tcBorders>
              <w:bottom w:val="single" w:sz="8" w:color="0000FF"/>
            </w:tcBorders>
            <w:gridSpan w:val="2"/>
          </w:tcPr>
          <w:p>
            <w:pPr>
              <w:jc w:val="center"/>
              <w:spacing w:after="0"/>
              <w:rPr>
                <w:sz w:val="20"/>
                <w:szCs w:val="20"/>
                <w:color w:val="auto"/>
              </w:rPr>
            </w:pPr>
            <w:r>
              <w:rPr>
                <w:rFonts w:ascii="Times New Roman" w:cs="Times New Roman" w:eastAsia="Times New Roman" w:hAnsi="Times New Roman"/>
                <w:sz w:val="14"/>
                <w:szCs w:val="14"/>
                <w:color w:val="0000FF"/>
                <w:w w:val="85"/>
              </w:rPr>
              <w:t>77</w:t>
            </w:r>
          </w:p>
        </w:tc>
      </w:tr>
      <w:tr>
        <w:trPr>
          <w:trHeight w:val="160"/>
        </w:trPr>
        <w:tc>
          <w:tcPr>
            <w:tcW w:w="50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4"/>
                <w:szCs w:val="14"/>
                <w:color w:val="0000FF"/>
                <w:w w:val="96"/>
              </w:rPr>
              <w:t>Item 9A.</w:t>
            </w:r>
          </w:p>
        </w:tc>
        <w:tc>
          <w:tcPr>
            <w:tcW w:w="1640" w:type="dxa"/>
            <w:vAlign w:val="bottom"/>
          </w:tcPr>
          <w:p>
            <w:pPr>
              <w:spacing w:after="0"/>
              <w:rPr>
                <w:sz w:val="13"/>
                <w:szCs w:val="13"/>
                <w:color w:val="auto"/>
              </w:rPr>
            </w:pPr>
          </w:p>
        </w:tc>
        <w:tc>
          <w:tcPr>
            <w:tcW w:w="1400" w:type="dxa"/>
            <w:vAlign w:val="bottom"/>
            <w:tcBorders>
              <w:bottom w:val="single" w:sz="8" w:color="0000FF"/>
            </w:tcBorders>
            <w:gridSpan w:val="10"/>
          </w:tcPr>
          <w:p>
            <w:pPr>
              <w:spacing w:after="0"/>
              <w:rPr>
                <w:sz w:val="20"/>
                <w:szCs w:val="20"/>
                <w:color w:val="auto"/>
              </w:rPr>
            </w:pPr>
            <w:r>
              <w:rPr>
                <w:rFonts w:ascii="Times New Roman" w:cs="Times New Roman" w:eastAsia="Times New Roman" w:hAnsi="Times New Roman"/>
                <w:sz w:val="14"/>
                <w:szCs w:val="14"/>
                <w:color w:val="0000FF"/>
              </w:rPr>
              <w:t>Controls and Procedures</w:t>
            </w:r>
          </w:p>
        </w:tc>
        <w:tc>
          <w:tcPr>
            <w:tcW w:w="6500" w:type="dxa"/>
            <w:vAlign w:val="bottom"/>
            <w:gridSpan w:val="15"/>
          </w:tcPr>
          <w:p>
            <w:pPr>
              <w:spacing w:after="0"/>
              <w:rPr>
                <w:sz w:val="13"/>
                <w:szCs w:val="13"/>
                <w:color w:val="auto"/>
              </w:rPr>
            </w:pPr>
          </w:p>
        </w:tc>
        <w:tc>
          <w:tcPr>
            <w:tcW w:w="120" w:type="dxa"/>
            <w:vAlign w:val="bottom"/>
            <w:tcBorders>
              <w:bottom w:val="single" w:sz="8" w:color="0000FF"/>
            </w:tcBorders>
            <w:gridSpan w:val="2"/>
          </w:tcPr>
          <w:p>
            <w:pPr>
              <w:jc w:val="center"/>
              <w:spacing w:after="0"/>
              <w:rPr>
                <w:sz w:val="20"/>
                <w:szCs w:val="20"/>
                <w:color w:val="auto"/>
              </w:rPr>
            </w:pPr>
            <w:r>
              <w:rPr>
                <w:rFonts w:ascii="Times New Roman" w:cs="Times New Roman" w:eastAsia="Times New Roman" w:hAnsi="Times New Roman"/>
                <w:sz w:val="14"/>
                <w:szCs w:val="14"/>
                <w:color w:val="0000FF"/>
                <w:w w:val="85"/>
              </w:rPr>
              <w:t>77</w:t>
            </w:r>
          </w:p>
        </w:tc>
      </w:tr>
      <w:tr>
        <w:trPr>
          <w:trHeight w:val="160"/>
        </w:trPr>
        <w:tc>
          <w:tcPr>
            <w:tcW w:w="2140" w:type="dxa"/>
            <w:vAlign w:val="bottom"/>
            <w:gridSpan w:val="4"/>
          </w:tcPr>
          <w:p>
            <w:pPr>
              <w:spacing w:after="0"/>
              <w:rPr>
                <w:sz w:val="20"/>
                <w:szCs w:val="20"/>
                <w:color w:val="auto"/>
              </w:rPr>
            </w:pPr>
            <w:r>
              <w:rPr>
                <w:rFonts w:ascii="Times New Roman" w:cs="Times New Roman" w:eastAsia="Times New Roman" w:hAnsi="Times New Roman"/>
                <w:sz w:val="14"/>
                <w:szCs w:val="14"/>
                <w:color w:val="0000FF"/>
              </w:rPr>
              <w:t>Item 9B.</w:t>
            </w:r>
          </w:p>
        </w:tc>
        <w:tc>
          <w:tcPr>
            <w:tcW w:w="7900" w:type="dxa"/>
            <w:vAlign w:val="bottom"/>
            <w:gridSpan w:val="25"/>
          </w:tcPr>
          <w:p>
            <w:pPr>
              <w:spacing w:after="0"/>
              <w:rPr>
                <w:sz w:val="20"/>
                <w:szCs w:val="20"/>
                <w:color w:val="auto"/>
              </w:rPr>
            </w:pPr>
            <w:r>
              <w:rPr>
                <w:rFonts w:ascii="Times New Roman" w:cs="Times New Roman" w:eastAsia="Times New Roman" w:hAnsi="Times New Roman"/>
                <w:sz w:val="14"/>
                <w:szCs w:val="14"/>
                <w:color w:val="0000FF"/>
              </w:rPr>
              <w:t>Other Information</w:t>
            </w:r>
          </w:p>
        </w:tc>
        <w:tc>
          <w:tcPr>
            <w:tcW w:w="12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0000FF"/>
                <w:w w:val="85"/>
              </w:rPr>
              <w:t>77</w:t>
            </w:r>
          </w:p>
        </w:tc>
      </w:tr>
      <w:tr>
        <w:trPr>
          <w:trHeight w:val="20"/>
        </w:trPr>
        <w:tc>
          <w:tcPr>
            <w:tcW w:w="40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1040" w:type="dxa"/>
            <w:vAlign w:val="bottom"/>
            <w:gridSpan w:val="5"/>
            <w:shd w:val="clear" w:color="auto" w:fill="0000FF"/>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700" w:type="dxa"/>
            <w:vAlign w:val="bottom"/>
            <w:gridSpan w:val="3"/>
          </w:tcPr>
          <w:p>
            <w:pPr>
              <w:spacing w:after="0" w:line="20" w:lineRule="exact"/>
              <w:rPr>
                <w:sz w:val="1"/>
                <w:szCs w:val="1"/>
                <w:color w:val="auto"/>
              </w:rPr>
            </w:pPr>
          </w:p>
        </w:tc>
        <w:tc>
          <w:tcPr>
            <w:tcW w:w="2160" w:type="dxa"/>
            <w:vAlign w:val="bottom"/>
            <w:tcBorders>
              <w:right w:val="single" w:sz="8" w:color="0000FF"/>
            </w:tcBorders>
            <w:gridSpan w:val="2"/>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r>
      <w:tr>
        <w:trPr>
          <w:trHeight w:val="160"/>
        </w:trPr>
        <w:tc>
          <w:tcPr>
            <w:tcW w:w="2140" w:type="dxa"/>
            <w:vAlign w:val="bottom"/>
            <w:gridSpan w:val="4"/>
          </w:tcPr>
          <w:p>
            <w:pPr>
              <w:spacing w:after="0"/>
              <w:rPr>
                <w:sz w:val="20"/>
                <w:szCs w:val="20"/>
                <w:color w:val="auto"/>
              </w:rPr>
            </w:pPr>
            <w:r>
              <w:rPr>
                <w:rFonts w:ascii="Times New Roman" w:cs="Times New Roman" w:eastAsia="Times New Roman" w:hAnsi="Times New Roman"/>
                <w:sz w:val="14"/>
                <w:szCs w:val="14"/>
                <w:color w:val="0000FF"/>
              </w:rPr>
              <w:t>Item 9C.</w:t>
            </w:r>
          </w:p>
        </w:tc>
        <w:tc>
          <w:tcPr>
            <w:tcW w:w="7900" w:type="dxa"/>
            <w:vAlign w:val="bottom"/>
            <w:gridSpan w:val="25"/>
          </w:tcPr>
          <w:p>
            <w:pPr>
              <w:spacing w:after="0"/>
              <w:rPr>
                <w:sz w:val="20"/>
                <w:szCs w:val="20"/>
                <w:color w:val="auto"/>
              </w:rPr>
            </w:pPr>
            <w:r>
              <w:rPr>
                <w:rFonts w:ascii="Times New Roman" w:cs="Times New Roman" w:eastAsia="Times New Roman" w:hAnsi="Times New Roman"/>
                <w:sz w:val="14"/>
                <w:szCs w:val="14"/>
                <w:color w:val="0000FF"/>
              </w:rPr>
              <w:t>Disclosure Regarding Foreign Jurisdictions that Prevent Inspections</w:t>
            </w:r>
          </w:p>
        </w:tc>
        <w:tc>
          <w:tcPr>
            <w:tcW w:w="12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0000FF"/>
                <w:w w:val="85"/>
              </w:rPr>
              <w:t>77</w:t>
            </w:r>
          </w:p>
        </w:tc>
      </w:tr>
      <w:tr>
        <w:trPr>
          <w:trHeight w:val="192"/>
        </w:trPr>
        <w:tc>
          <w:tcPr>
            <w:tcW w:w="400" w:type="dxa"/>
            <w:vAlign w:val="bottom"/>
            <w:tcBorders>
              <w:top w:val="single" w:sz="8" w:color="0000FF"/>
            </w:tcBorders>
          </w:tcPr>
          <w:p>
            <w:pPr>
              <w:spacing w:after="0"/>
              <w:rPr>
                <w:sz w:val="16"/>
                <w:szCs w:val="16"/>
                <w:color w:val="auto"/>
              </w:rPr>
            </w:pPr>
          </w:p>
        </w:tc>
        <w:tc>
          <w:tcPr>
            <w:tcW w:w="80" w:type="dxa"/>
            <w:vAlign w:val="bottom"/>
            <w:tcBorders>
              <w:top w:val="single" w:sz="8" w:color="0000FF"/>
            </w:tcBorders>
          </w:tcPr>
          <w:p>
            <w:pPr>
              <w:spacing w:after="0"/>
              <w:rPr>
                <w:sz w:val="16"/>
                <w:szCs w:val="16"/>
                <w:color w:val="auto"/>
              </w:rPr>
            </w:pPr>
          </w:p>
        </w:tc>
        <w:tc>
          <w:tcPr>
            <w:tcW w:w="2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500" w:type="dxa"/>
            <w:vAlign w:val="bottom"/>
            <w:tcBorders>
              <w:top w:val="single" w:sz="8" w:color="0000FF"/>
            </w:tcBorders>
          </w:tcPr>
          <w:p>
            <w:pPr>
              <w:spacing w:after="0"/>
              <w:rPr>
                <w:sz w:val="16"/>
                <w:szCs w:val="16"/>
                <w:color w:val="auto"/>
              </w:rPr>
            </w:pPr>
          </w:p>
        </w:tc>
        <w:tc>
          <w:tcPr>
            <w:tcW w:w="80" w:type="dxa"/>
            <w:vAlign w:val="bottom"/>
            <w:tcBorders>
              <w:top w:val="single" w:sz="8" w:color="0000FF"/>
            </w:tcBorders>
          </w:tcPr>
          <w:p>
            <w:pPr>
              <w:spacing w:after="0"/>
              <w:rPr>
                <w:sz w:val="16"/>
                <w:szCs w:val="16"/>
                <w:color w:val="auto"/>
              </w:rPr>
            </w:pPr>
          </w:p>
        </w:tc>
        <w:tc>
          <w:tcPr>
            <w:tcW w:w="140" w:type="dxa"/>
            <w:vAlign w:val="bottom"/>
            <w:tcBorders>
              <w:top w:val="single" w:sz="8" w:color="0000FF"/>
            </w:tcBorders>
          </w:tcPr>
          <w:p>
            <w:pPr>
              <w:spacing w:after="0"/>
              <w:rPr>
                <w:sz w:val="16"/>
                <w:szCs w:val="16"/>
                <w:color w:val="auto"/>
              </w:rPr>
            </w:pPr>
          </w:p>
        </w:tc>
        <w:tc>
          <w:tcPr>
            <w:tcW w:w="80" w:type="dxa"/>
            <w:vAlign w:val="bottom"/>
            <w:tcBorders>
              <w:top w:val="single" w:sz="8" w:color="0000FF"/>
            </w:tcBorders>
          </w:tcPr>
          <w:p>
            <w:pPr>
              <w:spacing w:after="0"/>
              <w:rPr>
                <w:sz w:val="16"/>
                <w:szCs w:val="16"/>
                <w:color w:val="auto"/>
              </w:rPr>
            </w:pPr>
          </w:p>
        </w:tc>
        <w:tc>
          <w:tcPr>
            <w:tcW w:w="240" w:type="dxa"/>
            <w:vAlign w:val="bottom"/>
            <w:tcBorders>
              <w:top w:val="single" w:sz="8" w:color="0000FF"/>
            </w:tcBorders>
          </w:tcPr>
          <w:p>
            <w:pPr>
              <w:spacing w:after="0"/>
              <w:rPr>
                <w:sz w:val="16"/>
                <w:szCs w:val="16"/>
                <w:color w:val="auto"/>
              </w:rPr>
            </w:pPr>
          </w:p>
        </w:tc>
        <w:tc>
          <w:tcPr>
            <w:tcW w:w="20" w:type="dxa"/>
            <w:vAlign w:val="bottom"/>
            <w:tcBorders>
              <w:top w:val="single" w:sz="8" w:color="0000FF"/>
            </w:tcBorders>
          </w:tcPr>
          <w:p>
            <w:pPr>
              <w:spacing w:after="0"/>
              <w:rPr>
                <w:sz w:val="16"/>
                <w:szCs w:val="16"/>
                <w:color w:val="auto"/>
              </w:rPr>
            </w:pPr>
          </w:p>
        </w:tc>
        <w:tc>
          <w:tcPr>
            <w:tcW w:w="160" w:type="dxa"/>
            <w:vAlign w:val="bottom"/>
            <w:tcBorders>
              <w:top w:val="single" w:sz="8" w:color="0000FF"/>
            </w:tcBorders>
          </w:tcPr>
          <w:p>
            <w:pPr>
              <w:spacing w:after="0"/>
              <w:rPr>
                <w:sz w:val="16"/>
                <w:szCs w:val="16"/>
                <w:color w:val="auto"/>
              </w:rPr>
            </w:pPr>
          </w:p>
        </w:tc>
        <w:tc>
          <w:tcPr>
            <w:tcW w:w="40" w:type="dxa"/>
            <w:vAlign w:val="bottom"/>
            <w:tcBorders>
              <w:top w:val="single" w:sz="8" w:color="0000FF"/>
            </w:tcBorders>
          </w:tcPr>
          <w:p>
            <w:pPr>
              <w:spacing w:after="0"/>
              <w:rPr>
                <w:sz w:val="16"/>
                <w:szCs w:val="16"/>
                <w:color w:val="auto"/>
              </w:rPr>
            </w:pPr>
          </w:p>
        </w:tc>
        <w:tc>
          <w:tcPr>
            <w:tcW w:w="80" w:type="dxa"/>
            <w:vAlign w:val="bottom"/>
            <w:tcBorders>
              <w:top w:val="single" w:sz="8" w:color="0000FF"/>
            </w:tcBorders>
          </w:tcPr>
          <w:p>
            <w:pPr>
              <w:spacing w:after="0"/>
              <w:rPr>
                <w:sz w:val="16"/>
                <w:szCs w:val="16"/>
                <w:color w:val="auto"/>
              </w:rPr>
            </w:pPr>
          </w:p>
        </w:tc>
        <w:tc>
          <w:tcPr>
            <w:tcW w:w="60" w:type="dxa"/>
            <w:vAlign w:val="bottom"/>
            <w:tcBorders>
              <w:top w:val="single" w:sz="8" w:color="0000FF"/>
            </w:tcBorders>
          </w:tcPr>
          <w:p>
            <w:pPr>
              <w:spacing w:after="0"/>
              <w:rPr>
                <w:sz w:val="16"/>
                <w:szCs w:val="16"/>
                <w:color w:val="auto"/>
              </w:rPr>
            </w:pPr>
          </w:p>
        </w:tc>
        <w:tc>
          <w:tcPr>
            <w:tcW w:w="20" w:type="dxa"/>
            <w:vAlign w:val="bottom"/>
            <w:tcBorders>
              <w:top w:val="single" w:sz="8" w:color="0000FF"/>
            </w:tcBorders>
          </w:tcPr>
          <w:p>
            <w:pPr>
              <w:spacing w:after="0"/>
              <w:rPr>
                <w:sz w:val="16"/>
                <w:szCs w:val="16"/>
                <w:color w:val="auto"/>
              </w:rPr>
            </w:pPr>
          </w:p>
        </w:tc>
        <w:tc>
          <w:tcPr>
            <w:tcW w:w="200" w:type="dxa"/>
            <w:vAlign w:val="bottom"/>
            <w:tcBorders>
              <w:top w:val="single" w:sz="8" w:color="0000FF"/>
            </w:tcBorders>
          </w:tcPr>
          <w:p>
            <w:pPr>
              <w:spacing w:after="0"/>
              <w:rPr>
                <w:sz w:val="16"/>
                <w:szCs w:val="16"/>
                <w:color w:val="auto"/>
              </w:rPr>
            </w:pPr>
          </w:p>
        </w:tc>
        <w:tc>
          <w:tcPr>
            <w:tcW w:w="640" w:type="dxa"/>
            <w:vAlign w:val="bottom"/>
            <w:tcBorders>
              <w:top w:val="single" w:sz="8" w:color="0000FF"/>
            </w:tcBorders>
          </w:tcPr>
          <w:p>
            <w:pPr>
              <w:spacing w:after="0"/>
              <w:rPr>
                <w:sz w:val="16"/>
                <w:szCs w:val="16"/>
                <w:color w:val="auto"/>
              </w:rPr>
            </w:pPr>
          </w:p>
        </w:tc>
        <w:tc>
          <w:tcPr>
            <w:tcW w:w="220" w:type="dxa"/>
            <w:vAlign w:val="bottom"/>
            <w:tcBorders>
              <w:top w:val="single" w:sz="8" w:color="0000FF"/>
            </w:tcBorders>
          </w:tcPr>
          <w:p>
            <w:pPr>
              <w:spacing w:after="0"/>
              <w:rPr>
                <w:sz w:val="16"/>
                <w:szCs w:val="16"/>
                <w:color w:val="auto"/>
              </w:rPr>
            </w:pPr>
          </w:p>
        </w:tc>
        <w:tc>
          <w:tcPr>
            <w:tcW w:w="140" w:type="dxa"/>
            <w:vAlign w:val="bottom"/>
            <w:tcBorders>
              <w:top w:val="single" w:sz="8" w:color="0000FF"/>
            </w:tcBorders>
          </w:tcPr>
          <w:p>
            <w:pPr>
              <w:spacing w:after="0"/>
              <w:rPr>
                <w:sz w:val="16"/>
                <w:szCs w:val="16"/>
                <w:color w:val="auto"/>
              </w:rPr>
            </w:pPr>
          </w:p>
        </w:tc>
        <w:tc>
          <w:tcPr>
            <w:tcW w:w="1240" w:type="dxa"/>
            <w:vAlign w:val="bottom"/>
            <w:tcBorders>
              <w:top w:val="single" w:sz="8" w:color="0000FF"/>
            </w:tcBorders>
            <w:gridSpan w:val="4"/>
          </w:tcPr>
          <w:p>
            <w:pPr>
              <w:jc w:val="center"/>
              <w:ind w:left="289"/>
              <w:spacing w:after="0"/>
              <w:rPr>
                <w:sz w:val="20"/>
                <w:szCs w:val="20"/>
                <w:color w:val="auto"/>
              </w:rPr>
            </w:pPr>
            <w:r>
              <w:rPr>
                <w:rFonts w:ascii="Times New Roman" w:cs="Times New Roman" w:eastAsia="Times New Roman" w:hAnsi="Times New Roman"/>
                <w:sz w:val="14"/>
                <w:szCs w:val="14"/>
                <w:b w:val="1"/>
                <w:bCs w:val="1"/>
                <w:color w:val="auto"/>
                <w:w w:val="96"/>
              </w:rPr>
              <w:t>PART III</w:t>
            </w:r>
          </w:p>
        </w:tc>
        <w:tc>
          <w:tcPr>
            <w:tcW w:w="4040" w:type="dxa"/>
            <w:vAlign w:val="bottom"/>
            <w:gridSpan w:val="6"/>
          </w:tcPr>
          <w:p>
            <w:pPr>
              <w:spacing w:after="0"/>
              <w:rPr>
                <w:sz w:val="16"/>
                <w:szCs w:val="16"/>
                <w:color w:val="auto"/>
              </w:rPr>
            </w:pPr>
          </w:p>
        </w:tc>
        <w:tc>
          <w:tcPr>
            <w:tcW w:w="80" w:type="dxa"/>
            <w:vAlign w:val="bottom"/>
            <w:tcBorders>
              <w:top w:val="single" w:sz="8" w:color="0000FF"/>
            </w:tcBorders>
          </w:tcPr>
          <w:p>
            <w:pPr>
              <w:spacing w:after="0"/>
              <w:rPr>
                <w:sz w:val="16"/>
                <w:szCs w:val="16"/>
                <w:color w:val="auto"/>
              </w:rPr>
            </w:pPr>
          </w:p>
        </w:tc>
        <w:tc>
          <w:tcPr>
            <w:tcW w:w="40" w:type="dxa"/>
            <w:vAlign w:val="bottom"/>
            <w:tcBorders>
              <w:top w:val="single" w:sz="8" w:color="0000FF"/>
            </w:tcBorders>
          </w:tcPr>
          <w:p>
            <w:pPr>
              <w:spacing w:after="0"/>
              <w:rPr>
                <w:sz w:val="16"/>
                <w:szCs w:val="16"/>
                <w:color w:val="auto"/>
              </w:rPr>
            </w:pPr>
          </w:p>
        </w:tc>
      </w:tr>
      <w:tr>
        <w:trPr>
          <w:trHeight w:val="361"/>
        </w:trPr>
        <w:tc>
          <w:tcPr>
            <w:tcW w:w="2140" w:type="dxa"/>
            <w:vAlign w:val="bottom"/>
            <w:gridSpan w:val="4"/>
          </w:tcPr>
          <w:p>
            <w:pPr>
              <w:spacing w:after="0"/>
              <w:rPr>
                <w:sz w:val="20"/>
                <w:szCs w:val="20"/>
                <w:color w:val="auto"/>
              </w:rPr>
            </w:pPr>
            <w:r>
              <w:rPr>
                <w:rFonts w:ascii="Times New Roman" w:cs="Times New Roman" w:eastAsia="Times New Roman" w:hAnsi="Times New Roman"/>
                <w:sz w:val="14"/>
                <w:szCs w:val="14"/>
                <w:color w:val="0000FF"/>
              </w:rPr>
              <w:t>Item 10.</w:t>
            </w:r>
          </w:p>
        </w:tc>
        <w:tc>
          <w:tcPr>
            <w:tcW w:w="7900" w:type="dxa"/>
            <w:vAlign w:val="bottom"/>
            <w:gridSpan w:val="25"/>
          </w:tcPr>
          <w:p>
            <w:pPr>
              <w:spacing w:after="0"/>
              <w:rPr>
                <w:sz w:val="20"/>
                <w:szCs w:val="20"/>
                <w:color w:val="auto"/>
              </w:rPr>
            </w:pPr>
            <w:r>
              <w:rPr>
                <w:rFonts w:ascii="Times New Roman" w:cs="Times New Roman" w:eastAsia="Times New Roman" w:hAnsi="Times New Roman"/>
                <w:sz w:val="14"/>
                <w:szCs w:val="14"/>
                <w:color w:val="0000FF"/>
              </w:rPr>
              <w:t>Directors, Executive Officers and Corporate Governance</w:t>
            </w:r>
          </w:p>
        </w:tc>
        <w:tc>
          <w:tcPr>
            <w:tcW w:w="12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0000FF"/>
                <w:w w:val="85"/>
              </w:rPr>
              <w:t>78</w:t>
            </w:r>
          </w:p>
        </w:tc>
      </w:tr>
      <w:tr>
        <w:trPr>
          <w:trHeight w:val="160"/>
        </w:trPr>
        <w:tc>
          <w:tcPr>
            <w:tcW w:w="400" w:type="dxa"/>
            <w:vAlign w:val="bottom"/>
            <w:tcBorders>
              <w:top w:val="single" w:sz="8" w:color="0000FF"/>
            </w:tcBorders>
          </w:tcPr>
          <w:p>
            <w:pPr>
              <w:spacing w:after="0"/>
              <w:rPr>
                <w:sz w:val="20"/>
                <w:szCs w:val="20"/>
                <w:color w:val="auto"/>
              </w:rPr>
            </w:pPr>
            <w:r>
              <w:rPr>
                <w:rFonts w:ascii="Times New Roman" w:cs="Times New Roman" w:eastAsia="Times New Roman" w:hAnsi="Times New Roman"/>
                <w:sz w:val="14"/>
                <w:szCs w:val="14"/>
                <w:color w:val="0000FF"/>
                <w:w w:val="77"/>
              </w:rPr>
              <w:t>Item 11.</w:t>
            </w:r>
          </w:p>
        </w:tc>
        <w:tc>
          <w:tcPr>
            <w:tcW w:w="1740" w:type="dxa"/>
            <w:vAlign w:val="bottom"/>
            <w:gridSpan w:val="3"/>
          </w:tcPr>
          <w:p>
            <w:pPr>
              <w:spacing w:after="0"/>
              <w:rPr>
                <w:sz w:val="13"/>
                <w:szCs w:val="13"/>
                <w:color w:val="auto"/>
              </w:rPr>
            </w:pPr>
          </w:p>
        </w:tc>
        <w:tc>
          <w:tcPr>
            <w:tcW w:w="3220" w:type="dxa"/>
            <w:vAlign w:val="bottom"/>
            <w:tcBorders>
              <w:top w:val="single" w:sz="8" w:color="0000FF"/>
            </w:tcBorders>
            <w:gridSpan w:val="16"/>
          </w:tcPr>
          <w:p>
            <w:pPr>
              <w:spacing w:after="0"/>
              <w:rPr>
                <w:sz w:val="20"/>
                <w:szCs w:val="20"/>
                <w:color w:val="auto"/>
              </w:rPr>
            </w:pPr>
            <w:r>
              <w:rPr>
                <w:rFonts w:ascii="Times New Roman" w:cs="Times New Roman" w:eastAsia="Times New Roman" w:hAnsi="Times New Roman"/>
                <w:sz w:val="14"/>
                <w:szCs w:val="14"/>
                <w:color w:val="0000FF"/>
              </w:rPr>
              <w:t>Executive Compensation</w:t>
            </w:r>
          </w:p>
        </w:tc>
        <w:tc>
          <w:tcPr>
            <w:tcW w:w="4680" w:type="dxa"/>
            <w:vAlign w:val="bottom"/>
            <w:gridSpan w:val="9"/>
          </w:tcPr>
          <w:p>
            <w:pPr>
              <w:spacing w:after="0"/>
              <w:rPr>
                <w:sz w:val="13"/>
                <w:szCs w:val="13"/>
                <w:color w:val="auto"/>
              </w:rPr>
            </w:pPr>
          </w:p>
        </w:tc>
        <w:tc>
          <w:tcPr>
            <w:tcW w:w="120" w:type="dxa"/>
            <w:vAlign w:val="bottom"/>
            <w:tcBorders>
              <w:top w:val="single" w:sz="8" w:color="0000FF"/>
            </w:tcBorders>
            <w:gridSpan w:val="2"/>
          </w:tcPr>
          <w:p>
            <w:pPr>
              <w:jc w:val="center"/>
              <w:spacing w:after="0"/>
              <w:rPr>
                <w:sz w:val="20"/>
                <w:szCs w:val="20"/>
                <w:color w:val="auto"/>
              </w:rPr>
            </w:pPr>
            <w:r>
              <w:rPr>
                <w:rFonts w:ascii="Times New Roman" w:cs="Times New Roman" w:eastAsia="Times New Roman" w:hAnsi="Times New Roman"/>
                <w:sz w:val="14"/>
                <w:szCs w:val="14"/>
                <w:color w:val="0000FF"/>
                <w:w w:val="85"/>
              </w:rPr>
              <w:t>78</w:t>
            </w:r>
          </w:p>
        </w:tc>
      </w:tr>
      <w:tr>
        <w:trPr>
          <w:trHeight w:val="20"/>
        </w:trPr>
        <w:tc>
          <w:tcPr>
            <w:tcW w:w="400" w:type="dxa"/>
            <w:vAlign w:val="bottom"/>
            <w:shd w:val="clear" w:color="auto" w:fill="0000FF"/>
          </w:tcPr>
          <w:p>
            <w:pPr>
              <w:spacing w:after="0" w:line="20" w:lineRule="exact"/>
              <w:rPr>
                <w:sz w:val="1"/>
                <w:szCs w:val="1"/>
                <w:color w:val="auto"/>
              </w:rPr>
            </w:pPr>
          </w:p>
        </w:tc>
        <w:tc>
          <w:tcPr>
            <w:tcW w:w="1740" w:type="dxa"/>
            <w:vAlign w:val="bottom"/>
            <w:tcBorders>
              <w:left w:val="single" w:sz="8" w:color="0000FF"/>
            </w:tcBorders>
            <w:gridSpan w:val="3"/>
          </w:tcPr>
          <w:p>
            <w:pPr>
              <w:spacing w:after="0" w:line="20" w:lineRule="exact"/>
              <w:rPr>
                <w:sz w:val="1"/>
                <w:szCs w:val="1"/>
                <w:color w:val="auto"/>
              </w:rPr>
            </w:pPr>
          </w:p>
        </w:tc>
        <w:tc>
          <w:tcPr>
            <w:tcW w:w="1220" w:type="dxa"/>
            <w:vAlign w:val="bottom"/>
            <w:gridSpan w:val="7"/>
            <w:shd w:val="clear" w:color="auto" w:fill="0000FF"/>
          </w:tcPr>
          <w:p>
            <w:pPr>
              <w:spacing w:after="0" w:line="20" w:lineRule="exact"/>
              <w:rPr>
                <w:sz w:val="1"/>
                <w:szCs w:val="1"/>
                <w:color w:val="auto"/>
              </w:rPr>
            </w:pPr>
          </w:p>
        </w:tc>
        <w:tc>
          <w:tcPr>
            <w:tcW w:w="200" w:type="dxa"/>
            <w:vAlign w:val="bottom"/>
            <w:gridSpan w:val="4"/>
            <w:shd w:val="clear" w:color="auto" w:fill="0000FF"/>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60" w:type="dxa"/>
            <w:vAlign w:val="bottom"/>
            <w:gridSpan w:val="6"/>
          </w:tcPr>
          <w:p>
            <w:pPr>
              <w:spacing w:after="0" w:line="20" w:lineRule="exact"/>
              <w:rPr>
                <w:sz w:val="1"/>
                <w:szCs w:val="1"/>
                <w:color w:val="auto"/>
              </w:rPr>
            </w:pPr>
          </w:p>
        </w:tc>
        <w:tc>
          <w:tcPr>
            <w:tcW w:w="1700" w:type="dxa"/>
            <w:vAlign w:val="bottom"/>
            <w:gridSpan w:val="3"/>
          </w:tcPr>
          <w:p>
            <w:pPr>
              <w:spacing w:after="0" w:line="20" w:lineRule="exact"/>
              <w:rPr>
                <w:sz w:val="1"/>
                <w:szCs w:val="1"/>
                <w:color w:val="auto"/>
              </w:rPr>
            </w:pPr>
          </w:p>
        </w:tc>
        <w:tc>
          <w:tcPr>
            <w:tcW w:w="2160" w:type="dxa"/>
            <w:vAlign w:val="bottom"/>
            <w:tcBorders>
              <w:right w:val="single" w:sz="8" w:color="0000FF"/>
            </w:tcBorders>
            <w:gridSpan w:val="2"/>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r>
      <w:tr>
        <w:trPr>
          <w:trHeight w:val="160"/>
        </w:trPr>
        <w:tc>
          <w:tcPr>
            <w:tcW w:w="214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4"/>
                <w:szCs w:val="14"/>
                <w:color w:val="0000FF"/>
              </w:rPr>
              <w:t>Item 12.</w:t>
            </w:r>
          </w:p>
        </w:tc>
        <w:tc>
          <w:tcPr>
            <w:tcW w:w="5740" w:type="dxa"/>
            <w:vAlign w:val="bottom"/>
            <w:tcBorders>
              <w:bottom w:val="single" w:sz="8" w:color="0000FF"/>
            </w:tcBorders>
            <w:gridSpan w:val="23"/>
          </w:tcPr>
          <w:p>
            <w:pPr>
              <w:spacing w:after="0"/>
              <w:rPr>
                <w:sz w:val="20"/>
                <w:szCs w:val="20"/>
                <w:color w:val="auto"/>
              </w:rPr>
            </w:pPr>
            <w:r>
              <w:rPr>
                <w:rFonts w:ascii="Times New Roman" w:cs="Times New Roman" w:eastAsia="Times New Roman" w:hAnsi="Times New Roman"/>
                <w:sz w:val="14"/>
                <w:szCs w:val="14"/>
                <w:color w:val="0000FF"/>
              </w:rPr>
              <w:t>Security Ownership of Certain Beneficial Owners and Management and Related Stockholder Matters</w:t>
            </w:r>
          </w:p>
        </w:tc>
        <w:tc>
          <w:tcPr>
            <w:tcW w:w="2160" w:type="dxa"/>
            <w:vAlign w:val="bottom"/>
            <w:gridSpan w:val="2"/>
          </w:tcPr>
          <w:p>
            <w:pPr>
              <w:spacing w:after="0"/>
              <w:rPr>
                <w:sz w:val="13"/>
                <w:szCs w:val="13"/>
                <w:color w:val="auto"/>
              </w:rPr>
            </w:pPr>
          </w:p>
        </w:tc>
        <w:tc>
          <w:tcPr>
            <w:tcW w:w="120" w:type="dxa"/>
            <w:vAlign w:val="bottom"/>
            <w:tcBorders>
              <w:bottom w:val="single" w:sz="8" w:color="0000FF"/>
            </w:tcBorders>
            <w:gridSpan w:val="2"/>
          </w:tcPr>
          <w:p>
            <w:pPr>
              <w:jc w:val="center"/>
              <w:spacing w:after="0"/>
              <w:rPr>
                <w:sz w:val="20"/>
                <w:szCs w:val="20"/>
                <w:color w:val="auto"/>
              </w:rPr>
            </w:pPr>
            <w:r>
              <w:rPr>
                <w:rFonts w:ascii="Times New Roman" w:cs="Times New Roman" w:eastAsia="Times New Roman" w:hAnsi="Times New Roman"/>
                <w:sz w:val="14"/>
                <w:szCs w:val="14"/>
                <w:color w:val="0000FF"/>
                <w:w w:val="85"/>
              </w:rPr>
              <w:t>78</w:t>
            </w:r>
          </w:p>
        </w:tc>
      </w:tr>
      <w:tr>
        <w:trPr>
          <w:trHeight w:val="160"/>
        </w:trPr>
        <w:tc>
          <w:tcPr>
            <w:tcW w:w="2140" w:type="dxa"/>
            <w:vAlign w:val="bottom"/>
            <w:gridSpan w:val="4"/>
          </w:tcPr>
          <w:p>
            <w:pPr>
              <w:spacing w:after="0"/>
              <w:rPr>
                <w:sz w:val="20"/>
                <w:szCs w:val="20"/>
                <w:color w:val="auto"/>
              </w:rPr>
            </w:pPr>
            <w:r>
              <w:rPr>
                <w:rFonts w:ascii="Times New Roman" w:cs="Times New Roman" w:eastAsia="Times New Roman" w:hAnsi="Times New Roman"/>
                <w:sz w:val="14"/>
                <w:szCs w:val="14"/>
                <w:color w:val="0000FF"/>
              </w:rPr>
              <w:t>Item 13.</w:t>
            </w:r>
          </w:p>
        </w:tc>
        <w:tc>
          <w:tcPr>
            <w:tcW w:w="7900" w:type="dxa"/>
            <w:vAlign w:val="bottom"/>
            <w:gridSpan w:val="25"/>
          </w:tcPr>
          <w:p>
            <w:pPr>
              <w:spacing w:after="0"/>
              <w:rPr>
                <w:sz w:val="20"/>
                <w:szCs w:val="20"/>
                <w:color w:val="auto"/>
              </w:rPr>
            </w:pPr>
            <w:r>
              <w:rPr>
                <w:rFonts w:ascii="Times New Roman" w:cs="Times New Roman" w:eastAsia="Times New Roman" w:hAnsi="Times New Roman"/>
                <w:sz w:val="14"/>
                <w:szCs w:val="14"/>
                <w:color w:val="0000FF"/>
              </w:rPr>
              <w:t>Certain Relationships, Related Transactions and Director Independence</w:t>
            </w:r>
          </w:p>
        </w:tc>
        <w:tc>
          <w:tcPr>
            <w:tcW w:w="12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0000FF"/>
                <w:w w:val="85"/>
              </w:rPr>
              <w:t>78</w:t>
            </w:r>
          </w:p>
        </w:tc>
      </w:tr>
      <w:tr>
        <w:trPr>
          <w:trHeight w:val="20"/>
        </w:trPr>
        <w:tc>
          <w:tcPr>
            <w:tcW w:w="400" w:type="dxa"/>
            <w:vAlign w:val="bottom"/>
            <w:shd w:val="clear" w:color="auto" w:fill="0000FF"/>
          </w:tcPr>
          <w:p>
            <w:pPr>
              <w:spacing w:after="0" w:line="20" w:lineRule="exact"/>
              <w:rPr>
                <w:sz w:val="1"/>
                <w:szCs w:val="1"/>
                <w:color w:val="auto"/>
              </w:rPr>
            </w:pPr>
          </w:p>
        </w:tc>
        <w:tc>
          <w:tcPr>
            <w:tcW w:w="1740" w:type="dxa"/>
            <w:vAlign w:val="bottom"/>
            <w:tcBorders>
              <w:left w:val="single" w:sz="8" w:color="0000FF"/>
            </w:tcBorders>
            <w:gridSpan w:val="3"/>
          </w:tcPr>
          <w:p>
            <w:pPr>
              <w:spacing w:after="0" w:line="20" w:lineRule="exact"/>
              <w:rPr>
                <w:sz w:val="1"/>
                <w:szCs w:val="1"/>
                <w:color w:val="auto"/>
              </w:rPr>
            </w:pPr>
          </w:p>
        </w:tc>
        <w:tc>
          <w:tcPr>
            <w:tcW w:w="1220" w:type="dxa"/>
            <w:vAlign w:val="bottom"/>
            <w:gridSpan w:val="7"/>
            <w:shd w:val="clear" w:color="auto" w:fill="0000FF"/>
          </w:tcPr>
          <w:p>
            <w:pPr>
              <w:spacing w:after="0" w:line="20" w:lineRule="exact"/>
              <w:rPr>
                <w:sz w:val="1"/>
                <w:szCs w:val="1"/>
                <w:color w:val="auto"/>
              </w:rPr>
            </w:pPr>
          </w:p>
        </w:tc>
        <w:tc>
          <w:tcPr>
            <w:tcW w:w="1040" w:type="dxa"/>
            <w:vAlign w:val="bottom"/>
            <w:gridSpan w:val="6"/>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560" w:type="dxa"/>
            <w:vAlign w:val="bottom"/>
            <w:gridSpan w:val="6"/>
            <w:shd w:val="clear" w:color="auto" w:fill="0000FF"/>
          </w:tcPr>
          <w:p>
            <w:pPr>
              <w:spacing w:after="0" w:line="20" w:lineRule="exact"/>
              <w:rPr>
                <w:sz w:val="1"/>
                <w:szCs w:val="1"/>
                <w:color w:val="auto"/>
              </w:rPr>
            </w:pPr>
          </w:p>
        </w:tc>
        <w:tc>
          <w:tcPr>
            <w:tcW w:w="3860" w:type="dxa"/>
            <w:vAlign w:val="bottom"/>
            <w:tcBorders>
              <w:right w:val="single" w:sz="8" w:color="0000FF"/>
            </w:tcBorders>
            <w:gridSpan w:val="5"/>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r>
      <w:tr>
        <w:trPr>
          <w:trHeight w:val="160"/>
        </w:trPr>
        <w:tc>
          <w:tcPr>
            <w:tcW w:w="2140" w:type="dxa"/>
            <w:vAlign w:val="bottom"/>
            <w:gridSpan w:val="4"/>
          </w:tcPr>
          <w:p>
            <w:pPr>
              <w:spacing w:after="0"/>
              <w:rPr>
                <w:sz w:val="20"/>
                <w:szCs w:val="20"/>
                <w:color w:val="auto"/>
              </w:rPr>
            </w:pPr>
            <w:r>
              <w:rPr>
                <w:rFonts w:ascii="Times New Roman" w:cs="Times New Roman" w:eastAsia="Times New Roman" w:hAnsi="Times New Roman"/>
                <w:sz w:val="14"/>
                <w:szCs w:val="14"/>
                <w:color w:val="0000FF"/>
              </w:rPr>
              <w:t>Item 14.</w:t>
            </w:r>
          </w:p>
        </w:tc>
        <w:tc>
          <w:tcPr>
            <w:tcW w:w="7900" w:type="dxa"/>
            <w:vAlign w:val="bottom"/>
            <w:gridSpan w:val="25"/>
          </w:tcPr>
          <w:p>
            <w:pPr>
              <w:spacing w:after="0"/>
              <w:rPr>
                <w:sz w:val="20"/>
                <w:szCs w:val="20"/>
                <w:color w:val="auto"/>
              </w:rPr>
            </w:pPr>
            <w:r>
              <w:rPr>
                <w:rFonts w:ascii="Times New Roman" w:cs="Times New Roman" w:eastAsia="Times New Roman" w:hAnsi="Times New Roman"/>
                <w:sz w:val="14"/>
                <w:szCs w:val="14"/>
                <w:color w:val="0000FF"/>
              </w:rPr>
              <w:t>Principal Accounting Fees and Services</w:t>
            </w:r>
          </w:p>
        </w:tc>
        <w:tc>
          <w:tcPr>
            <w:tcW w:w="12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0000FF"/>
                <w:w w:val="85"/>
              </w:rPr>
              <w:t>78</w:t>
            </w:r>
          </w:p>
        </w:tc>
      </w:tr>
      <w:tr>
        <w:trPr>
          <w:trHeight w:val="400"/>
        </w:trPr>
        <w:tc>
          <w:tcPr>
            <w:tcW w:w="400" w:type="dxa"/>
            <w:vAlign w:val="bottom"/>
            <w:tcBorders>
              <w:top w:val="single" w:sz="8" w:color="0000FF"/>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50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640" w:type="dxa"/>
            <w:vAlign w:val="bottom"/>
            <w:tcBorders>
              <w:top w:val="single" w:sz="8" w:color="0000FF"/>
            </w:tcBorders>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80" w:type="dxa"/>
            <w:vAlign w:val="bottom"/>
            <w:gridSpan w:val="10"/>
          </w:tcPr>
          <w:p>
            <w:pPr>
              <w:jc w:val="center"/>
              <w:ind w:right="3680"/>
              <w:spacing w:after="0"/>
              <w:rPr>
                <w:sz w:val="20"/>
                <w:szCs w:val="20"/>
                <w:color w:val="auto"/>
              </w:rPr>
            </w:pPr>
            <w:r>
              <w:rPr>
                <w:rFonts w:ascii="Times New Roman" w:cs="Times New Roman" w:eastAsia="Times New Roman" w:hAnsi="Times New Roman"/>
                <w:sz w:val="14"/>
                <w:szCs w:val="14"/>
                <w:b w:val="1"/>
                <w:bCs w:val="1"/>
                <w:color w:val="auto"/>
                <w:w w:val="97"/>
              </w:rPr>
              <w:t>PART IV</w:t>
            </w:r>
          </w:p>
        </w:tc>
        <w:tc>
          <w:tcPr>
            <w:tcW w:w="8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r>
      <w:tr>
        <w:trPr>
          <w:trHeight w:val="153"/>
        </w:trPr>
        <w:tc>
          <w:tcPr>
            <w:tcW w:w="2140" w:type="dxa"/>
            <w:vAlign w:val="bottom"/>
            <w:gridSpan w:val="4"/>
          </w:tcPr>
          <w:p>
            <w:pPr>
              <w:spacing w:after="0" w:line="153" w:lineRule="exact"/>
              <w:rPr>
                <w:sz w:val="20"/>
                <w:szCs w:val="20"/>
                <w:color w:val="auto"/>
              </w:rPr>
            </w:pPr>
            <w:r>
              <w:rPr>
                <w:rFonts w:ascii="Times New Roman" w:cs="Times New Roman" w:eastAsia="Times New Roman" w:hAnsi="Times New Roman"/>
                <w:sz w:val="14"/>
                <w:szCs w:val="14"/>
                <w:color w:val="0000FF"/>
              </w:rPr>
              <w:t>Item 15.</w:t>
            </w:r>
          </w:p>
        </w:tc>
        <w:tc>
          <w:tcPr>
            <w:tcW w:w="7900" w:type="dxa"/>
            <w:vAlign w:val="bottom"/>
            <w:gridSpan w:val="25"/>
          </w:tcPr>
          <w:p>
            <w:pPr>
              <w:spacing w:after="0" w:line="153" w:lineRule="exact"/>
              <w:rPr>
                <w:sz w:val="20"/>
                <w:szCs w:val="20"/>
                <w:color w:val="auto"/>
              </w:rPr>
            </w:pPr>
            <w:r>
              <w:rPr>
                <w:rFonts w:ascii="Times New Roman" w:cs="Times New Roman" w:eastAsia="Times New Roman" w:hAnsi="Times New Roman"/>
                <w:sz w:val="14"/>
                <w:szCs w:val="14"/>
                <w:color w:val="0000FF"/>
              </w:rPr>
              <w:t>Exhibits and Financial Statement Schedules</w:t>
            </w:r>
          </w:p>
        </w:tc>
        <w:tc>
          <w:tcPr>
            <w:tcW w:w="120" w:type="dxa"/>
            <w:vAlign w:val="bottom"/>
            <w:gridSpan w:val="2"/>
          </w:tcPr>
          <w:p>
            <w:pPr>
              <w:jc w:val="center"/>
              <w:spacing w:after="0" w:line="153" w:lineRule="exact"/>
              <w:rPr>
                <w:sz w:val="20"/>
                <w:szCs w:val="20"/>
                <w:color w:val="auto"/>
              </w:rPr>
            </w:pPr>
            <w:r>
              <w:rPr>
                <w:rFonts w:ascii="Times New Roman" w:cs="Times New Roman" w:eastAsia="Times New Roman" w:hAnsi="Times New Roman"/>
                <w:sz w:val="14"/>
                <w:szCs w:val="14"/>
                <w:color w:val="0000FF"/>
                <w:w w:val="85"/>
              </w:rPr>
              <w:t>79</w:t>
            </w:r>
          </w:p>
        </w:tc>
      </w:tr>
      <w:tr>
        <w:trPr>
          <w:trHeight w:val="20"/>
        </w:trPr>
        <w:tc>
          <w:tcPr>
            <w:tcW w:w="400" w:type="dxa"/>
            <w:vAlign w:val="bottom"/>
            <w:shd w:val="clear" w:color="auto" w:fill="0000FF"/>
          </w:tcPr>
          <w:p>
            <w:pPr>
              <w:spacing w:after="0" w:line="20" w:lineRule="exact"/>
              <w:rPr>
                <w:sz w:val="1"/>
                <w:szCs w:val="1"/>
                <w:color w:val="auto"/>
              </w:rPr>
            </w:pPr>
          </w:p>
        </w:tc>
        <w:tc>
          <w:tcPr>
            <w:tcW w:w="1740" w:type="dxa"/>
            <w:vAlign w:val="bottom"/>
            <w:tcBorders>
              <w:left w:val="single" w:sz="8" w:color="0000FF"/>
            </w:tcBorders>
            <w:gridSpan w:val="3"/>
          </w:tcPr>
          <w:p>
            <w:pPr>
              <w:spacing w:after="0" w:line="20" w:lineRule="exact"/>
              <w:rPr>
                <w:sz w:val="1"/>
                <w:szCs w:val="1"/>
                <w:color w:val="auto"/>
              </w:rPr>
            </w:pPr>
          </w:p>
        </w:tc>
        <w:tc>
          <w:tcPr>
            <w:tcW w:w="1220" w:type="dxa"/>
            <w:vAlign w:val="bottom"/>
            <w:gridSpan w:val="7"/>
            <w:shd w:val="clear" w:color="auto" w:fill="0000FF"/>
          </w:tcPr>
          <w:p>
            <w:pPr>
              <w:spacing w:after="0" w:line="20" w:lineRule="exact"/>
              <w:rPr>
                <w:sz w:val="1"/>
                <w:szCs w:val="1"/>
                <w:color w:val="auto"/>
              </w:rPr>
            </w:pPr>
          </w:p>
        </w:tc>
        <w:tc>
          <w:tcPr>
            <w:tcW w:w="1260" w:type="dxa"/>
            <w:vAlign w:val="bottom"/>
            <w:gridSpan w:val="7"/>
            <w:shd w:val="clear" w:color="auto" w:fill="0000FF"/>
          </w:tcPr>
          <w:p>
            <w:pPr>
              <w:spacing w:after="0" w:line="20" w:lineRule="exact"/>
              <w:rPr>
                <w:sz w:val="1"/>
                <w:szCs w:val="1"/>
                <w:color w:val="auto"/>
              </w:rPr>
            </w:pPr>
          </w:p>
        </w:tc>
        <w:tc>
          <w:tcPr>
            <w:tcW w:w="5420" w:type="dxa"/>
            <w:vAlign w:val="bottom"/>
            <w:tcBorders>
              <w:right w:val="single" w:sz="8" w:color="0000FF"/>
            </w:tcBorders>
            <w:gridSpan w:val="11"/>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r>
      <w:tr>
        <w:trPr>
          <w:trHeight w:val="160"/>
        </w:trPr>
        <w:tc>
          <w:tcPr>
            <w:tcW w:w="2140" w:type="dxa"/>
            <w:vAlign w:val="bottom"/>
            <w:gridSpan w:val="4"/>
          </w:tcPr>
          <w:p>
            <w:pPr>
              <w:spacing w:after="0"/>
              <w:rPr>
                <w:sz w:val="20"/>
                <w:szCs w:val="20"/>
                <w:color w:val="auto"/>
              </w:rPr>
            </w:pPr>
            <w:r>
              <w:rPr>
                <w:rFonts w:ascii="Times New Roman" w:cs="Times New Roman" w:eastAsia="Times New Roman" w:hAnsi="Times New Roman"/>
                <w:sz w:val="14"/>
                <w:szCs w:val="14"/>
                <w:color w:val="0000FF"/>
              </w:rPr>
              <w:t>Item 16.</w:t>
            </w:r>
          </w:p>
        </w:tc>
        <w:tc>
          <w:tcPr>
            <w:tcW w:w="7900" w:type="dxa"/>
            <w:vAlign w:val="bottom"/>
            <w:gridSpan w:val="25"/>
          </w:tcPr>
          <w:p>
            <w:pPr>
              <w:spacing w:after="0"/>
              <w:rPr>
                <w:sz w:val="20"/>
                <w:szCs w:val="20"/>
                <w:color w:val="auto"/>
              </w:rPr>
            </w:pPr>
            <w:r>
              <w:rPr>
                <w:rFonts w:ascii="Times New Roman" w:cs="Times New Roman" w:eastAsia="Times New Roman" w:hAnsi="Times New Roman"/>
                <w:sz w:val="14"/>
                <w:szCs w:val="14"/>
                <w:color w:val="0000FF"/>
              </w:rPr>
              <w:t>Form 10-K Summary</w:t>
            </w:r>
          </w:p>
        </w:tc>
        <w:tc>
          <w:tcPr>
            <w:tcW w:w="12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0000FF"/>
                <w:w w:val="85"/>
              </w:rPr>
              <w:t>81</w:t>
            </w:r>
          </w:p>
        </w:tc>
      </w:tr>
      <w:tr>
        <w:trPr>
          <w:trHeight w:val="20"/>
        </w:trPr>
        <w:tc>
          <w:tcPr>
            <w:tcW w:w="40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54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0000FF"/>
        </w:rPr>
        <w:t>Signatures</w:t>
      </w:r>
    </w:p>
    <w:p>
      <w:pPr>
        <w:spacing w:after="0" w:line="200" w:lineRule="exact"/>
        <w:rPr>
          <w:sz w:val="20"/>
          <w:szCs w:val="20"/>
          <w:color w:val="auto"/>
        </w:rPr>
      </w:pPr>
    </w:p>
    <w:p>
      <w:pPr>
        <w:spacing w:after="0" w:line="329"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-59690</wp:posOffset>
            </wp:positionH>
            <wp:positionV relativeFrom="paragraph">
              <wp:posOffset>55880</wp:posOffset>
            </wp:positionV>
            <wp:extent cx="7186930"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0160"/>
          </w:cols>
          <w:pgMar w:left="380" w:top="728" w:right="1359" w:bottom="1440" w:gutter="0" w:footer="0" w:header="0"/>
        </w:sectPr>
      </w:pPr>
    </w:p>
    <w:bookmarkStart w:id="2" w:name="page3"/>
    <w:bookmarkEnd w:id="2"/>
    <w:p>
      <w:pPr>
        <w:ind w:left="2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4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Cautionary Note Concerning Forward-Looking Statements</w:t>
      </w:r>
    </w:p>
    <w:p>
      <w:pPr>
        <w:spacing w:after="0" w:line="181" w:lineRule="exact"/>
        <w:rPr>
          <w:sz w:val="20"/>
          <w:szCs w:val="20"/>
          <w:color w:val="auto"/>
        </w:rPr>
      </w:pPr>
    </w:p>
    <w:p>
      <w:pPr>
        <w:ind w:firstLine="255"/>
        <w:spacing w:after="0" w:line="257" w:lineRule="auto"/>
        <w:rPr>
          <w:sz w:val="20"/>
          <w:szCs w:val="20"/>
          <w:color w:val="auto"/>
        </w:rPr>
      </w:pPr>
      <w:r>
        <w:rPr>
          <w:rFonts w:ascii="Times New Roman" w:cs="Times New Roman" w:eastAsia="Times New Roman" w:hAnsi="Times New Roman"/>
          <w:sz w:val="14"/>
          <w:szCs w:val="14"/>
          <w:color w:val="auto"/>
        </w:rPr>
        <w:t>This Annual Report on Form 10-K, including any documents that may be incorporated by reference, may contain forward-looking statements. Forward looking statements can be identified with words such as “believe,” “expect,” “anticipate,” “estimate,” “intend,” “project,” “forecast,” “target,” “outlook,” “may,” “should,” “could,” and similar expressions, as well as statements written in the future tense. These statements, as well as any other written or oral forward-looking statements we may make from time to time in other SEC filings or other public communications are intended to qualify for the “safe harbor” from liability established by the Private Securities Litigation Reform Act of 1995. You should not consider forward-looking statements as guarantees of future performance or results. When made, forward-looking statements are based on information known to management at such time and/or management’s good faith belief with respect to future</w:t>
      </w:r>
    </w:p>
    <w:p>
      <w:pPr>
        <w:spacing w:after="0" w:line="1"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4"/>
          <w:szCs w:val="14"/>
          <w:color w:val="auto"/>
        </w:rPr>
        <w:t>events. Such statements are subject to risks and uncertainties that could cause actual performance or results to differ materially from those expressed in our forward-looking statements. Important factors, assumptions, uncertainties, and risks that could cause such differences include, but are not limited to:</w:t>
      </w:r>
    </w:p>
    <w:p>
      <w:pPr>
        <w:spacing w:after="0" w:line="159" w:lineRule="exact"/>
        <w:rPr>
          <w:sz w:val="20"/>
          <w:szCs w:val="20"/>
          <w:color w:val="auto"/>
        </w:rPr>
      </w:pPr>
    </w:p>
    <w:p>
      <w:pPr>
        <w:ind w:left="520" w:hanging="260"/>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projections of revenues, income or loss, or capital expenditures;</w:t>
      </w:r>
    </w:p>
    <w:p>
      <w:pPr>
        <w:spacing w:after="0" w:line="199"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future economic conditions and trends in the industries we serve;</w:t>
      </w:r>
    </w:p>
    <w:p>
      <w:pPr>
        <w:spacing w:after="0" w:line="199"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government policies and laws affecting our business, including related to funding for infrastructure projects and tariff policies;</w:t>
      </w:r>
    </w:p>
    <w:p>
      <w:pPr>
        <w:spacing w:after="0" w:line="199"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customer capital budgets and spending priorities;</w:t>
      </w:r>
    </w:p>
    <w:p>
      <w:pPr>
        <w:spacing w:after="0" w:line="199"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plans for future operations, growth and services, including contract backlog;</w:t>
      </w:r>
    </w:p>
    <w:p>
      <w:pPr>
        <w:spacing w:after="0" w:line="199"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plans for future acquisitions, dispositions, or financial needs;</w:t>
      </w:r>
    </w:p>
    <w:p>
      <w:pPr>
        <w:spacing w:after="0" w:line="199"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expected benefits and synergies of businesses acquired and future opportunities for the combined businesses;</w:t>
      </w:r>
    </w:p>
    <w:p>
      <w:pPr>
        <w:spacing w:after="0" w:line="199"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anticipated outcomes of contingent events, including litigation;</w:t>
      </w:r>
    </w:p>
    <w:p>
      <w:pPr>
        <w:spacing w:after="0" w:line="199"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availability of capital;</w:t>
      </w:r>
    </w:p>
    <w:p>
      <w:pPr>
        <w:spacing w:after="0" w:line="199"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restrictions imposed by our senior notes and credit agreement;</w:t>
      </w:r>
    </w:p>
    <w:p>
      <w:pPr>
        <w:spacing w:after="0" w:line="199"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use of our cash flow to service our debt;</w:t>
      </w:r>
    </w:p>
    <w:p>
      <w:pPr>
        <w:spacing w:after="0" w:line="199"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effect of changes in tax law;</w:t>
      </w:r>
    </w:p>
    <w:p>
      <w:pPr>
        <w:spacing w:after="0" w:line="199"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potential liabilities and other adverse effects arising from occupational health, safety, and other regulatory matters;</w:t>
      </w:r>
    </w:p>
    <w:p>
      <w:pPr>
        <w:spacing w:after="0" w:line="199"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potential exposure to environmental liabilities;</w:t>
      </w:r>
    </w:p>
    <w:p>
      <w:pPr>
        <w:spacing w:after="0" w:line="199"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determinations as to whether the carrying value of our assets is impaired;</w:t>
      </w:r>
    </w:p>
    <w:p>
      <w:pPr>
        <w:spacing w:after="0" w:line="199"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assumptions relating to any of the foregoing;</w:t>
      </w:r>
    </w:p>
    <w:p>
      <w:pPr>
        <w:spacing w:after="0" w:line="199"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duration and severity of widespread pandemics and public health emergencies and their ultimate impact across our business;</w:t>
      </w:r>
    </w:p>
    <w:p>
      <w:pPr>
        <w:spacing w:after="0" w:line="199"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 risks outlined in our periodic filings with the SEC; and</w:t>
      </w:r>
    </w:p>
    <w:p>
      <w:pPr>
        <w:spacing w:after="0" w:line="197" w:lineRule="exact"/>
        <w:rPr>
          <w:rFonts w:ascii="Times New Roman" w:cs="Times New Roman" w:eastAsia="Times New Roman" w:hAnsi="Times New Roman"/>
          <w:sz w:val="14"/>
          <w:szCs w:val="14"/>
          <w:color w:val="auto"/>
        </w:rPr>
      </w:pPr>
    </w:p>
    <w:p>
      <w:pPr>
        <w:ind w:left="520" w:right="100" w:hanging="260"/>
        <w:spacing w:after="0" w:line="290" w:lineRule="auto"/>
        <w:tabs>
          <w:tab w:leader="none" w:pos="516"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other factors that are discussed within Item 1. </w:t>
      </w:r>
      <w:r>
        <w:rPr>
          <w:rFonts w:ascii="Times New Roman" w:cs="Times New Roman" w:eastAsia="Times New Roman" w:hAnsi="Times New Roman"/>
          <w:sz w:val="14"/>
          <w:szCs w:val="14"/>
          <w:i w:val="1"/>
          <w:iCs w:val="1"/>
          <w:color w:val="auto"/>
        </w:rPr>
        <w:t>Business</w:t>
      </w:r>
      <w:r>
        <w:rPr>
          <w:rFonts w:ascii="Times New Roman" w:cs="Times New Roman" w:eastAsia="Times New Roman" w:hAnsi="Times New Roman"/>
          <w:sz w:val="14"/>
          <w:szCs w:val="14"/>
          <w:color w:val="auto"/>
        </w:rPr>
        <w:t xml:space="preserve">, Item 1A. </w:t>
      </w:r>
      <w:r>
        <w:rPr>
          <w:rFonts w:ascii="Times New Roman" w:cs="Times New Roman" w:eastAsia="Times New Roman" w:hAnsi="Times New Roman"/>
          <w:sz w:val="14"/>
          <w:szCs w:val="14"/>
          <w:i w:val="1"/>
          <w:iCs w:val="1"/>
          <w:color w:val="auto"/>
        </w:rPr>
        <w:t>Risk Factors</w:t>
      </w:r>
      <w:r>
        <w:rPr>
          <w:rFonts w:ascii="Times New Roman" w:cs="Times New Roman" w:eastAsia="Times New Roman" w:hAnsi="Times New Roman"/>
          <w:sz w:val="14"/>
          <w:szCs w:val="14"/>
          <w:color w:val="auto"/>
        </w:rPr>
        <w:t xml:space="preserve"> and Item 7. </w:t>
      </w:r>
      <w:r>
        <w:rPr>
          <w:rFonts w:ascii="Times New Roman" w:cs="Times New Roman" w:eastAsia="Times New Roman" w:hAnsi="Times New Roman"/>
          <w:sz w:val="14"/>
          <w:szCs w:val="14"/>
          <w:i w:val="1"/>
          <w:iCs w:val="1"/>
          <w:color w:val="auto"/>
        </w:rPr>
        <w:t>Management’s Discussion and Analysis of Financial Condition and Results of Operations</w:t>
      </w:r>
      <w:r>
        <w:rPr>
          <w:rFonts w:ascii="Times New Roman" w:cs="Times New Roman" w:eastAsia="Times New Roman" w:hAnsi="Times New Roman"/>
          <w:sz w:val="14"/>
          <w:szCs w:val="14"/>
          <w:color w:val="auto"/>
        </w:rPr>
        <w:t xml:space="preserve"> of this Annual Report on Form 10-K.</w:t>
      </w:r>
    </w:p>
    <w:p>
      <w:pPr>
        <w:spacing w:after="0" w:line="143" w:lineRule="exact"/>
        <w:rPr>
          <w:sz w:val="20"/>
          <w:szCs w:val="20"/>
          <w:color w:val="auto"/>
        </w:rPr>
      </w:pPr>
    </w:p>
    <w:p>
      <w:pPr>
        <w:ind w:right="280" w:firstLine="255"/>
        <w:spacing w:after="0" w:line="287" w:lineRule="auto"/>
        <w:rPr>
          <w:sz w:val="20"/>
          <w:szCs w:val="20"/>
          <w:color w:val="auto"/>
        </w:rPr>
      </w:pPr>
      <w:r>
        <w:rPr>
          <w:rFonts w:ascii="Times New Roman" w:cs="Times New Roman" w:eastAsia="Times New Roman" w:hAnsi="Times New Roman"/>
          <w:sz w:val="14"/>
          <w:szCs w:val="14"/>
          <w:color w:val="auto"/>
        </w:rPr>
        <w:t>Our forward-looking statements are expressly qualified in their entirety by this cautionary statement. We do not undertake to update or revise forward-looking statements to reflect events or circumstances arising after the date of those statements or to reflect the occurrence of anticipated or unanticipated events.</w:t>
      </w:r>
    </w:p>
    <w:p>
      <w:pPr>
        <w:spacing w:after="0" w:line="200" w:lineRule="exact"/>
        <w:rPr>
          <w:sz w:val="20"/>
          <w:szCs w:val="20"/>
          <w:color w:val="auto"/>
        </w:rPr>
      </w:pPr>
    </w:p>
    <w:p>
      <w:pPr>
        <w:spacing w:after="0" w:line="38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20"/>
          </w:cols>
          <w:pgMar w:left="300" w:top="125" w:right="379" w:bottom="1440" w:gutter="0" w:footer="0" w:header="0"/>
        </w:sectPr>
      </w:pPr>
    </w:p>
    <w:bookmarkStart w:id="3" w:name="page4"/>
    <w:bookmarkEnd w:id="3"/>
    <w:p>
      <w:pPr>
        <w:ind w:left="2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Available Information</w:t>
      </w:r>
    </w:p>
    <w:p>
      <w:pPr>
        <w:spacing w:after="0" w:line="202" w:lineRule="exact"/>
        <w:rPr>
          <w:sz w:val="20"/>
          <w:szCs w:val="20"/>
          <w:color w:val="auto"/>
        </w:rPr>
      </w:pPr>
    </w:p>
    <w:p>
      <w:pPr>
        <w:ind w:right="120" w:firstLine="255"/>
        <w:spacing w:after="0" w:line="261" w:lineRule="auto"/>
        <w:rPr>
          <w:sz w:val="20"/>
          <w:szCs w:val="20"/>
          <w:color w:val="auto"/>
        </w:rPr>
      </w:pPr>
      <w:r>
        <w:rPr>
          <w:rFonts w:ascii="Times New Roman" w:cs="Times New Roman" w:eastAsia="Times New Roman" w:hAnsi="Times New Roman"/>
          <w:sz w:val="14"/>
          <w:szCs w:val="14"/>
          <w:color w:val="auto"/>
        </w:rPr>
        <w:t>Copies of our Annual Report on Form 10-K, Quarterly Reports on Form 10-Q, Current Reports on Form 8-K, and any amendments to those reports are available, free of charge, on our website, www.dycomind.com, as soon as reasonably practicable after we file these reports with, or furnish these reports to, the SEC. All references to www.dycomind.com in this report are inactive textual references only and information contained at that website is not incorporated herein and does not constitute a part of this Annual Report on Form 10-K. In addition, the SEC maintains a website that contains reports, proxy and information statements, and other information regarding issuers, where you may obtain a copy of all of the materials we file publicly with the SEC. The SEC website address is www.sec.gov.</w:t>
      </w:r>
    </w:p>
    <w:p>
      <w:pPr>
        <w:spacing w:after="0" w:line="3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PART I</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 xml:space="preserve">Item 1. </w:t>
      </w:r>
      <w:r>
        <w:rPr>
          <w:rFonts w:ascii="Times New Roman" w:cs="Times New Roman" w:eastAsia="Times New Roman" w:hAnsi="Times New Roman"/>
          <w:sz w:val="14"/>
          <w:szCs w:val="14"/>
          <w:b w:val="1"/>
          <w:bCs w:val="1"/>
          <w:i w:val="1"/>
          <w:iCs w:val="1"/>
          <w:color w:val="auto"/>
        </w:rPr>
        <w:t>Business.</w:t>
      </w:r>
    </w:p>
    <w:p>
      <w:pPr>
        <w:spacing w:after="0" w:line="202" w:lineRule="exact"/>
        <w:rPr>
          <w:sz w:val="20"/>
          <w:szCs w:val="20"/>
          <w:color w:val="auto"/>
        </w:rPr>
      </w:pPr>
    </w:p>
    <w:p>
      <w:pPr>
        <w:ind w:firstLine="255"/>
        <w:spacing w:after="0" w:line="264" w:lineRule="auto"/>
        <w:rPr>
          <w:sz w:val="20"/>
          <w:szCs w:val="20"/>
          <w:color w:val="auto"/>
        </w:rPr>
      </w:pPr>
      <w:r>
        <w:rPr>
          <w:rFonts w:ascii="Times New Roman" w:cs="Times New Roman" w:eastAsia="Times New Roman" w:hAnsi="Times New Roman"/>
          <w:sz w:val="14"/>
          <w:szCs w:val="14"/>
          <w:color w:val="auto"/>
        </w:rPr>
        <w:t>Dycom Industries, Inc. (“Dycom,” the “Company,” “we,” or “us”) is a leading provider of specialty contracting services to the telecommunications infrastructure and utility industries throughout the United States. Since our incorporation in the State of Florida in 1969, we have expanded our scope and service offerings organically and through acquisitions. Today, Dycom is made up of 40 operating companies that serve a diverse customer base across all 50 states from hundreds of field offices. Our deep industry knowledge, strong customer relationships, broad geographic presence and skilled workforce provide the scale needed to quickly execute on opportunities to service existing and new customers throughout urban and rural America.</w:t>
      </w:r>
    </w:p>
    <w:p>
      <w:pPr>
        <w:spacing w:after="0" w:line="162" w:lineRule="exact"/>
        <w:rPr>
          <w:sz w:val="20"/>
          <w:szCs w:val="20"/>
          <w:color w:val="auto"/>
        </w:rPr>
      </w:pPr>
    </w:p>
    <w:p>
      <w:pPr>
        <w:ind w:right="280" w:firstLine="255"/>
        <w:spacing w:after="0" w:line="264" w:lineRule="auto"/>
        <w:rPr>
          <w:sz w:val="20"/>
          <w:szCs w:val="20"/>
          <w:color w:val="auto"/>
        </w:rPr>
      </w:pPr>
      <w:r>
        <w:rPr>
          <w:rFonts w:ascii="Times New Roman" w:cs="Times New Roman" w:eastAsia="Times New Roman" w:hAnsi="Times New Roman"/>
          <w:sz w:val="14"/>
          <w:szCs w:val="14"/>
          <w:color w:val="auto"/>
        </w:rPr>
        <w:t>Dycom’s operating companies supply telecommunications providers with a comprehensive portfolio of specialty services, including program management, planning, engineering and design; aerial, underground, and wireless construction; maintenance; and fulfillment services. Additionally, we provide underground facility locating services for various utilities, including telecommunications providers, as well as other construction and maintenance services for electric and gas utilities. Dycom supplies the expertise, labor, equipment, and tools necessary to provide services to our customers.</w:t>
      </w:r>
    </w:p>
    <w:p>
      <w:pPr>
        <w:spacing w:after="0" w:line="160" w:lineRule="exact"/>
        <w:rPr>
          <w:sz w:val="20"/>
          <w:szCs w:val="20"/>
          <w:color w:val="auto"/>
        </w:rPr>
      </w:pPr>
    </w:p>
    <w:p>
      <w:pPr>
        <w:ind w:right="140" w:firstLine="255"/>
        <w:spacing w:after="0" w:line="265" w:lineRule="auto"/>
        <w:rPr>
          <w:sz w:val="20"/>
          <w:szCs w:val="20"/>
          <w:color w:val="auto"/>
        </w:rPr>
      </w:pPr>
      <w:r>
        <w:rPr>
          <w:rFonts w:ascii="Times New Roman" w:cs="Times New Roman" w:eastAsia="Times New Roman" w:hAnsi="Times New Roman"/>
          <w:sz w:val="14"/>
          <w:szCs w:val="14"/>
          <w:i w:val="1"/>
          <w:iCs w:val="1"/>
          <w:color w:val="auto"/>
        </w:rPr>
        <w:t xml:space="preserve">Engineering Services. </w:t>
      </w:r>
      <w:r>
        <w:rPr>
          <w:rFonts w:ascii="Times New Roman" w:cs="Times New Roman" w:eastAsia="Times New Roman" w:hAnsi="Times New Roman"/>
          <w:sz w:val="14"/>
          <w:szCs w:val="14"/>
          <w:color w:val="auto"/>
        </w:rPr>
        <w:t>We provide engineering services to telecommunications providers, including the planning and design of aerial, underground, and buried fiber optic, copper, and coaxial</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cable systems that extend from the telephone company hub location, or cable operator headend, to a consumer’s home or business. We also plan and design wireless networks in connection with the deployment of new and enhanced macro cell and new small cell sites. Additionally, we obtain rights of way and permits in support of our engineering activities and those of our customers and provide program and project management and inspection personnel in conjunction with engineering services or on a stand-alone basis.</w:t>
      </w:r>
    </w:p>
    <w:p>
      <w:pPr>
        <w:spacing w:after="0" w:line="159" w:lineRule="exact"/>
        <w:rPr>
          <w:sz w:val="20"/>
          <w:szCs w:val="20"/>
          <w:color w:val="auto"/>
        </w:rPr>
      </w:pPr>
    </w:p>
    <w:p>
      <w:pPr>
        <w:ind w:right="80" w:firstLine="255"/>
        <w:spacing w:after="0" w:line="258" w:lineRule="auto"/>
        <w:rPr>
          <w:sz w:val="20"/>
          <w:szCs w:val="20"/>
          <w:color w:val="auto"/>
        </w:rPr>
      </w:pPr>
      <w:r>
        <w:rPr>
          <w:rFonts w:ascii="Times New Roman" w:cs="Times New Roman" w:eastAsia="Times New Roman" w:hAnsi="Times New Roman"/>
          <w:sz w:val="14"/>
          <w:szCs w:val="14"/>
          <w:i w:val="1"/>
          <w:iCs w:val="1"/>
          <w:color w:val="auto"/>
        </w:rPr>
        <w:t xml:space="preserve">Construction, Maintenance, and Installation Services. </w:t>
      </w:r>
      <w:r>
        <w:rPr>
          <w:rFonts w:ascii="Times New Roman" w:cs="Times New Roman" w:eastAsia="Times New Roman" w:hAnsi="Times New Roman"/>
          <w:sz w:val="14"/>
          <w:szCs w:val="14"/>
          <w:color w:val="auto"/>
        </w:rPr>
        <w:t>We provide a range of construction, maintenance, and installation services, including the placement and splicing of fiber, copper, and</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coaxial cables. We excavate trenches to place these cables; place related structures, such as poles, anchors, conduits, manholes, cabinets, and closures; place drop lines from main distribution lines to a consumer’s home or business; and maintain and remove these facilities. We provide these services for both telephone companies and cable multiple system operators in connection with the deployment, expansion, or maintenance of new and existing networks. We also provide tower construction, lines and antenna installation, foundation and equipment pad construction, small cell site placement for wireless carriers, and equipment installation and material fabrication and site testing services. In addition, we provide underground facility locating services for various utility companies, including telecommunications providers. Our underground facility locating services include locating telephone, cable television, power, water, sewer, and gas lines. In addition, we install and maintain customer premise equipment, such as digital video recorders, set top boxes and modems, for cable multiple system operators and others. We also perform construction and maintenance services for electric and gas utilities and other customers.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Business Strategy</w:t>
      </w:r>
    </w:p>
    <w:p>
      <w:pPr>
        <w:spacing w:after="0" w:line="200" w:lineRule="exact"/>
        <w:rPr>
          <w:sz w:val="20"/>
          <w:szCs w:val="20"/>
          <w:color w:val="auto"/>
        </w:rPr>
      </w:pPr>
    </w:p>
    <w:p>
      <w:pPr>
        <w:ind w:right="40" w:firstLine="255"/>
        <w:spacing w:after="0" w:line="260" w:lineRule="auto"/>
        <w:rPr>
          <w:sz w:val="20"/>
          <w:szCs w:val="20"/>
          <w:color w:val="auto"/>
        </w:rPr>
      </w:pPr>
      <w:r>
        <w:rPr>
          <w:rFonts w:ascii="Times New Roman" w:cs="Times New Roman" w:eastAsia="Times New Roman" w:hAnsi="Times New Roman"/>
          <w:sz w:val="14"/>
          <w:szCs w:val="14"/>
          <w:i w:val="1"/>
          <w:iCs w:val="1"/>
          <w:color w:val="auto"/>
        </w:rPr>
        <w:t xml:space="preserve">Capitalize on Long-Term Growth Drivers. </w:t>
      </w:r>
      <w:r>
        <w:rPr>
          <w:rFonts w:ascii="Times New Roman" w:cs="Times New Roman" w:eastAsia="Times New Roman" w:hAnsi="Times New Roman"/>
          <w:sz w:val="14"/>
          <w:szCs w:val="14"/>
          <w:color w:val="auto"/>
        </w:rPr>
        <w:t>We are well-positioned to benefit from the increased demand for network telecommunications bandwidth that is necessary to ensure reliable video,</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voice, and data services. In addition, the advent of AI data centers has created expanding opportunities as hyperscalers look to connect data centers with long-haul, private, redundant fiber networks. Developments in consumer and business applications within the telecommunications industry, including advanced digital and video service offerings, continue to increase demand for greater wireline and wireless network capacity and reliability. Telecommunications network operators are increasingly deploying fiber optic cable technology deeper into their networks and closer to consumers and businesses in order to respond to consumer demand, competitive realities, and public policy support. Additionally, wireless carriers are upgrading their networks and contemplating next generation mobile solutions</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4" w:name="page5"/>
    <w:bookmarkEnd w:id="4"/>
    <w:p>
      <w:pPr>
        <w:ind w:left="2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44" w:lineRule="exact"/>
        <w:rPr>
          <w:sz w:val="20"/>
          <w:szCs w:val="20"/>
          <w:color w:val="auto"/>
        </w:rPr>
      </w:pPr>
    </w:p>
    <w:p>
      <w:pPr>
        <w:ind w:right="180"/>
        <w:spacing w:after="0" w:line="270" w:lineRule="auto"/>
        <w:rPr>
          <w:sz w:val="20"/>
          <w:szCs w:val="20"/>
          <w:color w:val="auto"/>
        </w:rPr>
      </w:pPr>
      <w:r>
        <w:rPr>
          <w:rFonts w:ascii="Times New Roman" w:cs="Times New Roman" w:eastAsia="Times New Roman" w:hAnsi="Times New Roman"/>
          <w:sz w:val="14"/>
          <w:szCs w:val="14"/>
          <w:color w:val="auto"/>
        </w:rPr>
        <w:t>in response to the significant demand for wireless broadband, driven by the proliferation of smart phones, mobile data devices and other advances in technology. Increasing wireless data traffic and emerging wireless technologies are driving wireline deployments in many regions of the United States. Furthermore, significant consolidation and merger activity among telecommunications providers could also provide increased demand for our services as networks are integrated.</w:t>
      </w:r>
    </w:p>
    <w:p>
      <w:pPr>
        <w:spacing w:after="0" w:line="155" w:lineRule="exact"/>
        <w:rPr>
          <w:sz w:val="20"/>
          <w:szCs w:val="20"/>
          <w:color w:val="auto"/>
        </w:rPr>
      </w:pPr>
    </w:p>
    <w:p>
      <w:pPr>
        <w:ind w:firstLine="255"/>
        <w:spacing w:after="0" w:line="265" w:lineRule="auto"/>
        <w:rPr>
          <w:sz w:val="20"/>
          <w:szCs w:val="20"/>
          <w:color w:val="auto"/>
        </w:rPr>
      </w:pPr>
      <w:r>
        <w:rPr>
          <w:rFonts w:ascii="Times New Roman" w:cs="Times New Roman" w:eastAsia="Times New Roman" w:hAnsi="Times New Roman"/>
          <w:sz w:val="14"/>
          <w:szCs w:val="14"/>
          <w:i w:val="1"/>
          <w:iCs w:val="1"/>
          <w:color w:val="auto"/>
        </w:rPr>
        <w:t xml:space="preserve">Selectively Increase Market Share. </w:t>
      </w:r>
      <w:r>
        <w:rPr>
          <w:rFonts w:ascii="Times New Roman" w:cs="Times New Roman" w:eastAsia="Times New Roman" w:hAnsi="Times New Roman"/>
          <w:sz w:val="14"/>
          <w:szCs w:val="14"/>
          <w:color w:val="auto"/>
        </w:rPr>
        <w:t>We believe our expertise, breadth of service offerings and reputation for providing high quality services and the ability to provide those services nationally</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creates opportunities to expand market share. Our operating structure and multiple points of contact within customer organizations positions us favorably to win new opportunities and maintain strong relationships with our customers. We are able to address larger customer opportunities due to our significant financial resources that some of our comparatively more capital-constrained competitors may be unable to take on.</w:t>
      </w:r>
    </w:p>
    <w:p>
      <w:pPr>
        <w:spacing w:after="0" w:line="159" w:lineRule="exact"/>
        <w:rPr>
          <w:sz w:val="20"/>
          <w:szCs w:val="20"/>
          <w:color w:val="auto"/>
        </w:rPr>
      </w:pPr>
    </w:p>
    <w:p>
      <w:pPr>
        <w:ind w:right="20" w:firstLine="255"/>
        <w:spacing w:after="0" w:line="260" w:lineRule="auto"/>
        <w:rPr>
          <w:sz w:val="20"/>
          <w:szCs w:val="20"/>
          <w:color w:val="auto"/>
        </w:rPr>
      </w:pPr>
      <w:r>
        <w:rPr>
          <w:rFonts w:ascii="Times New Roman" w:cs="Times New Roman" w:eastAsia="Times New Roman" w:hAnsi="Times New Roman"/>
          <w:sz w:val="14"/>
          <w:szCs w:val="14"/>
          <w:i w:val="1"/>
          <w:iCs w:val="1"/>
          <w:color w:val="auto"/>
        </w:rPr>
        <w:t xml:space="preserve">Pursue Disciplined Financial and Operating Strategies. </w:t>
      </w:r>
      <w:r>
        <w:rPr>
          <w:rFonts w:ascii="Times New Roman" w:cs="Times New Roman" w:eastAsia="Times New Roman" w:hAnsi="Times New Roman"/>
          <w:sz w:val="14"/>
          <w:szCs w:val="14"/>
          <w:color w:val="auto"/>
        </w:rPr>
        <w:t>We manage the financial aspects of our business by centralizing certain activities that allow us to leverage our scope and scale and reduce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costs. We have centralized functions, such as information technology, legal, risk management, treasury, tax, the approval of capital equipment procurements, and the design and administration of employee benefit plans. In contrast, we decentralize the recording of transactions and the financial reporting necessary for timely operational decisions. This operating structure promotes greater accountability for business outcomes by our local managers. Our local managers are responsible for marketing, field operations, and ongoing customer service, and are empowered to capture new business and execute contracts on a timely and cost-effective basis. Executive management supports the local marketing efforts while also marketing at a national level. This operating structure enables us to benefit from our scale while retaining the organizational agility necessary to compete with smaller, regional and privately owned competitors.</w:t>
      </w:r>
    </w:p>
    <w:p>
      <w:pPr>
        <w:spacing w:after="0" w:line="163" w:lineRule="exact"/>
        <w:rPr>
          <w:sz w:val="20"/>
          <w:szCs w:val="20"/>
          <w:color w:val="auto"/>
        </w:rPr>
      </w:pPr>
    </w:p>
    <w:p>
      <w:pPr>
        <w:ind w:right="140" w:firstLine="255"/>
        <w:spacing w:after="0" w:line="271" w:lineRule="auto"/>
        <w:rPr>
          <w:sz w:val="20"/>
          <w:szCs w:val="20"/>
          <w:color w:val="auto"/>
        </w:rPr>
      </w:pPr>
      <w:r>
        <w:rPr>
          <w:rFonts w:ascii="Times New Roman" w:cs="Times New Roman" w:eastAsia="Times New Roman" w:hAnsi="Times New Roman"/>
          <w:sz w:val="14"/>
          <w:szCs w:val="14"/>
          <w:i w:val="1"/>
          <w:iCs w:val="1"/>
          <w:color w:val="auto"/>
        </w:rPr>
        <w:t xml:space="preserve">Pursue Selective Acquisitions. </w:t>
      </w:r>
      <w:r>
        <w:rPr>
          <w:rFonts w:ascii="Times New Roman" w:cs="Times New Roman" w:eastAsia="Times New Roman" w:hAnsi="Times New Roman"/>
          <w:sz w:val="14"/>
          <w:szCs w:val="14"/>
          <w:color w:val="auto"/>
        </w:rPr>
        <w:t>We pursue acquisitions that are operationally and financially beneficial for the Company as they provide incremental revenue, geographic diversification, and</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complement existing operations. We generally target companies for acquisition that have defensible leadership positions in their market niches, the opportunity to generate profitability that meets or exceeds industry averages, proven operating histories, sound management and certain clearly identifiable cost synergies.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Fiscal Year</w:t>
      </w:r>
    </w:p>
    <w:p>
      <w:pPr>
        <w:spacing w:after="0" w:line="202" w:lineRule="exact"/>
        <w:rPr>
          <w:sz w:val="20"/>
          <w:szCs w:val="20"/>
          <w:color w:val="auto"/>
        </w:rPr>
      </w:pPr>
    </w:p>
    <w:p>
      <w:pPr>
        <w:ind w:right="160" w:firstLine="255"/>
        <w:spacing w:after="0" w:line="270" w:lineRule="auto"/>
        <w:rPr>
          <w:sz w:val="20"/>
          <w:szCs w:val="20"/>
          <w:color w:val="auto"/>
        </w:rPr>
      </w:pPr>
      <w:r>
        <w:rPr>
          <w:rFonts w:ascii="Times New Roman" w:cs="Times New Roman" w:eastAsia="Times New Roman" w:hAnsi="Times New Roman"/>
          <w:sz w:val="14"/>
          <w:szCs w:val="14"/>
          <w:color w:val="auto"/>
        </w:rPr>
        <w:t>Our fiscal year ends on the last Saturday in January. As a result, each fiscal year consists of either 52 weeks or 53 weeks of operations (with the additional week of operations occurring in the fourth quarter). Fiscal 2025, fiscal 2024, and fiscal 2023 each consisted of 52 weeks of operations. The next 53 week fiscal period will occur next fiscal year, which is the fiscal year ending January 31, 2026.</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Customer Relationships</w:t>
      </w:r>
    </w:p>
    <w:p>
      <w:pPr>
        <w:spacing w:after="0" w:line="202" w:lineRule="exact"/>
        <w:rPr>
          <w:sz w:val="20"/>
          <w:szCs w:val="20"/>
          <w:color w:val="auto"/>
        </w:rPr>
      </w:pPr>
    </w:p>
    <w:p>
      <w:pPr>
        <w:ind w:right="40" w:firstLine="255"/>
        <w:spacing w:after="0" w:line="259" w:lineRule="auto"/>
        <w:rPr>
          <w:sz w:val="20"/>
          <w:szCs w:val="20"/>
          <w:color w:val="auto"/>
        </w:rPr>
      </w:pPr>
      <w:r>
        <w:rPr>
          <w:rFonts w:ascii="Times New Roman" w:cs="Times New Roman" w:eastAsia="Times New Roman" w:hAnsi="Times New Roman"/>
          <w:sz w:val="14"/>
          <w:szCs w:val="14"/>
          <w:color w:val="auto"/>
        </w:rPr>
        <w:t>We have established relationships with many leading telecommunications providers, including telephone companies, cable multiple system operators, wireless carriers, telecommunication equipment and infrastructure providers, as well as electric and gas utilities. Our customer base is highly concentrated, with our top five customers during fiscal 2025, fiscal 2024, and fiscal 2023, accounting for approximately 55.4%, 57.7%, and 66.7%, of our total contract revenues, respectively. During fiscal 2025, we derived approximately 20.1% of our total contract revenues from AT&amp;T Inc., 12.1% from Lumen Technologies Inc., 8.5% from Comcast Corporation, 7.3% from Charter Communications, Inc., and 7.4% from another customer. We believe that a substantial portion of our total contract revenues and operating income will continue to be generated from a concentrated group of customers and that the identity and proportion of our contract revenues arising from our work for our top five customers will fluctuate.</w:t>
      </w:r>
    </w:p>
    <w:p>
      <w:pPr>
        <w:spacing w:after="0" w:line="167" w:lineRule="exact"/>
        <w:rPr>
          <w:sz w:val="20"/>
          <w:szCs w:val="20"/>
          <w:color w:val="auto"/>
        </w:rPr>
      </w:pPr>
    </w:p>
    <w:p>
      <w:pPr>
        <w:ind w:right="220" w:firstLine="255"/>
        <w:spacing w:after="0" w:line="270" w:lineRule="auto"/>
        <w:rPr>
          <w:sz w:val="20"/>
          <w:szCs w:val="20"/>
          <w:color w:val="auto"/>
        </w:rPr>
      </w:pPr>
      <w:r>
        <w:rPr>
          <w:rFonts w:ascii="Times New Roman" w:cs="Times New Roman" w:eastAsia="Times New Roman" w:hAnsi="Times New Roman"/>
          <w:sz w:val="14"/>
          <w:szCs w:val="14"/>
          <w:color w:val="auto"/>
        </w:rPr>
        <w:t>We serve our markets locally through dedicated and experienced personnel. Our sales and marketing efforts are the responsibility of the management teams of our operating companies. These teams possess intimate knowledge of their particular markets, allowing us to be responsive to customer needs. Executive management supports these efforts, both at the local and national levels, focusing on contacts with the appropriate personnel within our customers’ organizations.</w:t>
      </w:r>
    </w:p>
    <w:p>
      <w:pPr>
        <w:spacing w:after="0" w:line="157" w:lineRule="exact"/>
        <w:rPr>
          <w:sz w:val="20"/>
          <w:szCs w:val="20"/>
          <w:color w:val="auto"/>
        </w:rPr>
      </w:pPr>
    </w:p>
    <w:p>
      <w:pPr>
        <w:ind w:right="60" w:firstLine="255"/>
        <w:spacing w:after="0" w:line="261" w:lineRule="auto"/>
        <w:rPr>
          <w:sz w:val="20"/>
          <w:szCs w:val="20"/>
          <w:color w:val="auto"/>
        </w:rPr>
      </w:pPr>
      <w:r>
        <w:rPr>
          <w:rFonts w:ascii="Times New Roman" w:cs="Times New Roman" w:eastAsia="Times New Roman" w:hAnsi="Times New Roman"/>
          <w:sz w:val="14"/>
          <w:szCs w:val="14"/>
          <w:color w:val="auto"/>
        </w:rPr>
        <w:t>We perform a significant amount of our services under master service agreements and other contracts that contain customer-specified service requirements. These agreements include discrete pricing for individual tasks. We generally possess multiple agreements with each of our significant customers. To the extent that such agreements specify exclusivity, there are often exceptions, including the ability of the customer to issue work orders valued above a specified dollar amount to other service providers, the performance of work with the customer’s own employees, and the use of other service providers when jointly placing facilities with another utility. In most cases, a customer may terminate an agreement for convenience. Historically, multi-year master service agreements have been awarded primarily through a competitive bidding process;</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5" w:name="page6"/>
    <w:bookmarkEnd w:id="5"/>
    <w:p>
      <w:pPr>
        <w:ind w:left="2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44" w:lineRule="exact"/>
        <w:rPr>
          <w:sz w:val="20"/>
          <w:szCs w:val="20"/>
          <w:color w:val="auto"/>
        </w:rPr>
      </w:pPr>
    </w:p>
    <w:p>
      <w:pPr>
        <w:jc w:val="both"/>
        <w:ind w:right="60"/>
        <w:spacing w:after="0" w:line="270" w:lineRule="auto"/>
        <w:rPr>
          <w:sz w:val="20"/>
          <w:szCs w:val="20"/>
          <w:color w:val="auto"/>
        </w:rPr>
      </w:pPr>
      <w:r>
        <w:rPr>
          <w:rFonts w:ascii="Times New Roman" w:cs="Times New Roman" w:eastAsia="Times New Roman" w:hAnsi="Times New Roman"/>
          <w:sz w:val="14"/>
          <w:szCs w:val="14"/>
          <w:color w:val="auto"/>
        </w:rPr>
        <w:t>however, occasionally we are able to negotiate extensions to these agreements. We provide the remainder of our services pursuant to contracts for specific projects. These contracts may be long-term (with terms greater than one year) or short-term (with terms less than one year) and often include customary retainage provisions under which the customer may withhold 5% to 10% of the invoiced amounts pending project completion and closeout.</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Cyclicality and Seasonality</w:t>
      </w:r>
    </w:p>
    <w:p>
      <w:pPr>
        <w:spacing w:after="0" w:line="202" w:lineRule="exact"/>
        <w:rPr>
          <w:sz w:val="20"/>
          <w:szCs w:val="20"/>
          <w:color w:val="auto"/>
        </w:rPr>
      </w:pPr>
    </w:p>
    <w:p>
      <w:pPr>
        <w:ind w:right="60" w:firstLine="191"/>
        <w:spacing w:after="0" w:line="261" w:lineRule="auto"/>
        <w:rPr>
          <w:sz w:val="20"/>
          <w:szCs w:val="20"/>
          <w:color w:val="auto"/>
        </w:rPr>
      </w:pPr>
      <w:r>
        <w:rPr>
          <w:rFonts w:ascii="Times New Roman" w:cs="Times New Roman" w:eastAsia="Times New Roman" w:hAnsi="Times New Roman"/>
          <w:sz w:val="14"/>
          <w:szCs w:val="14"/>
          <w:color w:val="auto"/>
        </w:rPr>
        <w:t>The cyclical nature of the industry we serve affects demand for our services. The capital expenditure and maintenance budgets of our customers, and the related timing of approvals and seasonal spending patterns, influence our contract revenues and results of operations. Factors affecting our customers and their capital expenditure budgets include, but are not limited to, overall economic conditions, including the cost of capital, the introduction of new technologies, our customers’ debt levels and capital structures, our customers’ financial performance, and our customers’ positioning and strategic plans. Other factors that may affect our customers and their capital expenditure budgets include new regulations or regulatory actions impacting our customers’ businesses, merger or acquisition activity involving our customers, and the physical maintenance needs of our customers’ infrastructure.</w:t>
      </w:r>
    </w:p>
    <w:p>
      <w:pPr>
        <w:spacing w:after="0" w:line="164" w:lineRule="exact"/>
        <w:rPr>
          <w:sz w:val="20"/>
          <w:szCs w:val="20"/>
          <w:color w:val="auto"/>
        </w:rPr>
      </w:pPr>
    </w:p>
    <w:p>
      <w:pPr>
        <w:ind w:right="20" w:firstLine="255"/>
        <w:spacing w:after="0" w:line="259" w:lineRule="auto"/>
        <w:rPr>
          <w:sz w:val="20"/>
          <w:szCs w:val="20"/>
          <w:color w:val="auto"/>
        </w:rPr>
      </w:pPr>
      <w:r>
        <w:rPr>
          <w:rFonts w:ascii="Times New Roman" w:cs="Times New Roman" w:eastAsia="Times New Roman" w:hAnsi="Times New Roman"/>
          <w:sz w:val="14"/>
          <w:szCs w:val="14"/>
          <w:color w:val="auto"/>
        </w:rPr>
        <w:t>Our contract revenues and results of operations exhibit seasonality and are impacted by adverse weather changes as we perform a significant portion of our work outdoors. Consequently, adverse weather, which is more likely to occur with greater frequency, severity, and duration during the winter, as well as reduced daylight hours, impact our operations during the fiscal quarters ending in January and April. Additionally, extreme weather conditions such as major or extended winter storms, droughts and tornados, wildfires, and natural disasters, such as floods, hurricanes, tropical storms, whether as a result of climate change or otherwise, could also impact the demand for our services, or impact our ability to perform our services. Also, several holidays fall within the fiscal quarter ending in January, which decreases the number of available workdays in this fiscal quarter. Because of these factors, we are most likely to experience reduced revenue and profitability or losses during the fiscal quarters ending in January and April compared to the fiscal quarters ending in July and October.</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Backlog</w:t>
      </w:r>
    </w:p>
    <w:p>
      <w:pPr>
        <w:spacing w:after="0" w:line="181" w:lineRule="exact"/>
        <w:rPr>
          <w:sz w:val="20"/>
          <w:szCs w:val="20"/>
          <w:color w:val="auto"/>
        </w:rPr>
      </w:pPr>
    </w:p>
    <w:p>
      <w:pPr>
        <w:ind w:right="20" w:firstLine="255"/>
        <w:spacing w:after="0" w:line="259" w:lineRule="auto"/>
        <w:rPr>
          <w:sz w:val="20"/>
          <w:szCs w:val="20"/>
          <w:color w:val="auto"/>
        </w:rPr>
      </w:pPr>
      <w:r>
        <w:rPr>
          <w:rFonts w:ascii="Times New Roman" w:cs="Times New Roman" w:eastAsia="Times New Roman" w:hAnsi="Times New Roman"/>
          <w:sz w:val="14"/>
          <w:szCs w:val="14"/>
          <w:color w:val="auto"/>
        </w:rPr>
        <w:t>Our backlog is an estimate of the uncompleted portion of services to be performed under contractual agreements with our customers and totaled $7.760 billion and $6.917 billion at January 25, 2025 and January 27, 2024, respectively. We expect to complete 59.8% of the January 25, 2025 total backlog during the next 12 months. Our backlog represents an estimate of services to be performed pursuant to master service agreements and other contractual agreements over their terms. These estimates are based on contract terms and evaluations regarding the timing of the services to be provided. In the case of master service agreements, backlog is estimated based on the work performed in the preceding 12 month period, when applicable. When estimating backlog for newly initiated master service agreements and other long and short-term contracts, we also consider the anticipated scope of the contract and information received from the customer during the procurement process and, where applicable, other ancillary information. The majority of our backlog comprises services under master service agreements and other long-term contracts.</w:t>
      </w:r>
    </w:p>
    <w:p>
      <w:pPr>
        <w:spacing w:after="0" w:line="167" w:lineRule="exact"/>
        <w:rPr>
          <w:sz w:val="20"/>
          <w:szCs w:val="20"/>
          <w:color w:val="auto"/>
        </w:rPr>
      </w:pPr>
    </w:p>
    <w:p>
      <w:pPr>
        <w:ind w:firstLine="255"/>
        <w:spacing w:after="0" w:line="258" w:lineRule="auto"/>
        <w:rPr>
          <w:sz w:val="20"/>
          <w:szCs w:val="20"/>
          <w:color w:val="auto"/>
        </w:rPr>
      </w:pPr>
      <w:r>
        <w:rPr>
          <w:rFonts w:ascii="Times New Roman" w:cs="Times New Roman" w:eastAsia="Times New Roman" w:hAnsi="Times New Roman"/>
          <w:sz w:val="14"/>
          <w:szCs w:val="14"/>
          <w:color w:val="auto"/>
        </w:rPr>
        <w:t>Generally, our customers are not contractually committed to procure specific volumes of services. Contract revenue estimates reflected in our backlog can be subject to change due to a number of factors, including contract cancellations or changes in the amount of work we expect to be performed under a contract. In addition, contract revenues reflected in our backlog may be realized in different periods from those previously anticipated due to these factors as well as project accelerations or delays due to various reasons, including, but not limited to, changes in customer spending priorities, project cancellations, regulatory interruptions, scheduling changes, commercial issues, such as permitting, engineering revisions, job site conditions and adverse weather. The amount or timing of our backlog can also be impacted by the merger or acquisition activity of our customers. All of our contracts may be cancelled by our customers, and work previously awarded to us pursuant to these contracts may be cancelled, regardless of whether or not we are in default. Historically, the amount of backlog related to uncompleted projects in which a provision for estimated losses was recorded has not been material.</w:t>
      </w:r>
    </w:p>
    <w:p>
      <w:pPr>
        <w:spacing w:after="0" w:line="168" w:lineRule="exact"/>
        <w:rPr>
          <w:sz w:val="20"/>
          <w:szCs w:val="20"/>
          <w:color w:val="auto"/>
        </w:rPr>
      </w:pPr>
    </w:p>
    <w:p>
      <w:pPr>
        <w:ind w:firstLine="255"/>
        <w:spacing w:after="0" w:line="264" w:lineRule="auto"/>
        <w:rPr>
          <w:sz w:val="20"/>
          <w:szCs w:val="20"/>
          <w:color w:val="auto"/>
        </w:rPr>
      </w:pPr>
      <w:r>
        <w:rPr>
          <w:rFonts w:ascii="Times New Roman" w:cs="Times New Roman" w:eastAsia="Times New Roman" w:hAnsi="Times New Roman"/>
          <w:sz w:val="14"/>
          <w:szCs w:val="14"/>
          <w:color w:val="auto"/>
        </w:rPr>
        <w:t>Backlog is not a measure defined by United States generally accepted accounting principles (“GAAP”) and should be considered in addition to, but not as a substitute for information provided in accordance with GAAP. Participants in our industry also disclose a calculation of their backlog; however, our methodology for determining backlog may not be comparable to the methodologies used by others. We utilize our calculation of backlog to assist in measuring aggregate awards under existing contractual relationships with our customers. We believe our backlog disclosures will assist investors in better understanding this estimate of the services to be performed pursuant to awards by our customers under existing contractual relationships.</w:t>
      </w:r>
    </w:p>
    <w:p>
      <w:pPr>
        <w:spacing w:after="0" w:line="200" w:lineRule="exact"/>
        <w:rPr>
          <w:sz w:val="20"/>
          <w:szCs w:val="20"/>
          <w:color w:val="auto"/>
        </w:rPr>
      </w:pPr>
    </w:p>
    <w:p>
      <w:pPr>
        <w:spacing w:after="0" w:line="3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5" w:right="339" w:bottom="1440" w:gutter="0" w:footer="0" w:header="0"/>
        </w:sectPr>
      </w:pPr>
    </w:p>
    <w:bookmarkStart w:id="6" w:name="page7"/>
    <w:bookmarkEnd w:id="6"/>
    <w:p>
      <w:pPr>
        <w:ind w:left="2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Competition</w:t>
      </w:r>
    </w:p>
    <w:p>
      <w:pPr>
        <w:spacing w:after="0" w:line="202" w:lineRule="exact"/>
        <w:rPr>
          <w:sz w:val="20"/>
          <w:szCs w:val="20"/>
          <w:color w:val="auto"/>
        </w:rPr>
      </w:pPr>
    </w:p>
    <w:p>
      <w:pPr>
        <w:ind w:right="120" w:firstLine="255"/>
        <w:spacing w:after="0" w:line="261" w:lineRule="auto"/>
        <w:rPr>
          <w:sz w:val="20"/>
          <w:szCs w:val="20"/>
          <w:color w:val="auto"/>
        </w:rPr>
      </w:pPr>
      <w:r>
        <w:rPr>
          <w:rFonts w:ascii="Times New Roman" w:cs="Times New Roman" w:eastAsia="Times New Roman" w:hAnsi="Times New Roman"/>
          <w:sz w:val="14"/>
          <w:szCs w:val="14"/>
          <w:color w:val="auto"/>
        </w:rPr>
        <w:t>The specialty contracting services industry in which we operate is highly fragmented and includes a large number of participants. We compete with several large multinational corporations and numerous regional and privately owned companies. In addition, a portion of our customers directly perform many of the same services that we provide. Relatively few barriers to entry exist in the markets in which we operate. As a result, any organization that has adequate financial resources, access to technical expertise, and the necessary equipment may become a competitor and the degree to which an existing competitor participates in the markets that we operate may increase rapidly. The principal competitive factors for our services include geographic presence, quality of service, worker and general public safety, price, breadth of service offerings, and industry reputation. We believe that we compare favorably to our competitors when evaluated against these factors.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Human Capital Resources</w:t>
      </w:r>
    </w:p>
    <w:p>
      <w:pPr>
        <w:spacing w:after="0" w:line="202" w:lineRule="exact"/>
        <w:rPr>
          <w:sz w:val="20"/>
          <w:szCs w:val="20"/>
          <w:color w:val="auto"/>
        </w:rPr>
      </w:pPr>
    </w:p>
    <w:p>
      <w:pPr>
        <w:ind w:firstLine="255"/>
        <w:spacing w:after="0" w:line="264" w:lineRule="auto"/>
        <w:rPr>
          <w:sz w:val="20"/>
          <w:szCs w:val="20"/>
          <w:color w:val="auto"/>
        </w:rPr>
      </w:pPr>
      <w:r>
        <w:rPr>
          <w:rFonts w:ascii="Times New Roman" w:cs="Times New Roman" w:eastAsia="Times New Roman" w:hAnsi="Times New Roman"/>
          <w:sz w:val="14"/>
          <w:szCs w:val="14"/>
          <w:color w:val="auto"/>
        </w:rPr>
        <w:t>We believe that our employees are our most important resources and are critical to our continued success. We employed approximately 15,623 persons as of January 25, 2025. We focus significant attention on attracting and retaining talented and experienced individuals to manage and support our operations. We offer our employees a broad range of company-paid benefits, and we believe our compensation package and benefits are competitive with others in our industry. We are committed to hiring, developing and supporting a workforce that consists of well-trained and highly motivated employees.</w:t>
      </w:r>
    </w:p>
    <w:p>
      <w:pPr>
        <w:spacing w:after="0" w:line="162" w:lineRule="exact"/>
        <w:rPr>
          <w:sz w:val="20"/>
          <w:szCs w:val="20"/>
          <w:color w:val="auto"/>
        </w:rPr>
      </w:pPr>
    </w:p>
    <w:p>
      <w:pPr>
        <w:ind w:firstLine="255"/>
        <w:spacing w:after="0" w:line="246" w:lineRule="auto"/>
        <w:rPr>
          <w:sz w:val="20"/>
          <w:szCs w:val="20"/>
          <w:color w:val="auto"/>
        </w:rPr>
      </w:pPr>
      <w:r>
        <w:rPr>
          <w:rFonts w:ascii="Times New Roman" w:cs="Times New Roman" w:eastAsia="Times New Roman" w:hAnsi="Times New Roman"/>
          <w:sz w:val="14"/>
          <w:szCs w:val="14"/>
          <w:color w:val="auto"/>
        </w:rPr>
        <w:t>Each employee, officer and director of the Company must adhere to the highest standards of business ethics when dealing with each other and with customers, suppliers and all other persons as outlined in our Code of Business Conduct and Ethics and our Code of Ethics for Senior Financial Officers (collectively, the “Code of Conduct”). The Code of Conduct requires all employees to conduct all business dealings with honesty and candor and with respect for the law and the highest standard of ethical behavior. Personal integrity, good faith and fair dealing, the respectful treatment of others, and all other attributes of good behavior are essential for our employees, but special responsibility to uphold these values rests on our officers, managers and supervisors as they establish the climate for all other employees. Officers, managers and supervisors are required to create a work environment that encourages employees to discuss concerns without fear of retaliation. Should potential violations of the Code of Conduct or the law occur, employees are encouraged to voice concerns promptly and are reminded that retaliation against anyone who reports a potential violation in good faith will not be tolerated. All employees are required to complete the training on the Code of Conduct and Ethics, and we report material matters related to the Code of Conduct to the Audit Committee of our Board.</w:t>
      </w:r>
    </w:p>
    <w:p>
      <w:pPr>
        <w:spacing w:after="0" w:line="176" w:lineRule="exact"/>
        <w:rPr>
          <w:sz w:val="20"/>
          <w:szCs w:val="20"/>
          <w:color w:val="auto"/>
        </w:rPr>
      </w:pPr>
    </w:p>
    <w:p>
      <w:pPr>
        <w:jc w:val="both"/>
        <w:ind w:right="20" w:firstLine="255"/>
        <w:spacing w:after="0" w:line="270" w:lineRule="auto"/>
        <w:rPr>
          <w:sz w:val="20"/>
          <w:szCs w:val="20"/>
          <w:color w:val="auto"/>
        </w:rPr>
      </w:pPr>
      <w:r>
        <w:rPr>
          <w:rFonts w:ascii="Times New Roman" w:cs="Times New Roman" w:eastAsia="Times New Roman" w:hAnsi="Times New Roman"/>
          <w:sz w:val="14"/>
          <w:szCs w:val="14"/>
          <w:color w:val="auto"/>
        </w:rPr>
        <w:t>The success of our business is fundamentally connected to the safety and well-being of our people. We are committed to instilling safe work habits through proper training and supervision of our employees and expect adherence to safety practices that ensure a safe work environment. Our safety programs require employees to participate both in safety training required by law and training that is specifically relevant to the work they perform. Safety directors review incidents, examine trends, and implement changes in procedures to address safety issues.</w:t>
      </w:r>
    </w:p>
    <w:p>
      <w:pPr>
        <w:spacing w:after="0" w:line="157" w:lineRule="exact"/>
        <w:rPr>
          <w:sz w:val="20"/>
          <w:szCs w:val="20"/>
          <w:color w:val="auto"/>
        </w:rPr>
      </w:pPr>
    </w:p>
    <w:p>
      <w:pPr>
        <w:jc w:val="both"/>
        <w:ind w:right="380" w:firstLine="255"/>
        <w:spacing w:after="0" w:line="270" w:lineRule="auto"/>
        <w:rPr>
          <w:sz w:val="20"/>
          <w:szCs w:val="20"/>
          <w:color w:val="auto"/>
        </w:rPr>
      </w:pPr>
      <w:r>
        <w:rPr>
          <w:rFonts w:ascii="Times New Roman" w:cs="Times New Roman" w:eastAsia="Times New Roman" w:hAnsi="Times New Roman"/>
          <w:sz w:val="14"/>
          <w:szCs w:val="14"/>
          <w:color w:val="auto"/>
        </w:rPr>
        <w:t>Our Board of Directors, through our Compensation Committee and our Corporate Governance Committee, provides oversight on employee matters. The Compensation Committee receives updates on activities, strategies and initiatives related to the compensation and retention of our employees, and our Corporate Governance Committee oversees environmental, social and human capital matters, as well as the development and succession planning of senior management.</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Subcontractors and Materials</w:t>
      </w:r>
    </w:p>
    <w:p>
      <w:pPr>
        <w:spacing w:after="0" w:line="202" w:lineRule="exact"/>
        <w:rPr>
          <w:sz w:val="20"/>
          <w:szCs w:val="20"/>
          <w:color w:val="auto"/>
        </w:rPr>
      </w:pPr>
    </w:p>
    <w:p>
      <w:pPr>
        <w:jc w:val="both"/>
        <w:ind w:right="320" w:firstLine="255"/>
        <w:spacing w:after="0" w:line="270" w:lineRule="auto"/>
        <w:rPr>
          <w:sz w:val="20"/>
          <w:szCs w:val="20"/>
          <w:color w:val="auto"/>
        </w:rPr>
      </w:pPr>
      <w:r>
        <w:rPr>
          <w:rFonts w:ascii="Times New Roman" w:cs="Times New Roman" w:eastAsia="Times New Roman" w:hAnsi="Times New Roman"/>
          <w:sz w:val="14"/>
          <w:szCs w:val="14"/>
          <w:color w:val="auto"/>
        </w:rPr>
        <w:t>We contract with subcontractors to perform a significant amount of our work and to manage fluctuations in work volumes and to reduce the amount we expend on fixed assets and working capital. These subcontractors are typically small, privately owned companies that provide their own employees, vehicles, tools and insurance coverage. No individual subcontractor is financially significant to the Company.</w:t>
      </w:r>
    </w:p>
    <w:p>
      <w:pPr>
        <w:spacing w:after="0" w:line="157" w:lineRule="exact"/>
        <w:rPr>
          <w:sz w:val="20"/>
          <w:szCs w:val="20"/>
          <w:color w:val="auto"/>
        </w:rPr>
      </w:pPr>
    </w:p>
    <w:p>
      <w:pPr>
        <w:ind w:right="40" w:firstLine="255"/>
        <w:spacing w:after="0" w:line="270" w:lineRule="auto"/>
        <w:rPr>
          <w:sz w:val="20"/>
          <w:szCs w:val="20"/>
          <w:color w:val="auto"/>
        </w:rPr>
      </w:pPr>
      <w:r>
        <w:rPr>
          <w:rFonts w:ascii="Times New Roman" w:cs="Times New Roman" w:eastAsia="Times New Roman" w:hAnsi="Times New Roman"/>
          <w:sz w:val="14"/>
          <w:szCs w:val="14"/>
          <w:color w:val="auto"/>
        </w:rPr>
        <w:t>For a majority of the contract services we perform, we are provided most of the required materials by our customers. Because our customers retain the financial and performance risk associated with materials they provide, we do not include the costs associated with those materials in our contract revenues or costs of earned revenues. Under contracts that require us to supply part or all of the required materials, we typically do not depend upon any one source for those materials.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Risk Management and Insurance</w:t>
      </w:r>
    </w:p>
    <w:p>
      <w:pPr>
        <w:spacing w:after="0" w:line="202" w:lineRule="exact"/>
        <w:rPr>
          <w:sz w:val="20"/>
          <w:szCs w:val="20"/>
          <w:color w:val="auto"/>
        </w:rPr>
      </w:pPr>
    </w:p>
    <w:p>
      <w:pPr>
        <w:ind w:right="240" w:firstLine="255"/>
        <w:spacing w:after="0" w:line="287" w:lineRule="auto"/>
        <w:rPr>
          <w:sz w:val="20"/>
          <w:szCs w:val="20"/>
          <w:color w:val="auto"/>
        </w:rPr>
      </w:pPr>
      <w:r>
        <w:rPr>
          <w:rFonts w:ascii="Times New Roman" w:cs="Times New Roman" w:eastAsia="Times New Roman" w:hAnsi="Times New Roman"/>
          <w:sz w:val="14"/>
          <w:szCs w:val="14"/>
          <w:color w:val="auto"/>
        </w:rPr>
        <w:t>Claims arising in our business generally include workers’ compensation claims, various general liability and damage claims, and claims related to motor vehicle collisions, including personal injury and property damage. For claims within our</w:t>
      </w: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7" w:name="page8"/>
    <w:bookmarkEnd w:id="7"/>
    <w:p>
      <w:pPr>
        <w:ind w:left="2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44" w:lineRule="exact"/>
        <w:rPr>
          <w:sz w:val="20"/>
          <w:szCs w:val="20"/>
          <w:color w:val="auto"/>
        </w:rPr>
      </w:pPr>
    </w:p>
    <w:p>
      <w:pPr>
        <w:ind w:right="20"/>
        <w:spacing w:after="0" w:line="175" w:lineRule="exact"/>
        <w:rPr>
          <w:sz w:val="20"/>
          <w:szCs w:val="20"/>
          <w:color w:val="auto"/>
        </w:rPr>
      </w:pPr>
      <w:r>
        <w:rPr>
          <w:rFonts w:ascii="Times New Roman" w:cs="Times New Roman" w:eastAsia="Times New Roman" w:hAnsi="Times New Roman"/>
          <w:sz w:val="14"/>
          <w:szCs w:val="14"/>
          <w:color w:val="auto"/>
        </w:rPr>
        <w:t xml:space="preserve">insurance program, we retain the risk of loss, up to certain limits, for matters related to automobile liability, general liability (including damages associated with underground facility locating services), workers’ compensation, and employee group health. Additionally, within our aggregate coverage limits and above our base layer of third-party insurance coverage, we have retained the risk of loss at certain levels of exposure. We carefully monitor claims and actively participate with our insurers and our third-party claims administrator in determining claims estimates and adjustments. We accrue the estimated costs of claims as liabilities, and include estimates for claims incurred but not reported. Due to fluctuations in our loss experience from year to year, insurance accruals have varied and can affect our operating margins. Our business could be materially and adversely affected if we experience an increase of insurance claims at certain amounts, or in excess of our coverage limits. See Item 7. </w:t>
      </w:r>
      <w:r>
        <w:rPr>
          <w:rFonts w:ascii="Times New Roman" w:cs="Times New Roman" w:eastAsia="Times New Roman" w:hAnsi="Times New Roman"/>
          <w:sz w:val="14"/>
          <w:szCs w:val="14"/>
          <w:i w:val="1"/>
          <w:iCs w:val="1"/>
          <w:color w:val="auto"/>
        </w:rPr>
        <w:t>Management’s Discussion and Analysis of Financial Condition and Results of Operations</w:t>
      </w:r>
      <w:r>
        <w:rPr>
          <w:rFonts w:ascii="Times New Roman" w:cs="Times New Roman" w:eastAsia="Times New Roman" w:hAnsi="Times New Roman"/>
          <w:sz w:val="14"/>
          <w:szCs w:val="14"/>
          <w:color w:val="auto"/>
        </w:rPr>
        <w:t xml:space="preserve">, and Note 11, </w:t>
      </w:r>
      <w:r>
        <w:rPr>
          <w:rFonts w:ascii="Times New Roman" w:cs="Times New Roman" w:eastAsia="Times New Roman" w:hAnsi="Times New Roman"/>
          <w:sz w:val="14"/>
          <w:szCs w:val="14"/>
          <w:i w:val="1"/>
          <w:iCs w:val="1"/>
          <w:color w:val="auto"/>
        </w:rPr>
        <w:t>Accrued Insurance Claims</w:t>
      </w:r>
      <w:r>
        <w:rPr>
          <w:rFonts w:ascii="Times New Roman" w:cs="Times New Roman" w:eastAsia="Times New Roman" w:hAnsi="Times New Roman"/>
          <w:sz w:val="14"/>
          <w:szCs w:val="14"/>
          <w:color w:val="auto"/>
        </w:rPr>
        <w:t>, in the Notes to the Consolidated Financial Statements in this Annual Report on Form 10</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K.</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Regulation</w:t>
      </w:r>
    </w:p>
    <w:p>
      <w:pPr>
        <w:spacing w:after="0" w:line="20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We are subject to various federal, state, and local government regulations, including laws and regulations relating to environmental protection, work-place safety, and other business requirements.</w:t>
      </w:r>
    </w:p>
    <w:p>
      <w:pPr>
        <w:spacing w:after="0" w:line="198" w:lineRule="exact"/>
        <w:rPr>
          <w:sz w:val="20"/>
          <w:szCs w:val="20"/>
          <w:color w:val="auto"/>
        </w:rPr>
      </w:pPr>
    </w:p>
    <w:p>
      <w:pPr>
        <w:ind w:right="140" w:firstLine="255"/>
        <w:spacing w:after="0" w:line="265" w:lineRule="auto"/>
        <w:rPr>
          <w:sz w:val="20"/>
          <w:szCs w:val="20"/>
          <w:color w:val="auto"/>
        </w:rPr>
      </w:pPr>
      <w:r>
        <w:rPr>
          <w:rFonts w:ascii="Times New Roman" w:cs="Times New Roman" w:eastAsia="Times New Roman" w:hAnsi="Times New Roman"/>
          <w:sz w:val="14"/>
          <w:szCs w:val="14"/>
          <w:i w:val="1"/>
          <w:iCs w:val="1"/>
          <w:color w:val="auto"/>
        </w:rPr>
        <w:t xml:space="preserve">Environmental. </w:t>
      </w:r>
      <w:r>
        <w:rPr>
          <w:rFonts w:ascii="Times New Roman" w:cs="Times New Roman" w:eastAsia="Times New Roman" w:hAnsi="Times New Roman"/>
          <w:sz w:val="14"/>
          <w:szCs w:val="14"/>
          <w:color w:val="auto"/>
        </w:rPr>
        <w:t>A significant portion of the work we perform is associated with the underground networks of our customers and we often operate in close proximity to pipelines or underground</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storage tanks that may contain hazardous substances. We could be subject to potential material liabilities in the event we fail to comply with environmental laws or regulations or if we cause or are responsible for the release of hazardous substances or cause other environmental damages. In addition, failure to comply with environmental laws and regulations could result in significant costs including remediation costs, fines, third-party claims for property damage, loss of use, or personal injury, and, in extreme cases, criminal sanctions.</w:t>
      </w:r>
    </w:p>
    <w:p>
      <w:pPr>
        <w:spacing w:after="0" w:line="106" w:lineRule="exact"/>
        <w:rPr>
          <w:sz w:val="20"/>
          <w:szCs w:val="20"/>
          <w:color w:val="auto"/>
        </w:rPr>
      </w:pPr>
    </w:p>
    <w:p>
      <w:pPr>
        <w:ind w:right="20" w:firstLine="255"/>
        <w:spacing w:after="0" w:line="271" w:lineRule="auto"/>
        <w:rPr>
          <w:sz w:val="20"/>
          <w:szCs w:val="20"/>
          <w:color w:val="auto"/>
        </w:rPr>
      </w:pPr>
      <w:r>
        <w:rPr>
          <w:rFonts w:ascii="Times New Roman" w:cs="Times New Roman" w:eastAsia="Times New Roman" w:hAnsi="Times New Roman"/>
          <w:sz w:val="14"/>
          <w:szCs w:val="14"/>
          <w:i w:val="1"/>
          <w:iCs w:val="1"/>
          <w:color w:val="auto"/>
        </w:rPr>
        <w:t xml:space="preserve">Workplace Safety. </w:t>
      </w:r>
      <w:r>
        <w:rPr>
          <w:rFonts w:ascii="Times New Roman" w:cs="Times New Roman" w:eastAsia="Times New Roman" w:hAnsi="Times New Roman"/>
          <w:sz w:val="14"/>
          <w:szCs w:val="14"/>
          <w:color w:val="auto"/>
        </w:rPr>
        <w:t>We are subject to the requirements of the federal Occupational Safety and Health Act (“OSHA”) and comparable state statutes that regulate the protection of the health and</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safety of workers. Our failure to comply with OSHA or other workplace safety requirements could result in significant liabilities, fines, penalties, or other enforcement actions and affect our ability to perform the services that we have been contracted to provide to our customers.</w:t>
      </w:r>
    </w:p>
    <w:p>
      <w:pPr>
        <w:spacing w:after="0" w:line="112" w:lineRule="exact"/>
        <w:rPr>
          <w:sz w:val="20"/>
          <w:szCs w:val="20"/>
          <w:color w:val="auto"/>
        </w:rPr>
      </w:pPr>
    </w:p>
    <w:p>
      <w:pPr>
        <w:ind w:right="320" w:firstLine="255"/>
        <w:spacing w:after="0" w:line="290" w:lineRule="auto"/>
        <w:rPr>
          <w:sz w:val="20"/>
          <w:szCs w:val="20"/>
          <w:color w:val="auto"/>
        </w:rPr>
      </w:pPr>
      <w:r>
        <w:rPr>
          <w:rFonts w:ascii="Times New Roman" w:cs="Times New Roman" w:eastAsia="Times New Roman" w:hAnsi="Times New Roman"/>
          <w:sz w:val="14"/>
          <w:szCs w:val="14"/>
          <w:i w:val="1"/>
          <w:iCs w:val="1"/>
          <w:color w:val="auto"/>
        </w:rPr>
        <w:t xml:space="preserve">Business. </w:t>
      </w:r>
      <w:r>
        <w:rPr>
          <w:rFonts w:ascii="Times New Roman" w:cs="Times New Roman" w:eastAsia="Times New Roman" w:hAnsi="Times New Roman"/>
          <w:sz w:val="14"/>
          <w:szCs w:val="14"/>
          <w:color w:val="auto"/>
        </w:rPr>
        <w:t>We are subject to a number of state and federal laws and regulations, including those related to utility oversight contractor licensing and the operation of our fleet. If we are not in</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compliance with these laws and regulations, we may be unable to perform services for our customers and may also be subject to fines, penalties, and the suspension or revocation of our licenses.</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Information About Our Executive Officers</w:t>
      </w:r>
    </w:p>
    <w:p>
      <w:pPr>
        <w:spacing w:after="0" w:line="20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following table sets forth certain information concerning the Company’s executive officers as of January 25, 2025, all of whom serve at the pleasure of the Board of Directors.</w:t>
      </w:r>
    </w:p>
    <w:p>
      <w:pPr>
        <w:spacing w:after="0" w:line="39" w:lineRule="exact"/>
        <w:rPr>
          <w:sz w:val="20"/>
          <w:szCs w:val="20"/>
          <w:color w:val="auto"/>
        </w:rPr>
      </w:pPr>
    </w:p>
    <w:tbl>
      <w:tblPr>
        <w:tblLayout w:type="fixed"/>
        <w:tblInd w:w="40" w:type="dxa"/>
        <w:tblCellMar>
          <w:top w:w="0" w:type="dxa"/>
          <w:left w:w="0" w:type="dxa"/>
          <w:bottom w:w="0" w:type="dxa"/>
          <w:right w:w="0" w:type="dxa"/>
        </w:tblCellMar>
      </w:tblPr>
      <w:tr>
        <w:trPr>
          <w:trHeight w:val="188"/>
        </w:trPr>
        <w:tc>
          <w:tcPr>
            <w:tcW w:w="2340" w:type="dxa"/>
            <w:vAlign w:val="bottom"/>
            <w:gridSpan w:val="2"/>
          </w:tcPr>
          <w:p>
            <w:pPr>
              <w:ind w:left="940"/>
              <w:spacing w:after="0"/>
              <w:rPr>
                <w:sz w:val="20"/>
                <w:szCs w:val="20"/>
                <w:color w:val="auto"/>
              </w:rPr>
            </w:pPr>
            <w:r>
              <w:rPr>
                <w:rFonts w:ascii="Times New Roman" w:cs="Times New Roman" w:eastAsia="Times New Roman" w:hAnsi="Times New Roman"/>
                <w:sz w:val="14"/>
                <w:szCs w:val="14"/>
                <w:b w:val="1"/>
                <w:bCs w:val="1"/>
                <w:color w:val="auto"/>
              </w:rPr>
              <w:t>Name</w:t>
            </w:r>
          </w:p>
        </w:tc>
        <w:tc>
          <w:tcPr>
            <w:tcW w:w="6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Age</w:t>
            </w:r>
          </w:p>
        </w:tc>
        <w:tc>
          <w:tcPr>
            <w:tcW w:w="5900" w:type="dxa"/>
            <w:vAlign w:val="bottom"/>
            <w:gridSpan w:val="2"/>
          </w:tcPr>
          <w:p>
            <w:pPr>
              <w:ind w:left="2720"/>
              <w:spacing w:after="0"/>
              <w:rPr>
                <w:sz w:val="20"/>
                <w:szCs w:val="20"/>
                <w:color w:val="auto"/>
              </w:rPr>
            </w:pPr>
            <w:r>
              <w:rPr>
                <w:rFonts w:ascii="Times New Roman" w:cs="Times New Roman" w:eastAsia="Times New Roman" w:hAnsi="Times New Roman"/>
                <w:sz w:val="14"/>
                <w:szCs w:val="14"/>
                <w:b w:val="1"/>
                <w:bCs w:val="1"/>
                <w:color w:val="auto"/>
              </w:rPr>
              <w:t>Office</w:t>
            </w:r>
          </w:p>
        </w:tc>
        <w:tc>
          <w:tcPr>
            <w:tcW w:w="2320" w:type="dxa"/>
            <w:vAlign w:val="bottom"/>
          </w:tcPr>
          <w:p>
            <w:pPr>
              <w:ind w:left="440"/>
              <w:spacing w:after="0"/>
              <w:rPr>
                <w:sz w:val="20"/>
                <w:szCs w:val="20"/>
                <w:color w:val="auto"/>
              </w:rPr>
            </w:pPr>
            <w:r>
              <w:rPr>
                <w:rFonts w:ascii="Times New Roman" w:cs="Times New Roman" w:eastAsia="Times New Roman" w:hAnsi="Times New Roman"/>
                <w:sz w:val="14"/>
                <w:szCs w:val="14"/>
                <w:b w:val="1"/>
                <w:bCs w:val="1"/>
                <w:color w:val="auto"/>
              </w:rPr>
              <w:t>Executive Officer Since</w:t>
            </w:r>
          </w:p>
        </w:tc>
      </w:tr>
      <w:tr>
        <w:trPr>
          <w:trHeight w:val="176"/>
        </w:trPr>
        <w:tc>
          <w:tcPr>
            <w:tcW w:w="22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4"/>
                <w:szCs w:val="14"/>
                <w:color w:val="auto"/>
              </w:rPr>
              <w:t>Daniel S. Peyovich</w:t>
            </w:r>
          </w:p>
        </w:tc>
        <w:tc>
          <w:tcPr>
            <w:tcW w:w="100" w:type="dxa"/>
            <w:vAlign w:val="bottom"/>
          </w:tcPr>
          <w:p>
            <w:pPr>
              <w:spacing w:after="0"/>
              <w:rPr>
                <w:sz w:val="15"/>
                <w:szCs w:val="15"/>
                <w:color w:val="auto"/>
              </w:rPr>
            </w:pPr>
          </w:p>
        </w:tc>
        <w:tc>
          <w:tcPr>
            <w:tcW w:w="5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49</w:t>
            </w:r>
          </w:p>
        </w:tc>
        <w:tc>
          <w:tcPr>
            <w:tcW w:w="80" w:type="dxa"/>
            <w:vAlign w:val="bottom"/>
          </w:tcPr>
          <w:p>
            <w:pPr>
              <w:spacing w:after="0"/>
              <w:rPr>
                <w:sz w:val="15"/>
                <w:szCs w:val="15"/>
                <w:color w:val="auto"/>
              </w:rPr>
            </w:pPr>
          </w:p>
        </w:tc>
        <w:tc>
          <w:tcPr>
            <w:tcW w:w="58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President and Chief Executive Officer</w:t>
            </w:r>
          </w:p>
        </w:tc>
        <w:tc>
          <w:tcPr>
            <w:tcW w:w="100" w:type="dxa"/>
            <w:vAlign w:val="bottom"/>
          </w:tcPr>
          <w:p>
            <w:pPr>
              <w:spacing w:after="0"/>
              <w:rPr>
                <w:sz w:val="15"/>
                <w:szCs w:val="15"/>
                <w:color w:val="auto"/>
              </w:rPr>
            </w:pPr>
          </w:p>
        </w:tc>
        <w:tc>
          <w:tcPr>
            <w:tcW w:w="23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4"/>
                <w:szCs w:val="14"/>
                <w:color w:val="auto"/>
              </w:rPr>
              <w:t>January 6, 2021</w:t>
            </w:r>
          </w:p>
        </w:tc>
      </w:tr>
      <w:tr>
        <w:trPr>
          <w:trHeight w:val="180"/>
        </w:trPr>
        <w:tc>
          <w:tcPr>
            <w:tcW w:w="23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Kevin M. Wetherington</w:t>
            </w:r>
          </w:p>
        </w:tc>
        <w:tc>
          <w:tcPr>
            <w:tcW w:w="5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56</w:t>
            </w:r>
          </w:p>
        </w:tc>
        <w:tc>
          <w:tcPr>
            <w:tcW w:w="80" w:type="dxa"/>
            <w:vAlign w:val="bottom"/>
          </w:tcPr>
          <w:p>
            <w:pPr>
              <w:spacing w:after="0"/>
              <w:rPr>
                <w:sz w:val="15"/>
                <w:szCs w:val="15"/>
                <w:color w:val="auto"/>
              </w:rPr>
            </w:pPr>
          </w:p>
        </w:tc>
        <w:tc>
          <w:tcPr>
            <w:tcW w:w="59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Executive Vice President and Chief Operating Officer</w:t>
            </w:r>
          </w:p>
        </w:tc>
        <w:tc>
          <w:tcPr>
            <w:tcW w:w="2320" w:type="dxa"/>
            <w:vAlign w:val="bottom"/>
          </w:tcPr>
          <w:p>
            <w:pPr>
              <w:spacing w:after="0"/>
              <w:rPr>
                <w:sz w:val="20"/>
                <w:szCs w:val="20"/>
                <w:color w:val="auto"/>
              </w:rPr>
            </w:pPr>
            <w:r>
              <w:rPr>
                <w:rFonts w:ascii="Times New Roman" w:cs="Times New Roman" w:eastAsia="Times New Roman" w:hAnsi="Times New Roman"/>
                <w:sz w:val="14"/>
                <w:szCs w:val="14"/>
                <w:color w:val="auto"/>
              </w:rPr>
              <w:t>October 7, 2024</w:t>
            </w:r>
          </w:p>
        </w:tc>
      </w:tr>
      <w:tr>
        <w:trPr>
          <w:trHeight w:val="180"/>
        </w:trPr>
        <w:tc>
          <w:tcPr>
            <w:tcW w:w="23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H. Andrew DeFerrari</w:t>
            </w:r>
          </w:p>
        </w:tc>
        <w:tc>
          <w:tcPr>
            <w:tcW w:w="5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56</w:t>
            </w:r>
          </w:p>
        </w:tc>
        <w:tc>
          <w:tcPr>
            <w:tcW w:w="80" w:type="dxa"/>
            <w:vAlign w:val="bottom"/>
          </w:tcPr>
          <w:p>
            <w:pPr>
              <w:spacing w:after="0"/>
              <w:rPr>
                <w:sz w:val="15"/>
                <w:szCs w:val="15"/>
                <w:color w:val="auto"/>
              </w:rPr>
            </w:pPr>
          </w:p>
        </w:tc>
        <w:tc>
          <w:tcPr>
            <w:tcW w:w="59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Senior Vice President and Chief Financial Officer</w:t>
            </w:r>
          </w:p>
        </w:tc>
        <w:tc>
          <w:tcPr>
            <w:tcW w:w="2320" w:type="dxa"/>
            <w:vAlign w:val="bottom"/>
          </w:tcPr>
          <w:p>
            <w:pPr>
              <w:spacing w:after="0"/>
              <w:rPr>
                <w:sz w:val="20"/>
                <w:szCs w:val="20"/>
                <w:color w:val="auto"/>
              </w:rPr>
            </w:pPr>
            <w:r>
              <w:rPr>
                <w:rFonts w:ascii="Times New Roman" w:cs="Times New Roman" w:eastAsia="Times New Roman" w:hAnsi="Times New Roman"/>
                <w:sz w:val="14"/>
                <w:szCs w:val="14"/>
                <w:color w:val="auto"/>
              </w:rPr>
              <w:t>November 22, 2005</w:t>
            </w:r>
          </w:p>
        </w:tc>
      </w:tr>
      <w:tr>
        <w:trPr>
          <w:trHeight w:val="184"/>
        </w:trPr>
        <w:tc>
          <w:tcPr>
            <w:tcW w:w="23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Ryan F. Urness</w:t>
            </w:r>
          </w:p>
        </w:tc>
        <w:tc>
          <w:tcPr>
            <w:tcW w:w="5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52</w:t>
            </w:r>
          </w:p>
        </w:tc>
        <w:tc>
          <w:tcPr>
            <w:tcW w:w="80" w:type="dxa"/>
            <w:vAlign w:val="bottom"/>
          </w:tcPr>
          <w:p>
            <w:pPr>
              <w:spacing w:after="0"/>
              <w:rPr>
                <w:sz w:val="16"/>
                <w:szCs w:val="16"/>
                <w:color w:val="auto"/>
              </w:rPr>
            </w:pPr>
          </w:p>
        </w:tc>
        <w:tc>
          <w:tcPr>
            <w:tcW w:w="59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Vice President, General Counsel and Corporate Secretary</w:t>
            </w:r>
          </w:p>
        </w:tc>
        <w:tc>
          <w:tcPr>
            <w:tcW w:w="2320" w:type="dxa"/>
            <w:vAlign w:val="bottom"/>
          </w:tcPr>
          <w:p>
            <w:pPr>
              <w:spacing w:after="0"/>
              <w:rPr>
                <w:sz w:val="20"/>
                <w:szCs w:val="20"/>
                <w:color w:val="auto"/>
              </w:rPr>
            </w:pPr>
            <w:r>
              <w:rPr>
                <w:rFonts w:ascii="Times New Roman" w:cs="Times New Roman" w:eastAsia="Times New Roman" w:hAnsi="Times New Roman"/>
                <w:sz w:val="14"/>
                <w:szCs w:val="14"/>
                <w:color w:val="auto"/>
              </w:rPr>
              <w:t>May 21, 2019</w:t>
            </w:r>
          </w:p>
        </w:tc>
      </w:tr>
    </w:tbl>
    <w:p>
      <w:pPr>
        <w:spacing w:after="0" w:line="262" w:lineRule="exact"/>
        <w:rPr>
          <w:sz w:val="20"/>
          <w:szCs w:val="20"/>
          <w:color w:val="auto"/>
        </w:rPr>
      </w:pPr>
    </w:p>
    <w:p>
      <w:pPr>
        <w:ind w:right="460" w:firstLine="255"/>
        <w:spacing w:after="0" w:line="287" w:lineRule="auto"/>
        <w:rPr>
          <w:sz w:val="20"/>
          <w:szCs w:val="20"/>
          <w:color w:val="auto"/>
        </w:rPr>
      </w:pPr>
      <w:r>
        <w:rPr>
          <w:rFonts w:ascii="Times New Roman" w:cs="Times New Roman" w:eastAsia="Times New Roman" w:hAnsi="Times New Roman"/>
          <w:sz w:val="14"/>
          <w:szCs w:val="14"/>
          <w:color w:val="auto"/>
        </w:rPr>
        <w:t>There are no arrangements or understandings between any executive officer of the Company and any other person pursuant to which any executive officer was selected as an officer of the Company. There are no family relationships among the Company’s executive officers.</w:t>
      </w:r>
    </w:p>
    <w:p>
      <w:pPr>
        <w:spacing w:after="0" w:line="143" w:lineRule="exact"/>
        <w:rPr>
          <w:sz w:val="20"/>
          <w:szCs w:val="20"/>
          <w:color w:val="auto"/>
        </w:rPr>
      </w:pPr>
    </w:p>
    <w:p>
      <w:pPr>
        <w:ind w:right="280" w:firstLine="255"/>
        <w:spacing w:after="0" w:line="265" w:lineRule="auto"/>
        <w:rPr>
          <w:sz w:val="20"/>
          <w:szCs w:val="20"/>
          <w:color w:val="auto"/>
        </w:rPr>
      </w:pPr>
      <w:r>
        <w:rPr>
          <w:rFonts w:ascii="Times New Roman" w:cs="Times New Roman" w:eastAsia="Times New Roman" w:hAnsi="Times New Roman"/>
          <w:sz w:val="14"/>
          <w:szCs w:val="14"/>
          <w:i w:val="1"/>
          <w:iCs w:val="1"/>
          <w:color w:val="auto"/>
        </w:rPr>
        <w:t xml:space="preserve">Daniel S. Peyovich </w:t>
      </w:r>
      <w:r>
        <w:rPr>
          <w:rFonts w:ascii="Times New Roman" w:cs="Times New Roman" w:eastAsia="Times New Roman" w:hAnsi="Times New Roman"/>
          <w:sz w:val="14"/>
          <w:szCs w:val="14"/>
          <w:color w:val="auto"/>
        </w:rPr>
        <w:t>has been the Company’s President and Chief Executive Officer since November 2024. Prior to that, Mr. Peyovich was the Company’s President since October 2024, its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President and Chief Operating Officer from June 2024 to October 2024, and the Company’s Executive Vice President and Chief Operating Officer from May 2021 to June 2024. Upon joining the Company in January 2021 until May 2021, he was the Company’s Executive Vice President of Operations. Before joining the Company in January 2021, Mr. Peyovich spent 21 years in various leadership and management roles at Balfour Beatty Construction, including serving as President of its Northwest Division from 2014 to 2021.</w:t>
      </w:r>
    </w:p>
    <w:p>
      <w:pPr>
        <w:spacing w:after="0" w:line="159" w:lineRule="exact"/>
        <w:rPr>
          <w:sz w:val="20"/>
          <w:szCs w:val="20"/>
          <w:color w:val="auto"/>
        </w:rPr>
      </w:pPr>
    </w:p>
    <w:p>
      <w:pPr>
        <w:ind w:right="280" w:firstLine="255"/>
        <w:spacing w:after="0" w:line="290" w:lineRule="auto"/>
        <w:rPr>
          <w:sz w:val="20"/>
          <w:szCs w:val="20"/>
          <w:color w:val="auto"/>
        </w:rPr>
      </w:pPr>
      <w:r>
        <w:rPr>
          <w:rFonts w:ascii="Times New Roman" w:cs="Times New Roman" w:eastAsia="Times New Roman" w:hAnsi="Times New Roman"/>
          <w:sz w:val="14"/>
          <w:szCs w:val="14"/>
          <w:i w:val="1"/>
          <w:iCs w:val="1"/>
          <w:color w:val="auto"/>
        </w:rPr>
        <w:t xml:space="preserve">Kevin M. Wetherington </w:t>
      </w:r>
      <w:r>
        <w:rPr>
          <w:rFonts w:ascii="Times New Roman" w:cs="Times New Roman" w:eastAsia="Times New Roman" w:hAnsi="Times New Roman"/>
          <w:sz w:val="14"/>
          <w:szCs w:val="14"/>
          <w:color w:val="auto"/>
        </w:rPr>
        <w:t>has been the Company’s Executive Vice President and Chief Operating Officer since October 2024. Before joining the Company, Mr. Wetherington was Chief Health,</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Safety, Environment and Security and Quality Officer for Baker Hughes Company, a global energy technology company. Mr. Wetherington held various other senior positions with</w:t>
      </w:r>
    </w:p>
    <w:p>
      <w:pPr>
        <w:spacing w:after="0" w:line="3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8" w:name="page9"/>
    <w:bookmarkEnd w:id="8"/>
    <w:p>
      <w:pPr>
        <w:ind w:left="2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Baker Hughes Company starting in 2010. Prior to that, Mr. Wetherington served in senior positions with Weatherford International plc, a multinational oil services company from 2005 to 2010.</w:t>
      </w:r>
    </w:p>
    <w:p>
      <w:pPr>
        <w:spacing w:after="0" w:line="198" w:lineRule="exact"/>
        <w:rPr>
          <w:sz w:val="20"/>
          <w:szCs w:val="20"/>
          <w:color w:val="auto"/>
        </w:rPr>
      </w:pPr>
    </w:p>
    <w:p>
      <w:pPr>
        <w:ind w:firstLine="255"/>
        <w:spacing w:after="0" w:line="271" w:lineRule="auto"/>
        <w:rPr>
          <w:sz w:val="20"/>
          <w:szCs w:val="20"/>
          <w:color w:val="auto"/>
        </w:rPr>
      </w:pPr>
      <w:r>
        <w:rPr>
          <w:rFonts w:ascii="Times New Roman" w:cs="Times New Roman" w:eastAsia="Times New Roman" w:hAnsi="Times New Roman"/>
          <w:sz w:val="14"/>
          <w:szCs w:val="14"/>
          <w:i w:val="1"/>
          <w:iCs w:val="1"/>
          <w:color w:val="auto"/>
        </w:rPr>
        <w:t xml:space="preserve">H. Andrew DeFerrari </w:t>
      </w:r>
      <w:r>
        <w:rPr>
          <w:rFonts w:ascii="Times New Roman" w:cs="Times New Roman" w:eastAsia="Times New Roman" w:hAnsi="Times New Roman"/>
          <w:sz w:val="14"/>
          <w:szCs w:val="14"/>
          <w:color w:val="auto"/>
        </w:rPr>
        <w:t>has been the Company’s Senior Vice President and Chief Financial Officer since April 2008. Prior to that, Mr. DeFerrari was the Company’s Vice President and Chief</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Accounting Officer since November 2005 and was the Company’s Financial Controller from July 2004 through November 2005. Mr. DeFerrari was previously a senior audit manager with Ernst &amp; Young Americas, LLC.</w:t>
      </w:r>
    </w:p>
    <w:p>
      <w:pPr>
        <w:spacing w:after="0" w:line="155" w:lineRule="exact"/>
        <w:rPr>
          <w:sz w:val="20"/>
          <w:szCs w:val="20"/>
          <w:color w:val="auto"/>
        </w:rPr>
      </w:pPr>
    </w:p>
    <w:p>
      <w:pPr>
        <w:ind w:right="40" w:firstLine="255"/>
        <w:spacing w:after="0" w:line="271" w:lineRule="auto"/>
        <w:rPr>
          <w:sz w:val="20"/>
          <w:szCs w:val="20"/>
          <w:color w:val="auto"/>
        </w:rPr>
      </w:pPr>
      <w:r>
        <w:rPr>
          <w:rFonts w:ascii="Times New Roman" w:cs="Times New Roman" w:eastAsia="Times New Roman" w:hAnsi="Times New Roman"/>
          <w:sz w:val="14"/>
          <w:szCs w:val="14"/>
          <w:i w:val="1"/>
          <w:iCs w:val="1"/>
          <w:color w:val="auto"/>
        </w:rPr>
        <w:t xml:space="preserve">Ryan F. Urness </w:t>
      </w:r>
      <w:r>
        <w:rPr>
          <w:rFonts w:ascii="Times New Roman" w:cs="Times New Roman" w:eastAsia="Times New Roman" w:hAnsi="Times New Roman"/>
          <w:sz w:val="14"/>
          <w:szCs w:val="14"/>
          <w:color w:val="auto"/>
        </w:rPr>
        <w:t>has been our Vice President and General Counsel since October 2018, and our Corporate Secretary since May 2019. Prior to that, from May 2016 through October 2018, Mr.</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Urness was General Counsel and Corporate Secretary of USI Building Solutions, a provider of installation and distribution services to commercial and residential construction markets. From 2003 until May 2016, Mr. Urness was General Counsel and Corporate Secretary of Speed Commerce, Inc., a provider of e-commerce technology and fulfillment services.</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100"/>
          </w:cols>
          <w:pgMar w:left="300" w:top="125" w:right="499" w:bottom="1440" w:gutter="0" w:footer="0" w:header="0"/>
        </w:sectPr>
      </w:pPr>
    </w:p>
    <w:bookmarkStart w:id="9" w:name="page10"/>
    <w:bookmarkEnd w:id="9"/>
    <w:p>
      <w:pPr>
        <w:ind w:left="2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1A</w:t>
      </w:r>
      <w:r>
        <w:rPr>
          <w:rFonts w:ascii="Times New Roman" w:cs="Times New Roman" w:eastAsia="Times New Roman" w:hAnsi="Times New Roman"/>
          <w:sz w:val="14"/>
          <w:szCs w:val="14"/>
          <w:b w:val="1"/>
          <w:bCs w:val="1"/>
          <w:i w:val="1"/>
          <w:iCs w:val="1"/>
          <w:color w:val="auto"/>
        </w:rPr>
        <w:t>. Risk Factors.</w:t>
      </w:r>
    </w:p>
    <w:p>
      <w:pPr>
        <w:spacing w:after="0" w:line="200" w:lineRule="exact"/>
        <w:rPr>
          <w:sz w:val="20"/>
          <w:szCs w:val="20"/>
          <w:color w:val="auto"/>
        </w:rPr>
      </w:pPr>
    </w:p>
    <w:p>
      <w:pPr>
        <w:ind w:right="40" w:firstLine="255"/>
        <w:spacing w:after="0" w:line="262" w:lineRule="auto"/>
        <w:rPr>
          <w:sz w:val="20"/>
          <w:szCs w:val="20"/>
          <w:color w:val="auto"/>
        </w:rPr>
      </w:pPr>
      <w:r>
        <w:rPr>
          <w:rFonts w:ascii="Times New Roman" w:cs="Times New Roman" w:eastAsia="Times New Roman" w:hAnsi="Times New Roman"/>
          <w:sz w:val="14"/>
          <w:szCs w:val="14"/>
          <w:i w:val="1"/>
          <w:iCs w:val="1"/>
          <w:color w:val="auto"/>
        </w:rPr>
        <w:t>Our business is subject to a variety of risks and uncertainties, including, but not limited to, the risks and uncertainties described below. You should read the following risk factors carefully in connection with evaluating our business and the forward-looking information contained in this Annual Report on Form 10-K. If any of the risks described below, or elsewhere in this Annual Report on Form 10-K were to occur, our financial condition and results of operations could suffer and the trading price of our common stock could decline. Additionally, if other risks not presently known to us, or that we do not currently believe to be significant, occur or become significant, our financial condition and results of operations could suffer and the trading price of our common stock could decline.</w:t>
      </w:r>
    </w:p>
    <w:p>
      <w:pPr>
        <w:spacing w:after="0" w:line="16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color w:val="auto"/>
        </w:rPr>
        <w:t>Risks Related to Financial Performance or General Economic Conditions</w:t>
      </w:r>
    </w:p>
    <w:p>
      <w:pPr>
        <w:spacing w:after="0" w:line="200" w:lineRule="exact"/>
        <w:rPr>
          <w:sz w:val="20"/>
          <w:szCs w:val="20"/>
          <w:color w:val="auto"/>
        </w:rPr>
      </w:pPr>
    </w:p>
    <w:p>
      <w:pPr>
        <w:ind w:right="40" w:firstLine="255"/>
        <w:spacing w:after="0" w:line="260" w:lineRule="auto"/>
        <w:rPr>
          <w:sz w:val="20"/>
          <w:szCs w:val="20"/>
          <w:color w:val="auto"/>
        </w:rPr>
      </w:pPr>
      <w:r>
        <w:rPr>
          <w:rFonts w:ascii="Times New Roman" w:cs="Times New Roman" w:eastAsia="Times New Roman" w:hAnsi="Times New Roman"/>
          <w:sz w:val="14"/>
          <w:szCs w:val="14"/>
          <w:i w:val="1"/>
          <w:iCs w:val="1"/>
          <w:color w:val="auto"/>
        </w:rPr>
        <w:t>Economic downturns, uncertain economic conditions, and capital market fluctuations may affect our customers’ spending on the services we provide</w:t>
      </w:r>
      <w:r>
        <w:rPr>
          <w:rFonts w:ascii="Times New Roman" w:cs="Times New Roman" w:eastAsia="Times New Roman" w:hAnsi="Times New Roman"/>
          <w:sz w:val="14"/>
          <w:szCs w:val="14"/>
          <w:color w:val="auto"/>
        </w:rPr>
        <w:t>. Macroeconomic conditions, including</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inflation, slower growth or recessionary conditions, changes to fiscal and monetary policy, availability of credit, and interest rates could materially adversely affect demand for our services and the availability and cost of the materials and equipment we need to deliver our services. During periods of elevated and prolonged economic uncertainty our customers may delay, reduce or eliminate their spending on the services we provide. In addition, volatility in the debt or equity markets may impact our customers’ access to capital and result in the reduction or elimination of spending on the services we provide. Our vendors, suppliers and subcontractors may also be adversely affected by these conditions. These conditions, which can develop rapidly, could adversely affect our revenues, results of operations, and liquidity.</w:t>
      </w:r>
    </w:p>
    <w:p>
      <w:pPr>
        <w:spacing w:after="0" w:line="163" w:lineRule="exact"/>
        <w:rPr>
          <w:sz w:val="20"/>
          <w:szCs w:val="20"/>
          <w:color w:val="auto"/>
        </w:rPr>
      </w:pPr>
    </w:p>
    <w:p>
      <w:pPr>
        <w:ind w:right="140" w:firstLine="255"/>
        <w:spacing w:after="0" w:line="260" w:lineRule="auto"/>
        <w:rPr>
          <w:sz w:val="20"/>
          <w:szCs w:val="20"/>
          <w:color w:val="auto"/>
        </w:rPr>
      </w:pPr>
      <w:r>
        <w:rPr>
          <w:rFonts w:ascii="Times New Roman" w:cs="Times New Roman" w:eastAsia="Times New Roman" w:hAnsi="Times New Roman"/>
          <w:sz w:val="14"/>
          <w:szCs w:val="14"/>
          <w:i w:val="1"/>
          <w:iCs w:val="1"/>
          <w:color w:val="auto"/>
        </w:rPr>
        <w:t xml:space="preserve">Trade restrictions could be imposed on goods, materials or component parts used in our business that we import from other countries, which could have a material adverse effect on our results of operations. </w:t>
      </w:r>
      <w:r>
        <w:rPr>
          <w:rFonts w:ascii="Times New Roman" w:cs="Times New Roman" w:eastAsia="Times New Roman" w:hAnsi="Times New Roman"/>
          <w:sz w:val="14"/>
          <w:szCs w:val="14"/>
          <w:color w:val="auto"/>
        </w:rPr>
        <w:t>Our industry could be impacted by the imposition, or the threat of the imposition of, tariffs placed on products imported from foreign countries that we use in our business, including</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steel, aluminum, fuel and motor vehicles or their component parts, fiber cable and other components that we utilize to build networks, or any resulting impacts from escalating trade hostilities with the countries from where we import products. There is an ongoing risk of new or additional tariffs being placed on goods, materials or components used in our business that could dramatically increase our costs, require us to increase prices to our customers or, if we are unable to do so, result in lower gross margins. Any escalation of trade tensions, including new or increased tariffs or a “trade war,” could have a significant adverse effect on U.S. or world trade, as well as on our results of operations.</w:t>
      </w:r>
    </w:p>
    <w:p>
      <w:pPr>
        <w:spacing w:after="0" w:line="163" w:lineRule="exact"/>
        <w:rPr>
          <w:sz w:val="20"/>
          <w:szCs w:val="20"/>
          <w:color w:val="auto"/>
        </w:rPr>
      </w:pPr>
    </w:p>
    <w:p>
      <w:pPr>
        <w:ind w:right="40" w:firstLine="255"/>
        <w:spacing w:after="0" w:line="262" w:lineRule="auto"/>
        <w:rPr>
          <w:sz w:val="20"/>
          <w:szCs w:val="20"/>
          <w:color w:val="auto"/>
        </w:rPr>
      </w:pPr>
      <w:r>
        <w:rPr>
          <w:rFonts w:ascii="Times New Roman" w:cs="Times New Roman" w:eastAsia="Times New Roman" w:hAnsi="Times New Roman"/>
          <w:sz w:val="14"/>
          <w:szCs w:val="14"/>
          <w:i w:val="1"/>
          <w:iCs w:val="1"/>
          <w:color w:val="auto"/>
        </w:rPr>
        <w:t xml:space="preserve">We derive a significant portion of our revenues from a small number of customers, and the loss of one or more of these customers could adversely affect our revenues, results of operations, and liquidity. </w:t>
      </w:r>
      <w:r>
        <w:rPr>
          <w:rFonts w:ascii="Times New Roman" w:cs="Times New Roman" w:eastAsia="Times New Roman" w:hAnsi="Times New Roman"/>
          <w:sz w:val="14"/>
          <w:szCs w:val="14"/>
          <w:color w:val="auto"/>
        </w:rPr>
        <w:t>Our customer base is highly concentrated, with our top five customers during fiscal 2025, fiscal 2024, and fiscal 2023 accounting for approximately 55.4%, 57.7%, and 66.7%, of our total</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contract revenues, respectively. Our industry is highly competitive and the revenue we expect from an existing customer in any market could fail to be realized if competitors who offer comparable services to our customers do so on more favorable terms or have a better relationship with a customer. Additionally, the continued consolidation of the telecommunications industry could result in the loss of a customer if, as a result of a merger or acquisition involving one or more of our customers, the surviving entity chooses to use one of our competitors for the services we currently provide.</w:t>
      </w:r>
    </w:p>
    <w:p>
      <w:pPr>
        <w:spacing w:after="0" w:line="161" w:lineRule="exact"/>
        <w:rPr>
          <w:sz w:val="20"/>
          <w:szCs w:val="20"/>
          <w:color w:val="auto"/>
        </w:rPr>
      </w:pPr>
    </w:p>
    <w:p>
      <w:pPr>
        <w:ind w:firstLine="255"/>
        <w:spacing w:after="0" w:line="259" w:lineRule="auto"/>
        <w:rPr>
          <w:sz w:val="20"/>
          <w:szCs w:val="20"/>
          <w:color w:val="auto"/>
        </w:rPr>
      </w:pPr>
      <w:r>
        <w:rPr>
          <w:rFonts w:ascii="Times New Roman" w:cs="Times New Roman" w:eastAsia="Times New Roman" w:hAnsi="Times New Roman"/>
          <w:sz w:val="14"/>
          <w:szCs w:val="14"/>
          <w:i w:val="1"/>
          <w:iCs w:val="1"/>
          <w:color w:val="auto"/>
        </w:rPr>
        <w:t xml:space="preserve">The capital and operating expenditure budgets and seasonal spending patterns of our customers affect demand for our services and the addition of new customers with differing behaviors may adversely impact our business. </w:t>
      </w:r>
      <w:r>
        <w:rPr>
          <w:rFonts w:ascii="Times New Roman" w:cs="Times New Roman" w:eastAsia="Times New Roman" w:hAnsi="Times New Roman"/>
          <w:sz w:val="14"/>
          <w:szCs w:val="14"/>
          <w:color w:val="auto"/>
        </w:rPr>
        <w:t>Generally, our customers have no obligation to assign specific amounts of work to us. Customers decide to engage us to provide services based on, among other things,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the amount of capital they have available and their spending priorities. Our customers’ capital budgets may change for reasons over which we have no control. These changes may occur quickly and without advance notice. Any fluctuation in the capital or operating expenditure budgets and priorities of our customers could adversely affect our revenues, results of operations, and liquidity. Further, if we continue to broaden our customer base, we may become subject to different customer requirements or characteristics, including less advantageous contractual requirements, customers with financial or operational instability or increased contract terminations or project cancellations. Our failure or inability to anticipate or adapt to a changing customer base and shifting business models could have an adverse effect on our competitive position business or results of operations.</w:t>
      </w:r>
    </w:p>
    <w:p>
      <w:pPr>
        <w:spacing w:after="0" w:line="163" w:lineRule="exact"/>
        <w:rPr>
          <w:sz w:val="20"/>
          <w:szCs w:val="20"/>
          <w:color w:val="auto"/>
        </w:rPr>
      </w:pPr>
    </w:p>
    <w:p>
      <w:pPr>
        <w:ind w:right="20" w:firstLine="255"/>
        <w:spacing w:after="0" w:line="271" w:lineRule="auto"/>
        <w:rPr>
          <w:sz w:val="20"/>
          <w:szCs w:val="20"/>
          <w:color w:val="auto"/>
        </w:rPr>
      </w:pPr>
      <w:r>
        <w:rPr>
          <w:rFonts w:ascii="Times New Roman" w:cs="Times New Roman" w:eastAsia="Times New Roman" w:hAnsi="Times New Roman"/>
          <w:sz w:val="14"/>
          <w:szCs w:val="14"/>
          <w:i w:val="1"/>
          <w:iCs w:val="1"/>
          <w:color w:val="auto"/>
        </w:rPr>
        <w:t xml:space="preserve">Pandemics and public health emergencies could materially disrupt our business and negatively impact our operating results, cash flows and financial condition. </w:t>
      </w:r>
      <w:r>
        <w:rPr>
          <w:rFonts w:ascii="Times New Roman" w:cs="Times New Roman" w:eastAsia="Times New Roman" w:hAnsi="Times New Roman"/>
          <w:sz w:val="14"/>
          <w:szCs w:val="14"/>
          <w:color w:val="auto"/>
        </w:rPr>
        <w:t>Pandemics and public health</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emergencies, like the COVID-19 pandemic, may impact our operating results, cash flows and financial condition in ways that are uncertain, unpredictable and outside of our control. The extent of the impact of such an event depends on the severity and duration of the public health emergency or</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0" w:name="page11"/>
    <w:bookmarkEnd w:id="10"/>
    <w:p>
      <w:pPr>
        <w:ind w:left="2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44" w:lineRule="exact"/>
        <w:rPr>
          <w:sz w:val="20"/>
          <w:szCs w:val="20"/>
          <w:color w:val="auto"/>
        </w:rPr>
      </w:pPr>
    </w:p>
    <w:p>
      <w:pPr>
        <w:ind w:right="80"/>
        <w:spacing w:after="0" w:line="270" w:lineRule="auto"/>
        <w:rPr>
          <w:sz w:val="20"/>
          <w:szCs w:val="20"/>
          <w:color w:val="auto"/>
        </w:rPr>
      </w:pPr>
      <w:r>
        <w:rPr>
          <w:rFonts w:ascii="Times New Roman" w:cs="Times New Roman" w:eastAsia="Times New Roman" w:hAnsi="Times New Roman"/>
          <w:sz w:val="14"/>
          <w:szCs w:val="14"/>
          <w:color w:val="auto"/>
        </w:rPr>
        <w:t>pandemic, as well as the nature and duration of federal, state and local laws, orders, rules, emergency temporary standards, regulations and mandates, together with protocols and contractual requirements implemented by our customers, that may be enacted or newly enforced in response. Additionally, our ability to perform our work during such an event may be dependent on the governmental or societal responses to these circumstances in the markets in which we operate. A pandemic or public health emergency is likely to heighten and exacerbate the risks described herein.</w:t>
      </w:r>
    </w:p>
    <w:p>
      <w:pPr>
        <w:spacing w:after="0" w:line="144" w:lineRule="exact"/>
        <w:rPr>
          <w:sz w:val="20"/>
          <w:szCs w:val="20"/>
          <w:color w:val="auto"/>
        </w:rPr>
      </w:pPr>
    </w:p>
    <w:p>
      <w:pPr>
        <w:ind w:firstLine="255"/>
        <w:spacing w:after="0" w:line="244" w:lineRule="auto"/>
        <w:rPr>
          <w:sz w:val="20"/>
          <w:szCs w:val="20"/>
          <w:color w:val="auto"/>
        </w:rPr>
      </w:pPr>
      <w:r>
        <w:rPr>
          <w:rFonts w:ascii="Times New Roman" w:cs="Times New Roman" w:eastAsia="Times New Roman" w:hAnsi="Times New Roman"/>
          <w:sz w:val="14"/>
          <w:szCs w:val="14"/>
          <w:i w:val="1"/>
          <w:iCs w:val="1"/>
          <w:color w:val="auto"/>
        </w:rPr>
        <w:t xml:space="preserve">Seasonality and adverse weather conditions affect demand for our services. </w:t>
      </w:r>
      <w:r>
        <w:rPr>
          <w:rFonts w:ascii="Times New Roman" w:cs="Times New Roman" w:eastAsia="Times New Roman" w:hAnsi="Times New Roman"/>
          <w:sz w:val="14"/>
          <w:szCs w:val="14"/>
          <w:color w:val="auto"/>
        </w:rPr>
        <w:t>Our contract revenues and results of operations exhibit seasonality and are impacted by adverse weather changes as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we perform a significant portion of our work outdoors. Consequently, adverse weather, which is more likely to occur with greater frequency, severity, and duration during the winter, as well as reduced daylight hours, impact our operations during the fiscal quarters ending in January and April. Additionally, extreme weather conditions such as major or extended winter storms, droughts and tornados, wildfires, and natural disasters, such as floods, hurricanes, tropical storms, whether as a result of climate change or otherwise, could also impact the demand for our services, or impact our ability to perform our services. Also, several holidays fall within the fiscal quarter ending in January, which decreases the number of available workdays in this fiscal quarter. Because of these factors, we are most likely to experience reduced revenue and profitability or losses during the fiscal quarters ending in January and April compared to the fiscal quarters ending in July and October.</w:t>
      </w:r>
    </w:p>
    <w:p>
      <w:pPr>
        <w:spacing w:after="0" w:line="174" w:lineRule="exact"/>
        <w:rPr>
          <w:sz w:val="20"/>
          <w:szCs w:val="20"/>
          <w:color w:val="auto"/>
        </w:rPr>
      </w:pPr>
    </w:p>
    <w:p>
      <w:pPr>
        <w:ind w:right="60" w:firstLine="255"/>
        <w:spacing w:after="0" w:line="259" w:lineRule="auto"/>
        <w:rPr>
          <w:sz w:val="20"/>
          <w:szCs w:val="20"/>
          <w:color w:val="auto"/>
        </w:rPr>
      </w:pPr>
      <w:r>
        <w:rPr>
          <w:rFonts w:ascii="Times New Roman" w:cs="Times New Roman" w:eastAsia="Times New Roman" w:hAnsi="Times New Roman"/>
          <w:sz w:val="14"/>
          <w:szCs w:val="14"/>
          <w:i w:val="1"/>
          <w:iCs w:val="1"/>
          <w:color w:val="auto"/>
        </w:rPr>
        <w:t xml:space="preserve">We derive a significant portion of our revenues from multi-year master service agreements and other long-term contracts which our customers may cancel at any time or may reschedule or modify previously assigned work. </w:t>
      </w:r>
      <w:r>
        <w:rPr>
          <w:rFonts w:ascii="Times New Roman" w:cs="Times New Roman" w:eastAsia="Times New Roman" w:hAnsi="Times New Roman"/>
          <w:sz w:val="14"/>
          <w:szCs w:val="14"/>
          <w:color w:val="auto"/>
        </w:rPr>
        <w:t>The majority of our long-term contracts are cancellable by our customers with little or no advance notice and for any, or no, reason. Our customers may also have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the right to cancel or remove assigned work without canceling the contract or to reschedule or modify previously assigned work. We may also experience difficulty in managing and timely executing on long-term contracts due to the complex nature of the projects and changes in customer needs and priorities may adversely impact of the profitability of these contracts. In addition, these contracts typically include a fixed term that is subject to renewal or rebid on a periodic basis. We may be unsuccessful in securing contracts when their fixed terms expire. Our projected revenues assume that definitive work orders have been, or will be, issued by our customer, and that the work will be completed. The potential loss of work under master service agreements and other long-term contracts, or the rescheduling or modification of previously assigned work by a customer, could adversely affect our results of operations, cash flows, and liquidity, as well as any projections we provide.</w:t>
      </w:r>
    </w:p>
    <w:p>
      <w:pPr>
        <w:spacing w:after="0" w:line="163" w:lineRule="exact"/>
        <w:rPr>
          <w:sz w:val="20"/>
          <w:szCs w:val="20"/>
          <w:color w:val="auto"/>
        </w:rPr>
      </w:pPr>
    </w:p>
    <w:p>
      <w:pPr>
        <w:ind w:right="160" w:firstLine="255"/>
        <w:spacing w:after="0" w:line="265" w:lineRule="auto"/>
        <w:rPr>
          <w:sz w:val="20"/>
          <w:szCs w:val="20"/>
          <w:color w:val="auto"/>
        </w:rPr>
      </w:pPr>
      <w:r>
        <w:rPr>
          <w:rFonts w:ascii="Times New Roman" w:cs="Times New Roman" w:eastAsia="Times New Roman" w:hAnsi="Times New Roman"/>
          <w:sz w:val="14"/>
          <w:szCs w:val="14"/>
          <w:i w:val="1"/>
          <w:iCs w:val="1"/>
          <w:color w:val="auto"/>
        </w:rPr>
        <w:t xml:space="preserve">Our contracts contain provisions that may require us to pay damages or incur costs if we fail to meet our contractual obligations. </w:t>
      </w:r>
      <w:r>
        <w:rPr>
          <w:rFonts w:ascii="Times New Roman" w:cs="Times New Roman" w:eastAsia="Times New Roman" w:hAnsi="Times New Roman"/>
          <w:sz w:val="14"/>
          <w:szCs w:val="14"/>
          <w:color w:val="auto"/>
        </w:rPr>
        <w:t>If we do not meet our contractual obligations our customers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may look to us to pay damages or pursue other remedies, including, in some instances, the payment of liquidated damages. Additionally, if we fail to meet our contractual obligations, or if our customer anticipates that we cannot meet our contractual obligations, our customers may, in certain circumstances, seek reimbursement from us to cover the incremental cost of having a third party complete or remediate our work. Our results of operations could be adversely affected if we are required to pay damages or incur costs as a result of a failure to meet our contractual obligations.</w:t>
      </w:r>
    </w:p>
    <w:p>
      <w:pPr>
        <w:spacing w:after="0" w:line="159" w:lineRule="exact"/>
        <w:rPr>
          <w:sz w:val="20"/>
          <w:szCs w:val="20"/>
          <w:color w:val="auto"/>
        </w:rPr>
      </w:pPr>
    </w:p>
    <w:p>
      <w:pPr>
        <w:ind w:right="20" w:firstLine="255"/>
        <w:spacing w:after="0" w:line="262" w:lineRule="auto"/>
        <w:rPr>
          <w:sz w:val="20"/>
          <w:szCs w:val="20"/>
          <w:color w:val="auto"/>
        </w:rPr>
      </w:pPr>
      <w:r>
        <w:rPr>
          <w:rFonts w:ascii="Times New Roman" w:cs="Times New Roman" w:eastAsia="Times New Roman" w:hAnsi="Times New Roman"/>
          <w:sz w:val="14"/>
          <w:szCs w:val="14"/>
          <w:i w:val="1"/>
          <w:iCs w:val="1"/>
          <w:color w:val="auto"/>
        </w:rPr>
        <w:t xml:space="preserve">Our backlog is subject to reduction or cancellation, and revenues may be realized in different periods than initially reflected in our backlog. </w:t>
      </w:r>
      <w:r>
        <w:rPr>
          <w:rFonts w:ascii="Times New Roman" w:cs="Times New Roman" w:eastAsia="Times New Roman" w:hAnsi="Times New Roman"/>
          <w:sz w:val="14"/>
          <w:szCs w:val="14"/>
          <w:color w:val="auto"/>
        </w:rPr>
        <w:t>Our backlog includes the estimated uncompleted</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portion of services to be performed under master services agreements and other contractual agreements with our customers. These estimates are based on, among other things, contract terms and projections regarding the timing of the services to be provided. In the case of master service agreements, backlog is calculated using as an input the amount of work performed in the preceding 12 month period, when applicable. Backlog for newly initiated master service agreements and other long and short-term contracts is estimated using the anticipated scope of the contract and information received from the customer in the procurement process.</w:t>
      </w:r>
    </w:p>
    <w:p>
      <w:pPr>
        <w:spacing w:after="0" w:line="163" w:lineRule="exact"/>
        <w:rPr>
          <w:sz w:val="20"/>
          <w:szCs w:val="20"/>
          <w:color w:val="auto"/>
        </w:rPr>
      </w:pPr>
    </w:p>
    <w:p>
      <w:pPr>
        <w:ind w:firstLine="255"/>
        <w:spacing w:after="0" w:line="259" w:lineRule="auto"/>
        <w:rPr>
          <w:sz w:val="20"/>
          <w:szCs w:val="20"/>
          <w:color w:val="auto"/>
        </w:rPr>
      </w:pPr>
      <w:r>
        <w:rPr>
          <w:rFonts w:ascii="Times New Roman" w:cs="Times New Roman" w:eastAsia="Times New Roman" w:hAnsi="Times New Roman"/>
          <w:sz w:val="14"/>
          <w:szCs w:val="14"/>
          <w:color w:val="auto"/>
        </w:rPr>
        <w:t>Generally, our customers are not contractually committed to procure specific volumes of services. Contract revenue estimates reflected in our backlog can be subject to change due to a number of factors, including contract cancellations or changes in the amount of work we expect to be performed under a contract. In addition, contract revenues reflected in our backlog may be realized in different periods from those previously anticipated due to these factors as well as project accelerations or delays due to various reasons, including, but not limited to, changes in customer spending priorities, project cancellations, regulatory interruptions, scheduling changes, commercial issues, such as permitting, engineering revisions, job site conditions and adverse weather. The amount or timing of our backlog can also be impacted by the merger or acquisition activity of our customers. Our estimates of our customers’ requirements during a future period may prove to be inaccurate. As a result, our backlog as of any particular date is an uncertain estimate of the amount of, and timing of, future revenues and earnings.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5" w:right="339" w:bottom="1440" w:gutter="0" w:footer="0" w:header="0"/>
        </w:sectPr>
      </w:pPr>
    </w:p>
    <w:bookmarkStart w:id="11" w:name="page12"/>
    <w:bookmarkEnd w:id="11"/>
    <w:p>
      <w:pPr>
        <w:ind w:left="2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42" w:lineRule="exact"/>
        <w:rPr>
          <w:sz w:val="20"/>
          <w:szCs w:val="20"/>
          <w:color w:val="auto"/>
        </w:rPr>
      </w:pPr>
    </w:p>
    <w:p>
      <w:pPr>
        <w:ind w:right="20" w:firstLine="255"/>
        <w:spacing w:after="0" w:line="262" w:lineRule="auto"/>
        <w:rPr>
          <w:sz w:val="20"/>
          <w:szCs w:val="20"/>
          <w:color w:val="auto"/>
        </w:rPr>
      </w:pPr>
      <w:r>
        <w:rPr>
          <w:rFonts w:ascii="Times New Roman" w:cs="Times New Roman" w:eastAsia="Times New Roman" w:hAnsi="Times New Roman"/>
          <w:sz w:val="14"/>
          <w:szCs w:val="14"/>
          <w:i w:val="1"/>
          <w:iCs w:val="1"/>
          <w:color w:val="auto"/>
        </w:rPr>
        <w:t xml:space="preserve">We have a significant amount of accounts receivable and contract assets, which could become uncollectible. </w:t>
      </w:r>
      <w:r>
        <w:rPr>
          <w:rFonts w:ascii="Times New Roman" w:cs="Times New Roman" w:eastAsia="Times New Roman" w:hAnsi="Times New Roman"/>
          <w:sz w:val="14"/>
          <w:szCs w:val="14"/>
          <w:color w:val="auto"/>
        </w:rPr>
        <w:t>We extend credit to our customers because we perform work under contracts prior to</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being able to bill for that work. Deteriorating conditions in the industries we serve, bankruptcies, or financial difficulties of a customer or within the telecommunications sector generally may impair the financial condition of one or more of our customers and hinder their ability to pay us on a timely basis or at all. In addition, although in some instances we may have the right to file liens for certain projects, we may not be successful in enforcing those liens. The failure or delay in payment by one or more of our customers could reduce our cash flows and adversely affect our liquidity and results of operations.</w:t>
      </w:r>
    </w:p>
    <w:p>
      <w:pPr>
        <w:spacing w:after="0" w:line="161" w:lineRule="exact"/>
        <w:rPr>
          <w:sz w:val="20"/>
          <w:szCs w:val="20"/>
          <w:color w:val="auto"/>
        </w:rPr>
      </w:pPr>
    </w:p>
    <w:p>
      <w:pPr>
        <w:ind w:right="40" w:firstLine="255"/>
        <w:spacing w:after="0" w:line="259" w:lineRule="auto"/>
        <w:rPr>
          <w:sz w:val="20"/>
          <w:szCs w:val="20"/>
          <w:color w:val="auto"/>
        </w:rPr>
      </w:pPr>
      <w:r>
        <w:rPr>
          <w:rFonts w:ascii="Times New Roman" w:cs="Times New Roman" w:eastAsia="Times New Roman" w:hAnsi="Times New Roman"/>
          <w:sz w:val="14"/>
          <w:szCs w:val="14"/>
          <w:i w:val="1"/>
          <w:iCs w:val="1"/>
          <w:color w:val="auto"/>
        </w:rPr>
        <w:t xml:space="preserve">Our profitability is based on delivering services within the estimated costs established when we price our contracts. </w:t>
      </w:r>
      <w:r>
        <w:rPr>
          <w:rFonts w:ascii="Times New Roman" w:cs="Times New Roman" w:eastAsia="Times New Roman" w:hAnsi="Times New Roman"/>
          <w:sz w:val="14"/>
          <w:szCs w:val="14"/>
          <w:color w:val="auto"/>
        </w:rPr>
        <w:t>A significant portion of our services are provided under contracts that have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discrete pricing for individual tasks. Due to the fixed price nature of the tasks, our profitability could decline if our actual cost to complete each task exceeds our original estimates, as pricing under these contracts is determined based on estimated costs established when we enter into the contracts. A variety of factors could negatively impact the actual cost we incur in performing our work, such as changes made by our customers to the scope and extent of the services that we are to provide under a contract, delays resulting from weather and any pandemic or public health emergency, conditions at work sites differing materially from those anticipated at the time we bid on the contract, higher than expected costs of materials, including as a result of increased tariffs, and labor, delays in obtaining necessary permits, under absorbed costs, and lower than anticipated productivity. An increase in costs due to any of these factors, or for other reasons, could adversely affect our results of operations.</w:t>
      </w:r>
    </w:p>
    <w:p>
      <w:pPr>
        <w:spacing w:after="0" w:line="163" w:lineRule="exact"/>
        <w:rPr>
          <w:sz w:val="20"/>
          <w:szCs w:val="20"/>
          <w:color w:val="auto"/>
        </w:rPr>
      </w:pPr>
    </w:p>
    <w:p>
      <w:pPr>
        <w:ind w:right="100" w:firstLine="255"/>
        <w:spacing w:after="0" w:line="260" w:lineRule="auto"/>
        <w:rPr>
          <w:sz w:val="20"/>
          <w:szCs w:val="20"/>
          <w:color w:val="auto"/>
        </w:rPr>
      </w:pPr>
      <w:r>
        <w:rPr>
          <w:rFonts w:ascii="Times New Roman" w:cs="Times New Roman" w:eastAsia="Times New Roman" w:hAnsi="Times New Roman"/>
          <w:sz w:val="14"/>
          <w:szCs w:val="14"/>
          <w:i w:val="1"/>
          <w:iCs w:val="1"/>
          <w:color w:val="auto"/>
        </w:rPr>
        <w:t xml:space="preserve">Regulatory changes and requirements associated with government funding that is associated with certain capital spending initiatives of our customers may affect their spending on the services we provide. </w:t>
      </w:r>
      <w:r>
        <w:rPr>
          <w:rFonts w:ascii="Times New Roman" w:cs="Times New Roman" w:eastAsia="Times New Roman" w:hAnsi="Times New Roman"/>
          <w:sz w:val="14"/>
          <w:szCs w:val="14"/>
          <w:color w:val="auto"/>
        </w:rPr>
        <w:t>Our customers operate in regulated industries and are subject to laws and regulations that can change frequently. Additionally, where our customers utilize governmental funding sources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in connection with the work they contract us to perform, such work may be subject to new or enhanced regulatory requirements and compliance obligations. The application of new or enhanced regulatory requirements or obligations, or changes to the enforcement or interpretation of existing laws or regulations, may delay or constrain our ability to perform our work, increase our costs to perform our work without a corresponding increase in payment from our customers, and could cause our customers to reduce or delay spending on the services we provide, which could adversely affect our revenues, results of operations, and liquidity.</w:t>
      </w:r>
    </w:p>
    <w:p>
      <w:pPr>
        <w:spacing w:after="0" w:line="155" w:lineRule="exact"/>
        <w:rPr>
          <w:sz w:val="20"/>
          <w:szCs w:val="20"/>
          <w:color w:val="auto"/>
        </w:rPr>
      </w:pPr>
    </w:p>
    <w:p>
      <w:pPr>
        <w:ind w:firstLine="255"/>
        <w:spacing w:after="0" w:line="255" w:lineRule="auto"/>
        <w:rPr>
          <w:sz w:val="20"/>
          <w:szCs w:val="20"/>
          <w:color w:val="auto"/>
        </w:rPr>
      </w:pPr>
      <w:r>
        <w:rPr>
          <w:rFonts w:ascii="Times New Roman" w:cs="Times New Roman" w:eastAsia="Times New Roman" w:hAnsi="Times New Roman"/>
          <w:sz w:val="14"/>
          <w:szCs w:val="14"/>
          <w:color w:val="auto"/>
        </w:rPr>
        <w:t>Considerable uncertainty exists regarding how future budget and program decisions will unfold and future funding for certain government programs in which we or our customers participate may be reduced, delayed or cancelled.</w:t>
      </w:r>
    </w:p>
    <w:p>
      <w:pPr>
        <w:spacing w:after="0" w:line="1" w:lineRule="exact"/>
        <w:rPr>
          <w:sz w:val="20"/>
          <w:szCs w:val="20"/>
          <w:color w:val="auto"/>
        </w:rPr>
      </w:pPr>
    </w:p>
    <w:p>
      <w:pPr>
        <w:ind w:right="40"/>
        <w:spacing w:after="0" w:line="251" w:lineRule="auto"/>
        <w:rPr>
          <w:sz w:val="20"/>
          <w:szCs w:val="20"/>
          <w:color w:val="auto"/>
        </w:rPr>
      </w:pPr>
      <w:r>
        <w:rPr>
          <w:rFonts w:ascii="Times New Roman" w:cs="Times New Roman" w:eastAsia="Times New Roman" w:hAnsi="Times New Roman"/>
          <w:sz w:val="14"/>
          <w:szCs w:val="14"/>
          <w:color w:val="auto"/>
        </w:rPr>
        <w:t>The incoming administration announced a planned advisory commission to reform federal government processes and reduce expenditures. Pressures on and uncertainty surrounding the U.S. federal government’s budget, and potential changes in budgetary priorities, could adversely affect the funding for infrastructure programs upon which we rely. Additionally, changes related to taxation, trade, economic and monetary policies, heightened diplomatic tensions or political and civil unrest, among other potential impacts, could adversely impact the global economy and our operating results.</w:t>
      </w:r>
    </w:p>
    <w:p>
      <w:pPr>
        <w:spacing w:after="0" w:line="158" w:lineRule="exact"/>
        <w:rPr>
          <w:sz w:val="20"/>
          <w:szCs w:val="20"/>
          <w:color w:val="auto"/>
        </w:rPr>
      </w:pPr>
    </w:p>
    <w:p>
      <w:pPr>
        <w:ind w:firstLine="255"/>
        <w:spacing w:after="0" w:line="262" w:lineRule="auto"/>
        <w:rPr>
          <w:sz w:val="20"/>
          <w:szCs w:val="20"/>
          <w:color w:val="auto"/>
        </w:rPr>
      </w:pPr>
      <w:r>
        <w:rPr>
          <w:rFonts w:ascii="Times New Roman" w:cs="Times New Roman" w:eastAsia="Times New Roman" w:hAnsi="Times New Roman"/>
          <w:sz w:val="14"/>
          <w:szCs w:val="14"/>
          <w:i w:val="1"/>
          <w:iCs w:val="1"/>
          <w:color w:val="auto"/>
        </w:rPr>
        <w:t xml:space="preserve">Technological change may affect our customers’ spending on the services we provide. </w:t>
      </w:r>
      <w:r>
        <w:rPr>
          <w:rFonts w:ascii="Times New Roman" w:cs="Times New Roman" w:eastAsia="Times New Roman" w:hAnsi="Times New Roman"/>
          <w:sz w:val="14"/>
          <w:szCs w:val="14"/>
          <w:color w:val="auto"/>
        </w:rPr>
        <w:t>We generate a significant majority of our revenues from customers in the telecommunications industry. This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industry has been and continues to be impacted by rapid technological change. These changes may affect our customers’ spending on the services we provide. Further, technological change in the telecommunications industry not directly related to the services we provide may affect the ability of one or more of our customers to compete effectively, which could result in a reduction or elimination of their use of our services. Any reduction, elimination or delay of spending by one of our customers on the services we provide could adversely affect our revenues, results of operations, and liquidity.</w:t>
      </w:r>
    </w:p>
    <w:p>
      <w:pPr>
        <w:spacing w:after="0" w:line="161" w:lineRule="exact"/>
        <w:rPr>
          <w:sz w:val="20"/>
          <w:szCs w:val="20"/>
          <w:color w:val="auto"/>
        </w:rPr>
      </w:pPr>
    </w:p>
    <w:p>
      <w:pPr>
        <w:ind w:right="200" w:firstLine="255"/>
        <w:spacing w:after="0" w:line="262" w:lineRule="auto"/>
        <w:rPr>
          <w:sz w:val="20"/>
          <w:szCs w:val="20"/>
          <w:color w:val="auto"/>
        </w:rPr>
      </w:pPr>
      <w:r>
        <w:rPr>
          <w:rFonts w:ascii="Times New Roman" w:cs="Times New Roman" w:eastAsia="Times New Roman" w:hAnsi="Times New Roman"/>
          <w:sz w:val="14"/>
          <w:szCs w:val="14"/>
          <w:i w:val="1"/>
          <w:iCs w:val="1"/>
          <w:color w:val="auto"/>
        </w:rPr>
        <w:t xml:space="preserve">Our business is dependent on keeping pace with technological developments impacting our services and those of our customers. </w:t>
      </w:r>
      <w:r>
        <w:rPr>
          <w:rFonts w:ascii="Times New Roman" w:cs="Times New Roman" w:eastAsia="Times New Roman" w:hAnsi="Times New Roman"/>
          <w:sz w:val="14"/>
          <w:szCs w:val="14"/>
          <w:color w:val="auto"/>
        </w:rPr>
        <w:t>Our success is dependent on our and our customers’ ability to</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acquire, develop, adopt and leverage new and existing technologies, including artificial intelligence (“AI”). New technologies can materially impact our business in a number of ways, including affecting the costs, speed and efficiency with which we can provide our services to our customers and our ability to differentiate ourselves from our competitor’s offerings. Our customers may also experience decreased demand for their products or services if they fail to develop new products and technologies to meet consumer demand. Our failure to effectively anticipate or adapt to new technologies and changes in our customer’s expectations and behavior could materially impact our competitive position with our customers and, as a result, our future success and growth.</w:t>
      </w:r>
    </w:p>
    <w:p>
      <w:pPr>
        <w:spacing w:after="0" w:line="161" w:lineRule="exact"/>
        <w:rPr>
          <w:sz w:val="20"/>
          <w:szCs w:val="20"/>
          <w:color w:val="auto"/>
        </w:rPr>
      </w:pPr>
    </w:p>
    <w:p>
      <w:pPr>
        <w:jc w:val="both"/>
        <w:ind w:right="60" w:firstLine="255"/>
        <w:spacing w:after="0" w:line="271" w:lineRule="auto"/>
        <w:rPr>
          <w:sz w:val="20"/>
          <w:szCs w:val="20"/>
          <w:color w:val="auto"/>
        </w:rPr>
      </w:pPr>
      <w:r>
        <w:rPr>
          <w:rFonts w:ascii="Times New Roman" w:cs="Times New Roman" w:eastAsia="Times New Roman" w:hAnsi="Times New Roman"/>
          <w:sz w:val="14"/>
          <w:szCs w:val="14"/>
          <w:i w:val="1"/>
          <w:iCs w:val="1"/>
          <w:color w:val="auto"/>
        </w:rPr>
        <w:t xml:space="preserve">Our business is labor-intensive, and we may be unable to attract, retain and ensure the productivity of qualified employees or to pass increased labor and training costs to our customers. </w:t>
      </w:r>
      <w:r>
        <w:rPr>
          <w:rFonts w:ascii="Times New Roman" w:cs="Times New Roman" w:eastAsia="Times New Roman" w:hAnsi="Times New Roman"/>
          <w:sz w:val="14"/>
          <w:szCs w:val="14"/>
          <w:color w:val="auto"/>
        </w:rPr>
        <w:t>We are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highly dependent upon our ability to employ, train, retain, and ensure the productivity of the skilled personnel needed to operate our business. Given the highly specialized work we perform, many of our employees receive training in, and possess, specialized technical skills that are</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2" w:name="page13"/>
    <w:bookmarkEnd w:id="12"/>
    <w:p>
      <w:pPr>
        <w:ind w:left="2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44"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4"/>
          <w:szCs w:val="14"/>
          <w:color w:val="auto"/>
        </w:rPr>
        <w:t>necessary to operate our business and maintain productivity and profitability. We cannot be certain that we will be able to maintain and ensure the productivity of the skilled labor force necessary to operate our business. Our ability to do so depends on a number of factors, such as the general rate of employment, fluctuations in economic and industry conditions, changes in U.S. immigration policies, regulatory changes, competition for employees possessing the skills we need and the general health and welfare of our employees. Additionally, factors such as corporate culture, organizational changes, remote working opportunities and our compensation programs may impact our ability to effectively attract, retain and manage our workforce. In addition, the uncertainty of contract awards and project delays can also present difficulties in appropriately sizing our skilled labor force. Furthermore, due to the fixed price nature of the tasks in our contracts, we may be unable to pass increases in labor and training costs on to our customers. If we are unable to attract or retain qualified employees or incur additional labor and training costs, we may be unable to maintain or improve our competitive position and our results of operations could be adversely affected.</w:t>
      </w:r>
    </w:p>
    <w:p>
      <w:pPr>
        <w:spacing w:after="0" w:line="166" w:lineRule="exact"/>
        <w:rPr>
          <w:sz w:val="20"/>
          <w:szCs w:val="20"/>
          <w:color w:val="auto"/>
        </w:rPr>
      </w:pPr>
    </w:p>
    <w:p>
      <w:pPr>
        <w:ind w:right="80" w:firstLine="255"/>
        <w:spacing w:after="0" w:line="259" w:lineRule="auto"/>
        <w:rPr>
          <w:sz w:val="20"/>
          <w:szCs w:val="20"/>
          <w:color w:val="auto"/>
        </w:rPr>
      </w:pPr>
      <w:r>
        <w:rPr>
          <w:rFonts w:ascii="Times New Roman" w:cs="Times New Roman" w:eastAsia="Times New Roman" w:hAnsi="Times New Roman"/>
          <w:sz w:val="14"/>
          <w:szCs w:val="14"/>
          <w:i w:val="1"/>
          <w:iCs w:val="1"/>
          <w:color w:val="auto"/>
        </w:rPr>
        <w:t xml:space="preserve">We may be unable to secure or retain qualified subcontractors to fulfill our obligations, or our subcontractors may fail to satisfy their obligations to us, either of which may adversely affect our relationships with our customers or cause us to incur additional costs. </w:t>
      </w:r>
      <w:r>
        <w:rPr>
          <w:rFonts w:ascii="Times New Roman" w:cs="Times New Roman" w:eastAsia="Times New Roman" w:hAnsi="Times New Roman"/>
          <w:sz w:val="14"/>
          <w:szCs w:val="14"/>
          <w:color w:val="auto"/>
        </w:rPr>
        <w:t>We contract with subcontractors to manage fluctuations in work volumes and reduce the amounts that we would otherwise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expend on fixed assets and working capital. If we are unable to secure qualified subcontractors who can provide adequate labor resources at a reasonable cost, we may be delayed or unable to complete our work under a contract on a timely basis. In addition, subcontractors may not meet performance expectations, fail to meet regulatory or contractual requirements, or experience financial instability that could result in disputes or litigation and adversely impact, among other things, the quality and timeliness of the work they have performed. We may incur additional costs to correct such shortfalls in the work performed by subcontractors. Any of these factors could negatively impact the quality of our service, our ability to perform under certain customer contracts, and our relationships with our customers, which could adversely affect our results of operations.</w:t>
      </w:r>
    </w:p>
    <w:p>
      <w:pPr>
        <w:spacing w:after="0" w:line="163" w:lineRule="exact"/>
        <w:rPr>
          <w:sz w:val="20"/>
          <w:szCs w:val="20"/>
          <w:color w:val="auto"/>
        </w:rPr>
      </w:pPr>
    </w:p>
    <w:p>
      <w:pPr>
        <w:ind w:right="40" w:firstLine="255"/>
        <w:spacing w:after="0" w:line="262" w:lineRule="auto"/>
        <w:rPr>
          <w:sz w:val="20"/>
          <w:szCs w:val="20"/>
          <w:color w:val="auto"/>
        </w:rPr>
      </w:pPr>
      <w:r>
        <w:rPr>
          <w:rFonts w:ascii="Times New Roman" w:cs="Times New Roman" w:eastAsia="Times New Roman" w:hAnsi="Times New Roman"/>
          <w:sz w:val="14"/>
          <w:szCs w:val="14"/>
          <w:i w:val="1"/>
          <w:iCs w:val="1"/>
          <w:color w:val="auto"/>
        </w:rPr>
        <w:t xml:space="preserve">Changes in fuel prices may increase our costs, and we may not be able to pass along increased fuel costs to our customers. </w:t>
      </w:r>
      <w:r>
        <w:rPr>
          <w:rFonts w:ascii="Times New Roman" w:cs="Times New Roman" w:eastAsia="Times New Roman" w:hAnsi="Times New Roman"/>
          <w:sz w:val="14"/>
          <w:szCs w:val="14"/>
          <w:color w:val="auto"/>
        </w:rPr>
        <w:t>Fuel prices fluctuate based on events outside of our control, including</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as the result of global economic conditions, market volatility, import and export restrictions, sanctions or trade regulations and the imposition of tariffs. Most of our services are provided under contracts that have discrete pricing for individual tasks and do not allow us to adjust our pricing for higher fuel costs during a contract term. In addition, we may be unable to secure prices that reflect rising costs when renewing or bidding contracts. To the extent we enter into hedge transactions in conjunction with our anticipated fuel purchases, declines in fuel prices below the levels established in the hedges we have in place may require us to make payments to our hedge counterparties. As a result, changes in fuel prices may adversely affect our results of operations.</w:t>
      </w:r>
    </w:p>
    <w:p>
      <w:pPr>
        <w:spacing w:after="0" w:line="161" w:lineRule="exact"/>
        <w:rPr>
          <w:sz w:val="20"/>
          <w:szCs w:val="20"/>
          <w:color w:val="auto"/>
        </w:rPr>
      </w:pPr>
    </w:p>
    <w:p>
      <w:pPr>
        <w:ind w:right="20" w:firstLine="255"/>
        <w:spacing w:after="0" w:line="265" w:lineRule="auto"/>
        <w:rPr>
          <w:sz w:val="20"/>
          <w:szCs w:val="20"/>
          <w:color w:val="auto"/>
        </w:rPr>
      </w:pPr>
      <w:r>
        <w:rPr>
          <w:rFonts w:ascii="Times New Roman" w:cs="Times New Roman" w:eastAsia="Times New Roman" w:hAnsi="Times New Roman"/>
          <w:sz w:val="14"/>
          <w:szCs w:val="14"/>
          <w:i w:val="1"/>
          <w:iCs w:val="1"/>
          <w:color w:val="auto"/>
        </w:rPr>
        <w:t xml:space="preserve">Increases in healthcare costs could adversely affect our financial results. </w:t>
      </w:r>
      <w:r>
        <w:rPr>
          <w:rFonts w:ascii="Times New Roman" w:cs="Times New Roman" w:eastAsia="Times New Roman" w:hAnsi="Times New Roman"/>
          <w:sz w:val="14"/>
          <w:szCs w:val="14"/>
          <w:color w:val="auto"/>
        </w:rPr>
        <w:t>The costs of providing employee medical benefits have steadily increased over a number of years due to, among other</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things, rising healthcare costs and legislative requirements. Because of the complex nature of healthcare laws, as well as periodic healthcare reform legislation adopted by Congress, state legislatures, and municipalities, we cannot predict with certainty the future effect of these laws on our healthcare costs. Continued increases in healthcare costs or additional costs created by future health care reform laws adopted by Congress, state legislatures, or municipalities could adversely affect our results of operations and financial position.</w:t>
      </w:r>
    </w:p>
    <w:p>
      <w:pPr>
        <w:spacing w:after="0" w:line="159" w:lineRule="exact"/>
        <w:rPr>
          <w:sz w:val="20"/>
          <w:szCs w:val="20"/>
          <w:color w:val="auto"/>
        </w:rPr>
      </w:pPr>
    </w:p>
    <w:p>
      <w:pPr>
        <w:ind w:right="80" w:firstLine="255"/>
        <w:spacing w:after="0" w:line="254" w:lineRule="auto"/>
        <w:rPr>
          <w:sz w:val="20"/>
          <w:szCs w:val="20"/>
          <w:color w:val="auto"/>
        </w:rPr>
      </w:pPr>
      <w:r>
        <w:rPr>
          <w:rFonts w:ascii="Times New Roman" w:cs="Times New Roman" w:eastAsia="Times New Roman" w:hAnsi="Times New Roman"/>
          <w:sz w:val="14"/>
          <w:szCs w:val="14"/>
          <w:i w:val="1"/>
          <w:iCs w:val="1"/>
          <w:color w:val="auto"/>
        </w:rPr>
        <w:t xml:space="preserve">Fluctuations in our effective tax rate and tax liabilities may cause volatility in our financial results. </w:t>
      </w:r>
      <w:r>
        <w:rPr>
          <w:rFonts w:ascii="Times New Roman" w:cs="Times New Roman" w:eastAsia="Times New Roman" w:hAnsi="Times New Roman"/>
          <w:sz w:val="14"/>
          <w:szCs w:val="14"/>
          <w:color w:val="auto"/>
        </w:rPr>
        <w:t>We determine and provide for income taxes based on the tax laws of each of the jurisdictions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in which we operate. Changes in the mix and level of earnings among jurisdictions could materially impact our effective tax rate in any given financial statement period. Our effective tax rate may also be affected by changes in tax laws and regulations at the federal, state, and local level, or by new interpretations of existing tax laws and regulations. We are also subject to audits by various taxing authorities. An adverse outcome from an audit could unfavorably impact our effective tax rate and increase our tax liabilities.</w:t>
      </w:r>
    </w:p>
    <w:p>
      <w:pPr>
        <w:spacing w:after="0" w:line="157" w:lineRule="exact"/>
        <w:rPr>
          <w:sz w:val="20"/>
          <w:szCs w:val="20"/>
          <w:color w:val="auto"/>
        </w:rPr>
      </w:pPr>
    </w:p>
    <w:p>
      <w:pPr>
        <w:ind w:right="40" w:firstLine="255"/>
        <w:spacing w:after="0" w:line="265" w:lineRule="auto"/>
        <w:rPr>
          <w:sz w:val="20"/>
          <w:szCs w:val="20"/>
          <w:color w:val="auto"/>
        </w:rPr>
      </w:pPr>
      <w:r>
        <w:rPr>
          <w:rFonts w:ascii="Times New Roman" w:cs="Times New Roman" w:eastAsia="Times New Roman" w:hAnsi="Times New Roman"/>
          <w:sz w:val="14"/>
          <w:szCs w:val="14"/>
          <w:i w:val="1"/>
          <w:iCs w:val="1"/>
          <w:color w:val="auto"/>
        </w:rPr>
        <w:t xml:space="preserve">We may incur impairment charges on goodwill or other intangible assets. </w:t>
      </w:r>
      <w:r>
        <w:rPr>
          <w:rFonts w:ascii="Times New Roman" w:cs="Times New Roman" w:eastAsia="Times New Roman" w:hAnsi="Times New Roman"/>
          <w:sz w:val="14"/>
          <w:szCs w:val="14"/>
          <w:color w:val="auto"/>
        </w:rPr>
        <w:t>We assess goodwill and other indefinite-lived intangible assets for impairment annually in order to determine whether</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their carrying value exceeds their fair value. Reporting units are tested more frequently if an event occurs or circumstances change between annual tests that indicate their fair value may be below their carrying value. If we determine the fair value of the goodwill or other indefinite-lived intangible assets is less than their carrying value as a result of an annual or interim test, an impairment loss is recognized.</w:t>
      </w:r>
    </w:p>
    <w:p>
      <w:pPr>
        <w:spacing w:after="0" w:line="161" w:lineRule="exact"/>
        <w:rPr>
          <w:sz w:val="20"/>
          <w:szCs w:val="20"/>
          <w:color w:val="auto"/>
        </w:rPr>
      </w:pPr>
    </w:p>
    <w:p>
      <w:pPr>
        <w:ind w:right="240" w:firstLine="255"/>
        <w:spacing w:after="0" w:line="270" w:lineRule="auto"/>
        <w:rPr>
          <w:sz w:val="20"/>
          <w:szCs w:val="20"/>
          <w:color w:val="auto"/>
        </w:rPr>
      </w:pPr>
      <w:r>
        <w:rPr>
          <w:rFonts w:ascii="Times New Roman" w:cs="Times New Roman" w:eastAsia="Times New Roman" w:hAnsi="Times New Roman"/>
          <w:sz w:val="14"/>
          <w:szCs w:val="14"/>
          <w:color w:val="auto"/>
        </w:rPr>
        <w:t>Our goodwill resides in multiple reporting units. The profitability of individual reporting units may suffer periodically due to downturns in customer demand, increased costs of providing our services, and the level of overall economic activity. Our customers may reduce capital expenditures and defer or cancel pending projects due to changes in technology, a slowing or uncertain economy, merger or acquisition activity, a decision to allocate resources to other areas of their</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5" w:right="339" w:bottom="1440" w:gutter="0" w:footer="0" w:header="0"/>
        </w:sectPr>
      </w:pPr>
    </w:p>
    <w:bookmarkStart w:id="13" w:name="page14"/>
    <w:bookmarkEnd w:id="13"/>
    <w:p>
      <w:pPr>
        <w:ind w:left="2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44" w:lineRule="exact"/>
        <w:rPr>
          <w:sz w:val="20"/>
          <w:szCs w:val="20"/>
          <w:color w:val="auto"/>
        </w:rPr>
      </w:pPr>
    </w:p>
    <w:p>
      <w:pPr>
        <w:ind w:right="20"/>
        <w:spacing w:after="0" w:line="259" w:lineRule="auto"/>
        <w:rPr>
          <w:sz w:val="20"/>
          <w:szCs w:val="20"/>
          <w:color w:val="auto"/>
        </w:rPr>
      </w:pPr>
      <w:r>
        <w:rPr>
          <w:rFonts w:ascii="Times New Roman" w:cs="Times New Roman" w:eastAsia="Times New Roman" w:hAnsi="Times New Roman"/>
          <w:sz w:val="14"/>
          <w:szCs w:val="14"/>
          <w:color w:val="auto"/>
        </w:rPr>
        <w:t>business, or other reasons. The profitability of reporting units may also suffer if actual costs of providing our services exceed our estimated costs established when we enter into contracts. Additionally, adverse conditions in the economy and future volatility in the equity and credit markets could impact the valuation of our reporting units. The cyclical nature of our business, the high level of competition existing within our industry, and the concentration of our revenues from a small number of customers may also cause results to vary. The factors identified above may affect individual reporting units disproportionately, relative to the Company as a whole. As a result, the performance of one or more of the reporting units could decline, resulting in an impairment of goodwill or intangible assets. In addition, adverse changes to the key valuation assumptions contributing to the fair value of our reporting units could result in an impairment of goodwill or intangible assets. A write-down of goodwill or intangible assets as a result of an impairment could adversely affect our results of operations.</w:t>
      </w:r>
    </w:p>
    <w:p>
      <w:pPr>
        <w:spacing w:after="0" w:line="165" w:lineRule="exact"/>
        <w:rPr>
          <w:sz w:val="20"/>
          <w:szCs w:val="20"/>
          <w:color w:val="auto"/>
        </w:rPr>
      </w:pPr>
    </w:p>
    <w:p>
      <w:pPr>
        <w:ind w:right="140" w:firstLine="255"/>
        <w:spacing w:after="0" w:line="274" w:lineRule="auto"/>
        <w:rPr>
          <w:sz w:val="20"/>
          <w:szCs w:val="20"/>
          <w:color w:val="auto"/>
        </w:rPr>
      </w:pPr>
      <w:r>
        <w:rPr>
          <w:rFonts w:ascii="Times New Roman" w:cs="Times New Roman" w:eastAsia="Times New Roman" w:hAnsi="Times New Roman"/>
          <w:sz w:val="14"/>
          <w:szCs w:val="14"/>
          <w:i w:val="1"/>
          <w:iCs w:val="1"/>
          <w:color w:val="auto"/>
        </w:rPr>
        <w:t xml:space="preserve">The market price of our common stock has been, and may continue to be, highly volatile. </w:t>
      </w:r>
      <w:r>
        <w:rPr>
          <w:rFonts w:ascii="Times New Roman" w:cs="Times New Roman" w:eastAsia="Times New Roman" w:hAnsi="Times New Roman"/>
          <w:sz w:val="14"/>
          <w:szCs w:val="14"/>
          <w:color w:val="auto"/>
        </w:rPr>
        <w:t>During fiscal 2025, our common stock fluctuated from a low of $111.70 per share to a high of $202.82</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per share. We may continue to experience significant volatility in the market price of our common stock due to numerous factors, including, but not limited to:</w:t>
      </w:r>
    </w:p>
    <w:p>
      <w:pPr>
        <w:spacing w:after="0" w:line="154" w:lineRule="exact"/>
        <w:rPr>
          <w:sz w:val="20"/>
          <w:szCs w:val="20"/>
          <w:color w:val="auto"/>
        </w:rPr>
      </w:pPr>
    </w:p>
    <w:p>
      <w:pPr>
        <w:ind w:left="520" w:hanging="260"/>
        <w:spacing w:after="0"/>
        <w:tabs>
          <w:tab w:leader="none" w:pos="5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events impacting us, or our competitors, with respect to significant contracts, acquisitions or dispositions, fluctuations in operating results, or change to capital structure;</w:t>
      </w:r>
    </w:p>
    <w:p>
      <w:pPr>
        <w:spacing w:after="0" w:line="199"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announcements by our customers regarding their capital spending and start-up, deferral or cancellation of projects, or their mergers and acquisitions activities;</w:t>
      </w:r>
    </w:p>
    <w:p>
      <w:pPr>
        <w:spacing w:after="0" w:line="199" w:lineRule="exact"/>
        <w:rPr>
          <w:rFonts w:ascii="Times New Roman" w:cs="Times New Roman" w:eastAsia="Times New Roman" w:hAnsi="Times New Roman"/>
          <w:sz w:val="14"/>
          <w:szCs w:val="14"/>
          <w:color w:val="auto"/>
        </w:rPr>
      </w:pPr>
    </w:p>
    <w:p>
      <w:pPr>
        <w:ind w:left="520" w:hanging="229"/>
        <w:spacing w:after="0"/>
        <w:tabs>
          <w:tab w:leader="none" w:pos="520" w:val="left"/>
        </w:tabs>
        <w:numPr>
          <w:ilvl w:val="1"/>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commercialization of new technologies impacting the services that we provide to our customers;</w:t>
      </w:r>
    </w:p>
    <w:p>
      <w:pPr>
        <w:spacing w:after="0" w:line="199" w:lineRule="exact"/>
        <w:rPr>
          <w:rFonts w:ascii="Times New Roman" w:cs="Times New Roman" w:eastAsia="Times New Roman" w:hAnsi="Times New Roman"/>
          <w:sz w:val="14"/>
          <w:szCs w:val="14"/>
          <w:color w:val="auto"/>
        </w:rPr>
      </w:pPr>
    </w:p>
    <w:p>
      <w:pPr>
        <w:ind w:left="520" w:right="120" w:hanging="260"/>
        <w:spacing w:after="0" w:line="287" w:lineRule="auto"/>
        <w:tabs>
          <w:tab w:leader="none" w:pos="516"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regulatory and compliance obligations associated with government funding provided to our customers in connection with the work we perform, other regulatory actions, and changes in tax laws;</w:t>
      </w:r>
    </w:p>
    <w:p>
      <w:pPr>
        <w:spacing w:after="0" w:line="145" w:lineRule="exact"/>
        <w:rPr>
          <w:rFonts w:ascii="Times New Roman" w:cs="Times New Roman" w:eastAsia="Times New Roman" w:hAnsi="Times New Roman"/>
          <w:sz w:val="14"/>
          <w:szCs w:val="14"/>
          <w:color w:val="auto"/>
        </w:rPr>
      </w:pPr>
    </w:p>
    <w:p>
      <w:pPr>
        <w:ind w:left="520" w:hanging="229"/>
        <w:spacing w:after="0"/>
        <w:tabs>
          <w:tab w:leader="none" w:pos="520" w:val="left"/>
        </w:tabs>
        <w:numPr>
          <w:ilvl w:val="1"/>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recommendations or earnings estimates by securities analysts; and</w:t>
      </w:r>
    </w:p>
    <w:p>
      <w:pPr>
        <w:spacing w:after="0" w:line="199" w:lineRule="exact"/>
        <w:rPr>
          <w:rFonts w:ascii="Times New Roman" w:cs="Times New Roman" w:eastAsia="Times New Roman" w:hAnsi="Times New Roman"/>
          <w:sz w:val="14"/>
          <w:szCs w:val="14"/>
          <w:color w:val="auto"/>
        </w:rPr>
      </w:pPr>
    </w:p>
    <w:p>
      <w:pPr>
        <w:ind w:left="520" w:hanging="229"/>
        <w:spacing w:after="0"/>
        <w:tabs>
          <w:tab w:leader="none" w:pos="520" w:val="left"/>
        </w:tabs>
        <w:numPr>
          <w:ilvl w:val="1"/>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impact of economic conditions on the credit and stock markets and on our customers’ demand for our services.</w:t>
      </w:r>
    </w:p>
    <w:p>
      <w:pPr>
        <w:spacing w:after="0" w:line="200" w:lineRule="exact"/>
        <w:rPr>
          <w:sz w:val="20"/>
          <w:szCs w:val="20"/>
          <w:color w:val="auto"/>
        </w:rPr>
      </w:pPr>
    </w:p>
    <w:p>
      <w:pPr>
        <w:ind w:right="80" w:firstLine="255"/>
        <w:spacing w:after="0" w:line="287" w:lineRule="auto"/>
        <w:rPr>
          <w:sz w:val="20"/>
          <w:szCs w:val="20"/>
          <w:color w:val="auto"/>
        </w:rPr>
      </w:pPr>
      <w:r>
        <w:rPr>
          <w:rFonts w:ascii="Times New Roman" w:cs="Times New Roman" w:eastAsia="Times New Roman" w:hAnsi="Times New Roman"/>
          <w:sz w:val="14"/>
          <w:szCs w:val="14"/>
          <w:color w:val="auto"/>
        </w:rPr>
        <w:t>In addition, other factors, such as market disruptions, industry outlook, general economic conditions, widespread public health epidemics and political events, could decrease the market price of our common stock and, as a result, investors could lose some or all of their investments.</w:t>
      </w:r>
    </w:p>
    <w:p>
      <w:pPr>
        <w:spacing w:after="0" w:line="14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color w:val="auto"/>
        </w:rPr>
        <w:t>Risks Related to the Operation of Our Business</w:t>
      </w:r>
    </w:p>
    <w:p>
      <w:pPr>
        <w:spacing w:after="0" w:line="200" w:lineRule="exact"/>
        <w:rPr>
          <w:sz w:val="20"/>
          <w:szCs w:val="20"/>
          <w:color w:val="auto"/>
        </w:rPr>
      </w:pPr>
    </w:p>
    <w:p>
      <w:pPr>
        <w:ind w:firstLine="255"/>
        <w:spacing w:after="0" w:line="257" w:lineRule="auto"/>
        <w:rPr>
          <w:sz w:val="20"/>
          <w:szCs w:val="20"/>
          <w:color w:val="auto"/>
        </w:rPr>
      </w:pPr>
      <w:r>
        <w:rPr>
          <w:rFonts w:ascii="Times New Roman" w:cs="Times New Roman" w:eastAsia="Times New Roman" w:hAnsi="Times New Roman"/>
          <w:sz w:val="14"/>
          <w:szCs w:val="14"/>
          <w:i w:val="1"/>
          <w:iCs w:val="1"/>
          <w:color w:val="auto"/>
        </w:rPr>
        <w:t xml:space="preserve">Our operations involve activities that are inherently dangerous. If our activities result in, or if it is alleged that our activities have resulted in, damage or destruction to the property of others, or in injury or death to others, we could be exposed to significant financial losses, reputational harm and civil and criminal liabilities. </w:t>
      </w:r>
      <w:r>
        <w:rPr>
          <w:rFonts w:ascii="Times New Roman" w:cs="Times New Roman" w:eastAsia="Times New Roman" w:hAnsi="Times New Roman"/>
          <w:sz w:val="14"/>
          <w:szCs w:val="14"/>
          <w:color w:val="auto"/>
        </w:rPr>
        <w:t>Our operations involve dangerous activities such as underground</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drilling and the use of mechanized equipment. These activities and their effects could result in, or be alleged to have resulted in, damage to the real and personal property of others, and cause personal injury or death to third parties or our employees. In many instances, our activities are performed in close proximity to other utilities which, if damaged, may result in the occurrence of catastrophic events. Additionally, we may perform our activities in environmentally sensitive locations or in locations that may be susceptible to catastrophic events, including wildfires. If our activities cause or contribute to, or are alleged to have caused or contributed to, a catastrophic event, we could be exposed to severe financial losses and reputational harm. We procure insurance coverage to cover many of these risks; however, there can be no assurance that coverage will continue to be available to us on commercially reasonable terms, or at all, or that our coverage will be adequate in scope or amount to address financial losses from these risks. As a result, we could incur significant costs to defend any such allegations, defend and indemnify our customers, repair and replace assets, or to compensate third parties; reputational harm could result in the loss of future revenue-generating opportunities; or we may be subject to civil and, in certain situations, criminal liabilities.</w:t>
      </w:r>
    </w:p>
    <w:p>
      <w:pPr>
        <w:spacing w:after="0" w:line="167" w:lineRule="exact"/>
        <w:rPr>
          <w:sz w:val="20"/>
          <w:szCs w:val="20"/>
          <w:color w:val="auto"/>
        </w:rPr>
      </w:pPr>
    </w:p>
    <w:p>
      <w:pPr>
        <w:ind w:right="120" w:firstLine="255"/>
        <w:spacing w:after="0" w:line="271" w:lineRule="auto"/>
        <w:rPr>
          <w:sz w:val="20"/>
          <w:szCs w:val="20"/>
          <w:color w:val="auto"/>
        </w:rPr>
      </w:pPr>
      <w:r>
        <w:rPr>
          <w:rFonts w:ascii="Times New Roman" w:cs="Times New Roman" w:eastAsia="Times New Roman" w:hAnsi="Times New Roman"/>
          <w:sz w:val="14"/>
          <w:szCs w:val="14"/>
          <w:i w:val="1"/>
          <w:iCs w:val="1"/>
          <w:color w:val="auto"/>
        </w:rPr>
        <w:t xml:space="preserve">Changes in the cost or availability of materials may adversely affect our revenues and results of operations. </w:t>
      </w:r>
      <w:r>
        <w:rPr>
          <w:rFonts w:ascii="Times New Roman" w:cs="Times New Roman" w:eastAsia="Times New Roman" w:hAnsi="Times New Roman"/>
          <w:sz w:val="14"/>
          <w:szCs w:val="14"/>
          <w:color w:val="auto"/>
        </w:rPr>
        <w:t>For a majority of the contract services we perform, customers provide the necessary</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materials. Under other contracts, we supply part, or all, of the necessary materials. If we, or our customers, are unable to procure the materials necessary to the contract services we perform, or if those materials are only available at prices that make our work unprofitable, our revenues and results of operations could be adversely affected.</w:t>
      </w:r>
    </w:p>
    <w:p>
      <w:pPr>
        <w:spacing w:after="0" w:line="200" w:lineRule="exact"/>
        <w:rPr>
          <w:sz w:val="20"/>
          <w:szCs w:val="20"/>
          <w:color w:val="auto"/>
        </w:rPr>
      </w:pP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5" w:right="339" w:bottom="1440" w:gutter="0" w:footer="0" w:header="0"/>
        </w:sectPr>
      </w:pPr>
    </w:p>
    <w:bookmarkStart w:id="14" w:name="page15"/>
    <w:bookmarkEnd w:id="14"/>
    <w:p>
      <w:pPr>
        <w:ind w:left="2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42" w:lineRule="exact"/>
        <w:rPr>
          <w:sz w:val="20"/>
          <w:szCs w:val="20"/>
          <w:color w:val="auto"/>
        </w:rPr>
      </w:pPr>
    </w:p>
    <w:p>
      <w:pPr>
        <w:ind w:firstLine="255"/>
        <w:spacing w:after="0" w:line="257" w:lineRule="auto"/>
        <w:rPr>
          <w:sz w:val="20"/>
          <w:szCs w:val="20"/>
          <w:color w:val="auto"/>
        </w:rPr>
      </w:pPr>
      <w:r>
        <w:rPr>
          <w:rFonts w:ascii="Times New Roman" w:cs="Times New Roman" w:eastAsia="Times New Roman" w:hAnsi="Times New Roman"/>
          <w:sz w:val="14"/>
          <w:szCs w:val="14"/>
          <w:i w:val="1"/>
          <w:iCs w:val="1"/>
          <w:color w:val="auto"/>
        </w:rPr>
        <w:t>A failure, outage, or cybersecurity breach of our technology systems or those of third-party providers may adversely affect our operations and financial results</w:t>
      </w:r>
      <w:r>
        <w:rPr>
          <w:rFonts w:ascii="Times New Roman" w:cs="Times New Roman" w:eastAsia="Times New Roman" w:hAnsi="Times New Roman"/>
          <w:sz w:val="14"/>
          <w:szCs w:val="14"/>
          <w:color w:val="auto"/>
        </w:rPr>
        <w:t>. We are dependent on technology</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to operate our business, to engage with our customers and other third parties, and to increase the efficiency and effectiveness of the services we offer our customers. We use both our own information technology systems and the information technology systems and expertise of third-party service providers to manage our operations, process data for our financial reporting, and perform other business processes. We also use information technology systems to record, transmit, store, and protect sensitive data, including the sensitive data of our employees and customers. A cybersecurity or ransomware attack, computer viruses, security breaches, or vandalism on these information technology systems, which we have experienced in the past, may result in our inability to access and utilize these systems, create or contribute to significant financial losses, and may negatively impact our reputation. The systems of our customers that we utilize to transmit and receive information could also fail or be subject to a cybersecurity attack. Any of these occurrences could disrupt our business or the delivery of services to our customers, result in potential liabilities, the termination of contracts, divert the attention of management from effectively operating our business, cause significant reputational damage, or otherwise have an adverse effect on our financial results. We may also need to expend significant additional resources to protect against cybersecurity threats or to address actual breaches or to redress problems caused by cybersecurity breaches.</w:t>
      </w:r>
    </w:p>
    <w:p>
      <w:pPr>
        <w:spacing w:after="0" w:line="157" w:lineRule="exact"/>
        <w:rPr>
          <w:sz w:val="20"/>
          <w:szCs w:val="20"/>
          <w:color w:val="auto"/>
        </w:rPr>
      </w:pPr>
    </w:p>
    <w:p>
      <w:pPr>
        <w:ind w:right="100" w:firstLine="255"/>
        <w:spacing w:after="0" w:line="243" w:lineRule="auto"/>
        <w:rPr>
          <w:sz w:val="20"/>
          <w:szCs w:val="20"/>
          <w:color w:val="auto"/>
        </w:rPr>
      </w:pPr>
      <w:r>
        <w:rPr>
          <w:rFonts w:ascii="Times New Roman" w:cs="Times New Roman" w:eastAsia="Times New Roman" w:hAnsi="Times New Roman"/>
          <w:sz w:val="14"/>
          <w:szCs w:val="14"/>
          <w:i w:val="1"/>
          <w:iCs w:val="1"/>
          <w:color w:val="auto"/>
        </w:rPr>
        <w:t xml:space="preserve">A failure in our information technology systems could negatively impact our business. </w:t>
      </w:r>
      <w:r>
        <w:rPr>
          <w:rFonts w:ascii="Times New Roman" w:cs="Times New Roman" w:eastAsia="Times New Roman" w:hAnsi="Times New Roman"/>
          <w:sz w:val="14"/>
          <w:szCs w:val="14"/>
          <w:color w:val="auto"/>
        </w:rPr>
        <w:t>We rely on information technology systems to record and process transactions, manage our business, and</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maintain the financial accuracy of our records. Our information technology systems may be adversely impacted by various factors, including power outages, software and hardware failures, connectivity outages, catastrophic events, and human error. Interruptions to our information systems could disrupt our business, delay our financial reporting, and could result in the loss of revenue, and cause us to incur additional expense. We are in the process of implementing an Enterprise Resource Planning (ERP) system to upgrade and standardize our information technology systems. This implementation is expected to occur in phases over the next several years. Any delays or failures to achieve our implementation goals may adversely impact our financial results. In addition, the failure to complete the implementation on a timely basis, or to adequately address the necessary readiness and training needs of our personnel, could lead to business disruption, negatively affect our customer relationships, and restrict our ability to execute our business strategy, which could adversely affect our business.</w:t>
      </w:r>
    </w:p>
    <w:p>
      <w:pPr>
        <w:spacing w:after="0" w:line="164" w:lineRule="exact"/>
        <w:rPr>
          <w:sz w:val="20"/>
          <w:szCs w:val="20"/>
          <w:color w:val="auto"/>
        </w:rPr>
      </w:pPr>
    </w:p>
    <w:p>
      <w:pPr>
        <w:jc w:val="both"/>
        <w:ind w:right="40" w:firstLine="255"/>
        <w:spacing w:after="0" w:line="259" w:lineRule="auto"/>
        <w:rPr>
          <w:sz w:val="20"/>
          <w:szCs w:val="20"/>
          <w:color w:val="auto"/>
        </w:rPr>
      </w:pPr>
      <w:r>
        <w:rPr>
          <w:rFonts w:ascii="Times New Roman" w:cs="Times New Roman" w:eastAsia="Times New Roman" w:hAnsi="Times New Roman"/>
          <w:sz w:val="14"/>
          <w:szCs w:val="14"/>
          <w:i w:val="1"/>
          <w:iCs w:val="1"/>
          <w:color w:val="auto"/>
        </w:rPr>
        <w:t xml:space="preserve">The loss or long-term incapacitation of one or more of our executive officers or other key employees could adversely affect our business. </w:t>
      </w:r>
      <w:r>
        <w:rPr>
          <w:rFonts w:ascii="Times New Roman" w:cs="Times New Roman" w:eastAsia="Times New Roman" w:hAnsi="Times New Roman"/>
          <w:sz w:val="14"/>
          <w:szCs w:val="14"/>
          <w:color w:val="auto"/>
        </w:rPr>
        <w:t>We depend on the continued and ongoing services of our</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executive officers and other key employees, including the senior management of our subsidiaries. In many instances, these employees have significant experience and expertise in our industry. These key employees often possess and maintain key relationships with our customers and subcontractors that would be difficult to replace. Competition for senior management personnel is intense and we cannot be certain that any of our executive officers or other key management personnel will remain employed by us or that they will otherwise be able to provide service to us for any length of time.</w:t>
      </w:r>
    </w:p>
    <w:p>
      <w:pPr>
        <w:ind w:right="220"/>
        <w:spacing w:after="0" w:line="257" w:lineRule="auto"/>
        <w:rPr>
          <w:sz w:val="20"/>
          <w:szCs w:val="20"/>
          <w:color w:val="auto"/>
        </w:rPr>
      </w:pPr>
      <w:r>
        <w:rPr>
          <w:rFonts w:ascii="Times New Roman" w:cs="Times New Roman" w:eastAsia="Times New Roman" w:hAnsi="Times New Roman"/>
          <w:sz w:val="14"/>
          <w:szCs w:val="14"/>
          <w:color w:val="auto"/>
        </w:rPr>
        <w:t>Additionally, we may not have adequate succession planning in place or the hiring, promotion or transition of an executive or key employee into a new role may not be successful and we may be unable to ensure that our key employees can be replaced if they are no longer employed by us. We do not carry “key-person” life or disability insurance on any of our employees. The loss or long-term incapacitation of any one of our executive officers or other key employees could negatively affect our customer relationships or the ability to execute our business strategy, which could adversely affect our business.</w:t>
      </w:r>
    </w:p>
    <w:p>
      <w:pPr>
        <w:spacing w:after="0" w:line="164" w:lineRule="exact"/>
        <w:rPr>
          <w:sz w:val="20"/>
          <w:szCs w:val="20"/>
          <w:color w:val="auto"/>
        </w:rPr>
      </w:pPr>
    </w:p>
    <w:p>
      <w:pPr>
        <w:ind w:right="20" w:firstLine="255"/>
        <w:spacing w:after="0" w:line="257" w:lineRule="auto"/>
        <w:rPr>
          <w:sz w:val="20"/>
          <w:szCs w:val="20"/>
          <w:color w:val="auto"/>
        </w:rPr>
      </w:pPr>
      <w:r>
        <w:rPr>
          <w:rFonts w:ascii="Times New Roman" w:cs="Times New Roman" w:eastAsia="Times New Roman" w:hAnsi="Times New Roman"/>
          <w:sz w:val="14"/>
          <w:szCs w:val="14"/>
          <w:i w:val="1"/>
          <w:iCs w:val="1"/>
          <w:color w:val="auto"/>
        </w:rPr>
        <w:t xml:space="preserve">The preparation of our financial statements requires management to make certain estimates and assumptions that may differ from actual results. </w:t>
      </w:r>
      <w:r>
        <w:rPr>
          <w:rFonts w:ascii="Times New Roman" w:cs="Times New Roman" w:eastAsia="Times New Roman" w:hAnsi="Times New Roman"/>
          <w:sz w:val="14"/>
          <w:szCs w:val="14"/>
          <w:color w:val="auto"/>
        </w:rPr>
        <w:t>In preparing our consolidated financial</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statements in conformity with accounting principles generally accepted in the United States of America, a number of estimates and assumptions are made by management that affect the amounts reported in the financial statements. These estimates and assumptions must be made because certain information that is used in the preparation of our financial statements is either dependent on future events or cannot be calculated precisely from available data at the time that these estimates are made and, accordingly, requires the use of management’s judgment. Estimates and assumptions are primarily used in our assessment of the recognition of revenue under the cost-to-cost method of progress, job-specific costs, accrued insurance claims, the allowance for credit losses, accruals for contingencies, stock-based compensation expense for performance-based stock awards, the fair value of reporting units for the goodwill impairment analysis, the assessment of impairment of intangibles and other long-lived assets, the purchase price allocations of businesses acquired, and income taxes. When made, we believe such estimates and assumptions are fair when considered in conjunction with our consolidated financial position and results of operations taken as a whole. However, actual results could differ from those estimates and assumptions, and such differences may be material to our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5" w:name="page16"/>
    <w:bookmarkEnd w:id="15"/>
    <w:p>
      <w:pPr>
        <w:ind w:left="2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4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color w:val="auto"/>
        </w:rPr>
        <w:t>Risks Related to Laws and Regulations</w:t>
      </w:r>
    </w:p>
    <w:p>
      <w:pPr>
        <w:spacing w:after="0" w:line="200" w:lineRule="exact"/>
        <w:rPr>
          <w:sz w:val="20"/>
          <w:szCs w:val="20"/>
          <w:color w:val="auto"/>
        </w:rPr>
      </w:pPr>
    </w:p>
    <w:p>
      <w:pPr>
        <w:ind w:right="60" w:firstLine="255"/>
        <w:spacing w:after="0" w:line="262" w:lineRule="auto"/>
        <w:rPr>
          <w:sz w:val="20"/>
          <w:szCs w:val="20"/>
          <w:color w:val="auto"/>
        </w:rPr>
      </w:pPr>
      <w:r>
        <w:rPr>
          <w:rFonts w:ascii="Times New Roman" w:cs="Times New Roman" w:eastAsia="Times New Roman" w:hAnsi="Times New Roman"/>
          <w:sz w:val="14"/>
          <w:szCs w:val="14"/>
          <w:i w:val="1"/>
          <w:iCs w:val="1"/>
          <w:color w:val="auto"/>
        </w:rPr>
        <w:t xml:space="preserve">Our failure to comply with occupational health and workplace safety requirements could result in significant liabilities or enforcement actions and adversely impact our ability to perform services for our customers. </w:t>
      </w:r>
      <w:r>
        <w:rPr>
          <w:rFonts w:ascii="Times New Roman" w:cs="Times New Roman" w:eastAsia="Times New Roman" w:hAnsi="Times New Roman"/>
          <w:sz w:val="14"/>
          <w:szCs w:val="14"/>
          <w:color w:val="auto"/>
        </w:rPr>
        <w:t>Our operations are subject to strict laws and regulations governing workplace safety. Our workers frequently operate heavy machinery, work on and in the vicinity of</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electrical and gas lines, perform their work at heights, and engage in other potentially dangerous activities which could subject them and others to injury or death. If, in the course of our operations, it is determined we have violated safety regulations, our operations may be disrupted and we may be subject to penalties, fines or, in extreme cases, criminal sanctions. In addition, if our safety performance were to deteriorate, customers could decide to cancel our contracts or not award us future business. These factors could adversely affect our results of operations and financial position.</w:t>
      </w:r>
    </w:p>
    <w:p>
      <w:pPr>
        <w:spacing w:after="0" w:line="161" w:lineRule="exact"/>
        <w:rPr>
          <w:sz w:val="20"/>
          <w:szCs w:val="20"/>
          <w:color w:val="auto"/>
        </w:rPr>
      </w:pPr>
    </w:p>
    <w:p>
      <w:pPr>
        <w:ind w:right="40" w:firstLine="255"/>
        <w:spacing w:after="0" w:line="260" w:lineRule="auto"/>
        <w:rPr>
          <w:sz w:val="20"/>
          <w:szCs w:val="20"/>
          <w:color w:val="auto"/>
        </w:rPr>
      </w:pPr>
      <w:r>
        <w:rPr>
          <w:rFonts w:ascii="Times New Roman" w:cs="Times New Roman" w:eastAsia="Times New Roman" w:hAnsi="Times New Roman"/>
          <w:sz w:val="14"/>
          <w:szCs w:val="14"/>
          <w:i w:val="1"/>
          <w:iCs w:val="1"/>
          <w:color w:val="auto"/>
        </w:rPr>
        <w:t xml:space="preserve">Our failure to comply with worker eligibility and immigration laws or changes to such laws could result in significant liabilities and harm our reputation with our customers, as well as cause disruption to our operations. </w:t>
      </w:r>
      <w:r>
        <w:rPr>
          <w:rFonts w:ascii="Times New Roman" w:cs="Times New Roman" w:eastAsia="Times New Roman" w:hAnsi="Times New Roman"/>
          <w:sz w:val="14"/>
          <w:szCs w:val="14"/>
          <w:color w:val="auto"/>
        </w:rPr>
        <w:t>If we fail to comply with these laws, which continue to evolve and are subject to additional executive and legislative actions or legal enforcement, our operations may be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disrupted, and we may be subject to fines or, in extreme cases, criminal sanctions. In addition, many of our customer contracts specifically require compliance with worker eligibility and immigration laws and in some cases our customers audit compliance with these laws. Further, several of our customers require that we ensure our subcontractors comply with these laws with respect to the workers that perform services for them. A failure to comply with these laws or to quickly adapt to regulatory changes could damage our reputation and may result in the cancellation of our contracts by our customers, or a decision by our customers not to award us future business. These factors could adversely affect our results of operations and financial position.</w:t>
      </w:r>
    </w:p>
    <w:p>
      <w:pPr>
        <w:spacing w:after="0" w:line="163" w:lineRule="exact"/>
        <w:rPr>
          <w:sz w:val="20"/>
          <w:szCs w:val="20"/>
          <w:color w:val="auto"/>
        </w:rPr>
      </w:pPr>
    </w:p>
    <w:p>
      <w:pPr>
        <w:ind w:right="40" w:firstLine="255"/>
        <w:spacing w:after="0" w:line="262" w:lineRule="auto"/>
        <w:rPr>
          <w:sz w:val="20"/>
          <w:szCs w:val="20"/>
          <w:color w:val="auto"/>
        </w:rPr>
      </w:pPr>
      <w:r>
        <w:rPr>
          <w:rFonts w:ascii="Times New Roman" w:cs="Times New Roman" w:eastAsia="Times New Roman" w:hAnsi="Times New Roman"/>
          <w:sz w:val="14"/>
          <w:szCs w:val="14"/>
          <w:i w:val="1"/>
          <w:iCs w:val="1"/>
          <w:color w:val="auto"/>
        </w:rPr>
        <w:t xml:space="preserve">Our failure to comply with various laws and regulations related to the construction and operation of utilities, contractor licensing and the operation of our fleet of commercial motor vehicles could result in significant liabilities. </w:t>
      </w:r>
      <w:r>
        <w:rPr>
          <w:rFonts w:ascii="Times New Roman" w:cs="Times New Roman" w:eastAsia="Times New Roman" w:hAnsi="Times New Roman"/>
          <w:sz w:val="14"/>
          <w:szCs w:val="14"/>
          <w:color w:val="auto"/>
        </w:rPr>
        <w:t>We are subject to a number of state and federal laws and regulations, including those related to the construction and operation of utilities, contractor licensing and</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the operation of our fleet of commercial motor vehicles. If we are not in compliance with these laws and regulations, we may be unable to perform services for our customers and may also be subject to fines, penalties, and the suspension or revocation of our licenses. Our failure to comply with these laws and regulations may affect our ability to operate and could require us to incur significant costs that adversely affect our results of operations.</w:t>
      </w:r>
    </w:p>
    <w:p>
      <w:pPr>
        <w:spacing w:after="0" w:line="161" w:lineRule="exact"/>
        <w:rPr>
          <w:sz w:val="20"/>
          <w:szCs w:val="20"/>
          <w:color w:val="auto"/>
        </w:rPr>
      </w:pPr>
    </w:p>
    <w:p>
      <w:pPr>
        <w:ind w:right="160" w:firstLine="255"/>
        <w:spacing w:after="0" w:line="259" w:lineRule="auto"/>
        <w:rPr>
          <w:sz w:val="20"/>
          <w:szCs w:val="20"/>
          <w:color w:val="auto"/>
        </w:rPr>
      </w:pPr>
      <w:r>
        <w:rPr>
          <w:rFonts w:ascii="Times New Roman" w:cs="Times New Roman" w:eastAsia="Times New Roman" w:hAnsi="Times New Roman"/>
          <w:sz w:val="14"/>
          <w:szCs w:val="14"/>
          <w:i w:val="1"/>
          <w:iCs w:val="1"/>
          <w:color w:val="auto"/>
        </w:rPr>
        <w:t xml:space="preserve">Our failure to comply with environmental laws could result in significant liabilities. </w:t>
      </w:r>
      <w:r>
        <w:rPr>
          <w:rFonts w:ascii="Times New Roman" w:cs="Times New Roman" w:eastAsia="Times New Roman" w:hAnsi="Times New Roman"/>
          <w:sz w:val="14"/>
          <w:szCs w:val="14"/>
          <w:color w:val="auto"/>
        </w:rPr>
        <w:t>A significant portion of the work we perform is associated with the underground networks of our customers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and we often operate in close proximity to pipelines, sewer lines, or underground storage tanks that may contain hazardous substances. We could be subject to liabilities in the event that we fail to comply with environmental laws or regulations or if we cause or are responsible for the release of hazardous substances or other environmental damages. These liabilities could result in significant costs including remediation costs, fines, third-party claims for property damage, or personal injury, and, in extreme cases, criminal sanctions. These costs, as well as any direct impact to ongoing operations, could adversely affect our results of operations and cash flows. In addition, new laws and regulations, altered enforcement of existing laws and regulations, the discovery of previously unknown contamination or leaks, or the imposition of new remediation requirements could require us to incur significant costs or create new or increased liabilities that could adversely affect our results of operations and financial position.</w:t>
      </w:r>
    </w:p>
    <w:p>
      <w:pPr>
        <w:spacing w:after="0" w:line="163" w:lineRule="exact"/>
        <w:rPr>
          <w:sz w:val="20"/>
          <w:szCs w:val="20"/>
          <w:color w:val="auto"/>
        </w:rPr>
      </w:pPr>
    </w:p>
    <w:p>
      <w:pPr>
        <w:ind w:firstLine="255"/>
        <w:spacing w:after="0" w:line="257" w:lineRule="auto"/>
        <w:rPr>
          <w:sz w:val="20"/>
          <w:szCs w:val="20"/>
          <w:color w:val="auto"/>
        </w:rPr>
      </w:pPr>
      <w:r>
        <w:rPr>
          <w:rFonts w:ascii="Times New Roman" w:cs="Times New Roman" w:eastAsia="Times New Roman" w:hAnsi="Times New Roman"/>
          <w:sz w:val="14"/>
          <w:szCs w:val="14"/>
          <w:i w:val="1"/>
          <w:iCs w:val="1"/>
          <w:color w:val="auto"/>
        </w:rPr>
        <w:t xml:space="preserve">We retain the risk of loss for the occurrence of certain liabilities. </w:t>
      </w:r>
      <w:r>
        <w:rPr>
          <w:rFonts w:ascii="Times New Roman" w:cs="Times New Roman" w:eastAsia="Times New Roman" w:hAnsi="Times New Roman"/>
          <w:sz w:val="14"/>
          <w:szCs w:val="14"/>
          <w:color w:val="auto"/>
        </w:rPr>
        <w:t>We retain the risk of loss, up to certain limits in our insurance program, for matters related to automobile liability, general</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 xml:space="preserve">liability (including damages associated with underground facility locating services), environmental liability, workers’ compensation, and employee group health. We are effectively self-insured for the majority of claims because most claims against us fall below the deductibles or retention levels of our insurance policies. Additionally, within our aggregate coverage limits and above our base layer of third-party insurance coverage, we have retained the risk of loss at certain levels of exposure and any claims that reach these retained levels of exposure are self-insured. We estimate and develop our reserve accruals for these claims, including losses incurred but not reported, based on facts, circumstances, and historical evidence. However, the estimate for accrued insurance claims remains subject to uncertainty as our ultimate losses may depend on factors not known at the time such estimates are made. These factors include the estimated development of claims, the payment pattern of claims incurred, changes in the medical condition of claimants, and other factors such as inflation, tort reform or other legislative changes, unfavorable jury decisions, and court interpretations. Should the cost of actual claims exceed what we have anticipated, our recorded reserves may not be sufficient, and we could incur additional charges that could adversely affect our results of operations and financial position. See Item 7, </w:t>
      </w:r>
      <w:r>
        <w:rPr>
          <w:rFonts w:ascii="Times New Roman" w:cs="Times New Roman" w:eastAsia="Times New Roman" w:hAnsi="Times New Roman"/>
          <w:sz w:val="14"/>
          <w:szCs w:val="14"/>
          <w:i w:val="1"/>
          <w:iCs w:val="1"/>
          <w:color w:val="auto"/>
        </w:rPr>
        <w:t>Management’s Discussion and Analysis of Financial Condition and Results of Operations – Critical Accounting Policies – Accrued Insurance Claims</w:t>
      </w:r>
      <w:r>
        <w:rPr>
          <w:rFonts w:ascii="Times New Roman" w:cs="Times New Roman" w:eastAsia="Times New Roman" w:hAnsi="Times New Roman"/>
          <w:sz w:val="14"/>
          <w:szCs w:val="14"/>
          <w:color w:val="auto"/>
        </w:rPr>
        <w:t xml:space="preserve">, and Note 11, </w:t>
      </w:r>
      <w:r>
        <w:rPr>
          <w:rFonts w:ascii="Times New Roman" w:cs="Times New Roman" w:eastAsia="Times New Roman" w:hAnsi="Times New Roman"/>
          <w:sz w:val="14"/>
          <w:szCs w:val="14"/>
          <w:i w:val="1"/>
          <w:iCs w:val="1"/>
          <w:color w:val="auto"/>
        </w:rPr>
        <w:t>Accrued Insurance Claims</w:t>
      </w:r>
      <w:r>
        <w:rPr>
          <w:rFonts w:ascii="Times New Roman" w:cs="Times New Roman" w:eastAsia="Times New Roman" w:hAnsi="Times New Roman"/>
          <w:sz w:val="14"/>
          <w:szCs w:val="14"/>
          <w:color w:val="auto"/>
        </w:rPr>
        <w:t>, in the Notes to the Consolidated Financial Statements in this Annual Report on Form 10-K.</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6" w:name="page17"/>
    <w:bookmarkEnd w:id="16"/>
    <w:p>
      <w:pPr>
        <w:ind w:left="2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42" w:lineRule="exact"/>
        <w:rPr>
          <w:sz w:val="20"/>
          <w:szCs w:val="20"/>
          <w:color w:val="auto"/>
        </w:rPr>
      </w:pPr>
    </w:p>
    <w:p>
      <w:pPr>
        <w:ind w:right="120" w:firstLine="255"/>
        <w:spacing w:after="0" w:line="259" w:lineRule="auto"/>
        <w:rPr>
          <w:sz w:val="20"/>
          <w:szCs w:val="20"/>
          <w:color w:val="auto"/>
        </w:rPr>
      </w:pPr>
      <w:r>
        <w:rPr>
          <w:rFonts w:ascii="Times New Roman" w:cs="Times New Roman" w:eastAsia="Times New Roman" w:hAnsi="Times New Roman"/>
          <w:sz w:val="14"/>
          <w:szCs w:val="14"/>
          <w:i w:val="1"/>
          <w:iCs w:val="1"/>
          <w:color w:val="auto"/>
        </w:rPr>
        <w:t xml:space="preserve">We may be subject to litigation, indemnity claims, and other disputes, which could result in significant liabilities and adversely impact our financial results. </w:t>
      </w:r>
      <w:r>
        <w:rPr>
          <w:rFonts w:ascii="Times New Roman" w:cs="Times New Roman" w:eastAsia="Times New Roman" w:hAnsi="Times New Roman"/>
          <w:sz w:val="14"/>
          <w:szCs w:val="14"/>
          <w:color w:val="auto"/>
        </w:rPr>
        <w:t>From time to time, we are subject to</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lawsuits, arbitration proceedings, and other claims brought or threatened against us by various parties, including our customers. These actions and proceedings may involve claims for, among other things, compensation for personal injury, workers’ compensation, wage and hour violations, employment discrimination, harassment, retaliation, and other employment-related damages, breach of contract, property damage, multiemployer pension plan withdrawal liabilities, liquidated damages, consequential damages, punitive damages, statutory damages, and civil penalties, other losses, or injunctive or declaratory relief. In addition, we may also be subject to class action lawsuits, including those alleging violations of the Fair Labor Standards Act, state and municipal wage and hour laws, and misclassification of independent contractors. We also indemnify our customers for claims arising out of or related to the services we provide and our actions or omissions under our contracts. In some instances, we may be allocated risk through our contract terms for the actions or omissions of our customers, subcontractors, or other third parties.</w:t>
      </w:r>
    </w:p>
    <w:p>
      <w:pPr>
        <w:spacing w:after="0" w:line="165" w:lineRule="exact"/>
        <w:rPr>
          <w:sz w:val="20"/>
          <w:szCs w:val="20"/>
          <w:color w:val="auto"/>
        </w:rPr>
      </w:pPr>
    </w:p>
    <w:p>
      <w:pPr>
        <w:ind w:right="40" w:firstLine="255"/>
        <w:spacing w:after="0" w:line="261" w:lineRule="auto"/>
        <w:rPr>
          <w:sz w:val="20"/>
          <w:szCs w:val="20"/>
          <w:color w:val="auto"/>
        </w:rPr>
      </w:pPr>
      <w:r>
        <w:rPr>
          <w:rFonts w:ascii="Times New Roman" w:cs="Times New Roman" w:eastAsia="Times New Roman" w:hAnsi="Times New Roman"/>
          <w:sz w:val="14"/>
          <w:szCs w:val="14"/>
          <w:color w:val="auto"/>
        </w:rPr>
        <w:t xml:space="preserve">Due to the inherent uncertainties of litigation and other dispute resolution proceedings, we cannot accurately predict the ultimate outcome of these matters. The outcome of litigation, particularly class action lawsuits, is difficult to assess or quantify. Class action lawsuits may seek recovery of very large or indeterminate amounts. Accordingly, the magnitude of the potential loss may remain unknown for substantial periods of time. These proceedings could result in substantial costs and may require us to devote substantial resources to our defense. The ultimate resolution of any litigation or proceeding through settlement, mediation, or a judgment could have a material impact on our reputation and adversely affect our results of operations and financial position. See Item 3. </w:t>
      </w:r>
      <w:r>
        <w:rPr>
          <w:rFonts w:ascii="Times New Roman" w:cs="Times New Roman" w:eastAsia="Times New Roman" w:hAnsi="Times New Roman"/>
          <w:sz w:val="14"/>
          <w:szCs w:val="14"/>
          <w:i w:val="1"/>
          <w:iCs w:val="1"/>
          <w:color w:val="auto"/>
        </w:rPr>
        <w:t>Legal</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Proceedings</w:t>
      </w:r>
      <w:r>
        <w:rPr>
          <w:rFonts w:ascii="Times New Roman" w:cs="Times New Roman" w:eastAsia="Times New Roman" w:hAnsi="Times New Roman"/>
          <w:sz w:val="14"/>
          <w:szCs w:val="14"/>
          <w:color w:val="auto"/>
        </w:rPr>
        <w:t>, and Note 22,</w:t>
      </w:r>
      <w:r>
        <w:rPr>
          <w:rFonts w:ascii="Times New Roman" w:cs="Times New Roman" w:eastAsia="Times New Roman" w:hAnsi="Times New Roman"/>
          <w:sz w:val="14"/>
          <w:szCs w:val="14"/>
          <w:i w:val="1"/>
          <w:iCs w:val="1"/>
          <w:color w:val="auto"/>
        </w:rPr>
        <w:t xml:space="preserve"> Commitments and Contingencies</w:t>
      </w:r>
      <w:r>
        <w:rPr>
          <w:rFonts w:ascii="Times New Roman" w:cs="Times New Roman" w:eastAsia="Times New Roman" w:hAnsi="Times New Roman"/>
          <w:sz w:val="14"/>
          <w:szCs w:val="14"/>
          <w:color w:val="auto"/>
        </w:rPr>
        <w:t>, in the Notes to the Consolidated Financial Statements in this Annual Report on Form 10-K.</w:t>
      </w:r>
    </w:p>
    <w:p>
      <w:pPr>
        <w:spacing w:after="0" w:line="162" w:lineRule="exact"/>
        <w:rPr>
          <w:sz w:val="20"/>
          <w:szCs w:val="20"/>
          <w:color w:val="auto"/>
        </w:rPr>
      </w:pPr>
    </w:p>
    <w:p>
      <w:pPr>
        <w:ind w:firstLine="255"/>
        <w:spacing w:after="0" w:line="260" w:lineRule="auto"/>
        <w:rPr>
          <w:sz w:val="20"/>
          <w:szCs w:val="20"/>
          <w:color w:val="auto"/>
        </w:rPr>
      </w:pPr>
      <w:r>
        <w:rPr>
          <w:rFonts w:ascii="Times New Roman" w:cs="Times New Roman" w:eastAsia="Times New Roman" w:hAnsi="Times New Roman"/>
          <w:sz w:val="14"/>
          <w:szCs w:val="14"/>
          <w:i w:val="1"/>
          <w:iCs w:val="1"/>
          <w:color w:val="auto"/>
        </w:rPr>
        <w:t xml:space="preserve">We may be subject to warranty claims, which could result in significant liabilities and adversely impact our financial results. </w:t>
      </w:r>
      <w:r>
        <w:rPr>
          <w:rFonts w:ascii="Times New Roman" w:cs="Times New Roman" w:eastAsia="Times New Roman" w:hAnsi="Times New Roman"/>
          <w:sz w:val="14"/>
          <w:szCs w:val="14"/>
          <w:color w:val="auto"/>
        </w:rPr>
        <w:t>We typically warrant the services we provide by guaranteeing the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work performed against defects in workmanship and materials or where our services are not provided in a manner consistent with applicable requirements. When these claims occur, we may be required to repair or replace our work without receiving any additional compensation and we may be liable to our customers for significant monetary claims. Our performance of warranty services requires us to allocate resources that otherwise might be engaged in the provision of services that generate revenue. In addition, our customers often have the right to repair or replace warrantied items using the services of another provider and to charge the cost of the repair or replacement to us. Costs incurred for warranty claims, or reductions to revenue-generating activities arising from the allocation of resources to resolve warranty claims, could adversely affect our results of operations and financial position.</w:t>
      </w:r>
    </w:p>
    <w:p>
      <w:pPr>
        <w:spacing w:after="0" w:line="163" w:lineRule="exact"/>
        <w:rPr>
          <w:sz w:val="20"/>
          <w:szCs w:val="20"/>
          <w:color w:val="auto"/>
        </w:rPr>
      </w:pPr>
    </w:p>
    <w:p>
      <w:pPr>
        <w:ind w:right="60" w:firstLine="255"/>
        <w:spacing w:after="0" w:line="257" w:lineRule="auto"/>
        <w:rPr>
          <w:sz w:val="20"/>
          <w:szCs w:val="20"/>
          <w:color w:val="auto"/>
        </w:rPr>
      </w:pPr>
      <w:r>
        <w:rPr>
          <w:rFonts w:ascii="Times New Roman" w:cs="Times New Roman" w:eastAsia="Times New Roman" w:hAnsi="Times New Roman"/>
          <w:sz w:val="14"/>
          <w:szCs w:val="14"/>
          <w:i w:val="1"/>
          <w:iCs w:val="1"/>
          <w:color w:val="auto"/>
        </w:rPr>
        <w:t>Our subsidiaries may participate in multiemployer pension plans from time to time under which we could incur significant liabilities</w:t>
      </w:r>
      <w:r>
        <w:rPr>
          <w:rFonts w:ascii="Times New Roman" w:cs="Times New Roman" w:eastAsia="Times New Roman" w:hAnsi="Times New Roman"/>
          <w:sz w:val="14"/>
          <w:szCs w:val="14"/>
          <w:color w:val="auto"/>
        </w:rPr>
        <w:t>. Pursuant to collective bargaining agreements, our</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subsidiaries may participate in various multiemployer pension plans from time to time that provide defined pension benefits to covered employees. Where applicable, we make periodic contributions to these plans to allow them to meet their pension benefit obligations to participants. Assets contributed by an employer to a multiemployer plan are not segregated into a separate account and are not restricted to providing benefits only to employees of that contributing employer. Under the Employee Retirement Income Security Act (“ERISA”), absent an applicable exemption, a contributing employer to an underfunded multiemployer plan is liable upon withdrawal from the plan for its proportionate share of the plan’s unfunded vested liability. Such underfunding may increase in the event other employers become insolvent or withdraw from the applicable plan or upon the inability or failure of withdrawing employers to pay their withdrawal liability. In addition, if any of the plans in which we participate become significantly underfunded, as defined by the Pension Protection Act of 2006, we may be required to make additional cash contributions in the form of higher contribution rates or surcharges. This has occurred and could occur again in the future because of a shrinking contribution base as a result of insolvency or withdrawal of other companies that currently contribute to these plans, inability or failure of withdrawing companies to pay their withdrawal liability, lower than expected returns on plan assets, or other funding deficiencies. Requirements to pay increased contributions or a withdrawal liability could adversely affect our results of operations, financial position, and cash flows.</w:t>
      </w:r>
    </w:p>
    <w:p>
      <w:pPr>
        <w:spacing w:after="0" w:line="165" w:lineRule="exact"/>
        <w:rPr>
          <w:sz w:val="20"/>
          <w:szCs w:val="20"/>
          <w:color w:val="auto"/>
        </w:rPr>
      </w:pPr>
    </w:p>
    <w:p>
      <w:pPr>
        <w:ind w:right="20" w:firstLine="255"/>
        <w:spacing w:after="0" w:line="260" w:lineRule="auto"/>
        <w:rPr>
          <w:sz w:val="20"/>
          <w:szCs w:val="20"/>
          <w:color w:val="auto"/>
        </w:rPr>
      </w:pPr>
      <w:r>
        <w:rPr>
          <w:rFonts w:ascii="Times New Roman" w:cs="Times New Roman" w:eastAsia="Times New Roman" w:hAnsi="Times New Roman"/>
          <w:sz w:val="14"/>
          <w:szCs w:val="14"/>
          <w:i w:val="1"/>
          <w:iCs w:val="1"/>
          <w:color w:val="auto"/>
        </w:rPr>
        <w:t xml:space="preserve">Anti-takeover provisions of Florida law and provisions in our articles of incorporation and by-laws could make it more difficult to effect an acquisition of our Company or a change in our control. </w:t>
      </w:r>
      <w:r>
        <w:rPr>
          <w:rFonts w:ascii="Times New Roman" w:cs="Times New Roman" w:eastAsia="Times New Roman" w:hAnsi="Times New Roman"/>
          <w:sz w:val="14"/>
          <w:szCs w:val="14"/>
          <w:color w:val="auto"/>
        </w:rPr>
        <w:t>We are subject to certain anti-takeover provisions of the Florida Business Corporation Act. These anti-takeover provisions could discourage or prevent a change in control. In addition, certain</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provisions of our articles of incorporation and by-laws could delay or prevent an acquisition or change in control and the replacement of our incumbent directors and management. For example, our board of directors is divided into three classes. At any annual meeting of our shareholders, our shareholders have the right to elect only approximately one-third of the directors on our board of directors. In addition, our articles of incorporation authorize our board of directors, without further shareholder approval, to issue up to 1,000,000 shares of preferred stock on such terms and with such rights as our board of directors may determine. The issuance of preferred stock could dilute the voting power</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7" w:name="page18"/>
    <w:bookmarkEnd w:id="17"/>
    <w:p>
      <w:pPr>
        <w:ind w:left="2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44"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14"/>
          <w:szCs w:val="14"/>
          <w:color w:val="auto"/>
        </w:rPr>
        <w:t>of the holders of common stock, including by the grant of voting control to others. Our by-laws also restrict the right of shareholders to call a special meeting of shareholders. As a result, our shareholders may be unable to take advantage of opportunities to dispose of their stock in the Company at higher prices that may otherwise be available in connection with takeover attempts or under a merger or other proposal.</w:t>
      </w:r>
    </w:p>
    <w:p>
      <w:pPr>
        <w:spacing w:after="0" w:line="144" w:lineRule="exact"/>
        <w:rPr>
          <w:sz w:val="20"/>
          <w:szCs w:val="20"/>
          <w:color w:val="auto"/>
        </w:rPr>
      </w:pPr>
    </w:p>
    <w:p>
      <w:pPr>
        <w:ind w:right="200" w:firstLine="255"/>
        <w:spacing w:after="0" w:line="255" w:lineRule="auto"/>
        <w:rPr>
          <w:sz w:val="20"/>
          <w:szCs w:val="20"/>
          <w:color w:val="auto"/>
        </w:rPr>
      </w:pPr>
      <w:r>
        <w:rPr>
          <w:rFonts w:ascii="Times New Roman" w:cs="Times New Roman" w:eastAsia="Times New Roman" w:hAnsi="Times New Roman"/>
          <w:sz w:val="14"/>
          <w:szCs w:val="14"/>
          <w:i w:val="1"/>
          <w:iCs w:val="1"/>
          <w:color w:val="auto"/>
        </w:rPr>
        <w:t>We may face challenges related to our corporate social responsibility and sustainability policies</w:t>
      </w:r>
      <w:r>
        <w:rPr>
          <w:rFonts w:ascii="Times New Roman" w:cs="Times New Roman" w:eastAsia="Times New Roman" w:hAnsi="Times New Roman"/>
          <w:sz w:val="14"/>
          <w:szCs w:val="14"/>
          <w:color w:val="auto"/>
        </w:rPr>
        <w:t>. Our customers, shareholders, and other constituents may not be satisfied with the corporate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social responsibility and sustainability policies that we may set or the practices and programs we choose to implement. A failure to set appropriate corporate social responsibility and sustainability goals for our company, or our failure to meet these goals could adversely affect public perception of our business or customer or shareholder support.</w:t>
      </w:r>
    </w:p>
    <w:p>
      <w:pPr>
        <w:spacing w:after="0" w:line="16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color w:val="auto"/>
        </w:rPr>
        <w:t>Risks Related to Our Ability to Grow Our Business</w:t>
      </w:r>
    </w:p>
    <w:p>
      <w:pPr>
        <w:spacing w:after="0" w:line="200" w:lineRule="exact"/>
        <w:rPr>
          <w:sz w:val="20"/>
          <w:szCs w:val="20"/>
          <w:color w:val="auto"/>
        </w:rPr>
      </w:pPr>
    </w:p>
    <w:p>
      <w:pPr>
        <w:ind w:right="20" w:firstLine="255"/>
        <w:spacing w:after="0" w:line="262" w:lineRule="auto"/>
        <w:rPr>
          <w:sz w:val="20"/>
          <w:szCs w:val="20"/>
          <w:color w:val="auto"/>
        </w:rPr>
      </w:pPr>
      <w:r>
        <w:rPr>
          <w:rFonts w:ascii="Times New Roman" w:cs="Times New Roman" w:eastAsia="Times New Roman" w:hAnsi="Times New Roman"/>
          <w:sz w:val="14"/>
          <w:szCs w:val="14"/>
          <w:i w:val="1"/>
          <w:iCs w:val="1"/>
          <w:color w:val="auto"/>
        </w:rPr>
        <w:t xml:space="preserve">We may not have access in the future to sufficient capital on favorable terms or at all. We may require additional capital to pursue acquisitions, fund capital expenditures, for working capital needs, or to respond to changing business conditions. </w:t>
      </w:r>
      <w:r>
        <w:rPr>
          <w:rFonts w:ascii="Times New Roman" w:cs="Times New Roman" w:eastAsia="Times New Roman" w:hAnsi="Times New Roman"/>
          <w:sz w:val="14"/>
          <w:szCs w:val="14"/>
          <w:color w:val="auto"/>
        </w:rPr>
        <w:t>Our existing debt agreements include restrictions on our ability to incur additional debt at certain levels. In addition, if we seek to incur more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debt, we may be required to agree to additional covenants that further limit our operational and financial flexibility. If we pursue additional debt or equity financings, we cannot be certain that such funding will be available on terms acceptable to us, or at all. Our inability to access additional capital could adversely affect our liquidity and may limit our growth and ability to execute our business strategy.</w:t>
      </w:r>
    </w:p>
    <w:p>
      <w:pPr>
        <w:spacing w:after="0" w:line="161" w:lineRule="exact"/>
        <w:rPr>
          <w:sz w:val="20"/>
          <w:szCs w:val="20"/>
          <w:color w:val="auto"/>
        </w:rPr>
      </w:pPr>
    </w:p>
    <w:p>
      <w:pPr>
        <w:ind w:right="100" w:firstLine="255"/>
        <w:spacing w:after="0" w:line="257" w:lineRule="auto"/>
        <w:rPr>
          <w:sz w:val="20"/>
          <w:szCs w:val="20"/>
          <w:color w:val="auto"/>
        </w:rPr>
      </w:pPr>
      <w:r>
        <w:rPr>
          <w:rFonts w:ascii="Times New Roman" w:cs="Times New Roman" w:eastAsia="Times New Roman" w:hAnsi="Times New Roman"/>
          <w:sz w:val="14"/>
          <w:szCs w:val="14"/>
          <w:i w:val="1"/>
          <w:iCs w:val="1"/>
          <w:color w:val="auto"/>
        </w:rPr>
        <w:t xml:space="preserve">Our debt obligations impose restrictions that may limit our operating and financial flexibility, and a failure to comply with these obligations could result in the acceleration of our debt. </w:t>
      </w:r>
      <w:r>
        <w:rPr>
          <w:rFonts w:ascii="Times New Roman" w:cs="Times New Roman" w:eastAsia="Times New Roman" w:hAnsi="Times New Roman"/>
          <w:sz w:val="14"/>
          <w:szCs w:val="14"/>
          <w:color w:val="auto"/>
        </w:rPr>
        <w:t>The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Company and certain of its subsidiaries are party to an amended and restated credit agreement, that includes a revolving facility with a maximum revolver commitment of $650.0 million and a term loan facility in the principal amount of $450.0 million, which matures on January 15, 2029 (the “Credit Agreement”). The Credit Agreement includes a $200.0 million sublimit for the issuance of letters of credit and a $50.0 million sublimit for swingline loans. As of January 25, 2025, we had $450.0 million outstanding under the term loan facility and $47.5 million of outstanding letters of credit issued under our Credit Agreement. We had no outstanding borrowings under our revolving facility as of January 25, 2025. The Credit Agreement contains covenants that restrict or limit our ability to, among other things: make certain payments, including the payment of dividends, redeem or repurchase our capital stock, incur additional indebtedness and issue preferred stock, make investments or create liens, enter into sale and leaseback transactions, merge or consolidate with another entity, sell certain assets, and enter into transactions with affiliates. Our Credit Agreement also requires us to comply with certain financial covenants, including a consolidated net leverage ratio and a consolidated interest coverage ratio. These covenants in our Credit Agreement may prevent us from engaging in transactions that benefit us and may limit our flexibility in the execution of our business strategy.</w:t>
      </w:r>
    </w:p>
    <w:p>
      <w:pPr>
        <w:spacing w:after="0" w:line="169" w:lineRule="exact"/>
        <w:rPr>
          <w:sz w:val="20"/>
          <w:szCs w:val="20"/>
          <w:color w:val="auto"/>
        </w:rPr>
      </w:pPr>
    </w:p>
    <w:p>
      <w:pPr>
        <w:ind w:right="80" w:firstLine="255"/>
        <w:spacing w:after="0" w:line="261" w:lineRule="auto"/>
        <w:rPr>
          <w:sz w:val="20"/>
          <w:szCs w:val="20"/>
          <w:color w:val="auto"/>
        </w:rPr>
      </w:pPr>
      <w:r>
        <w:rPr>
          <w:rFonts w:ascii="Times New Roman" w:cs="Times New Roman" w:eastAsia="Times New Roman" w:hAnsi="Times New Roman"/>
          <w:sz w:val="14"/>
          <w:szCs w:val="14"/>
          <w:color w:val="auto"/>
        </w:rPr>
        <w:t>Additionally, on April 1, 2021, we issued $500.0 million aggregate principal amount of 4.50% senior notes due 2029 (the “2029 Notes”). The 2029 Notes are guaranteed on a senior unsecured basis, jointly and severally, by all of our domestic subsidiaries that guarantee the Credit Agreement. The indenture governing the 2029 Notes includes cross-acceleration and cross-default provisions with our Credit Agreement. If our financial results fall below anticipated levels, we may be unable to comply with these covenants and a default under our Credit Agreement could result in the acceleration of our obligations under both our Credit Agreement and the indenture governing the 2029 Notes, which could adversely affect our liquidity and our ability to execute our business strategy.</w:t>
      </w:r>
    </w:p>
    <w:p>
      <w:pPr>
        <w:spacing w:after="0" w:line="162" w:lineRule="exact"/>
        <w:rPr>
          <w:sz w:val="20"/>
          <w:szCs w:val="20"/>
          <w:color w:val="auto"/>
        </w:rPr>
      </w:pPr>
    </w:p>
    <w:p>
      <w:pPr>
        <w:ind w:right="40" w:firstLine="255"/>
        <w:spacing w:after="0" w:line="259" w:lineRule="auto"/>
        <w:rPr>
          <w:sz w:val="20"/>
          <w:szCs w:val="20"/>
          <w:color w:val="auto"/>
        </w:rPr>
      </w:pPr>
      <w:r>
        <w:rPr>
          <w:rFonts w:ascii="Times New Roman" w:cs="Times New Roman" w:eastAsia="Times New Roman" w:hAnsi="Times New Roman"/>
          <w:sz w:val="14"/>
          <w:szCs w:val="14"/>
          <w:i w:val="1"/>
          <w:iCs w:val="1"/>
          <w:color w:val="auto"/>
        </w:rPr>
        <w:t xml:space="preserve">The specialty contracting services industry in which we operate is highly competitive. </w:t>
      </w:r>
      <w:r>
        <w:rPr>
          <w:rFonts w:ascii="Times New Roman" w:cs="Times New Roman" w:eastAsia="Times New Roman" w:hAnsi="Times New Roman"/>
          <w:sz w:val="14"/>
          <w:szCs w:val="14"/>
          <w:color w:val="auto"/>
        </w:rPr>
        <w:t>We compete with other specialty contractors, including numerous local and regional providers, as well as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several large corporations that may have financial, technical, and marketing resources exceeding ours. Relatively few barriers to entry exist in the markets in which we operate, which means that any organization could become a competitor if it has adequate financial resources and access to technical expertise, the ability to engage subcontractors, and the necessary equipment and materials. Additionally, our competitors may develop expertise obtain resources or adopt new technologies that allow them to provide services that are equal or superior to our services in price, quality, or availability, and we may be unable to effectively compete against them. Furthermore, if competitors underbid us to procure business, we could be required to lower the prices we charge in order to retain contracts when they come up for competitive bidding at the end of their terms. Our revenues and results of operations could be adversely affected if our customers shift a significant portion of our work to a competitor, if we are unsuccessful in bidding or retaining projects, or if our ability to win projects requires us to provide our services at reduced margins.</w:t>
      </w:r>
    </w:p>
    <w:p>
      <w:pPr>
        <w:spacing w:after="0" w:line="163" w:lineRule="exact"/>
        <w:rPr>
          <w:sz w:val="20"/>
          <w:szCs w:val="20"/>
          <w:color w:val="auto"/>
        </w:rPr>
      </w:pPr>
    </w:p>
    <w:p>
      <w:pPr>
        <w:ind w:right="120" w:firstLine="255"/>
        <w:spacing w:after="0" w:line="290" w:lineRule="auto"/>
        <w:rPr>
          <w:sz w:val="20"/>
          <w:szCs w:val="20"/>
          <w:color w:val="auto"/>
        </w:rPr>
      </w:pPr>
      <w:r>
        <w:rPr>
          <w:rFonts w:ascii="Times New Roman" w:cs="Times New Roman" w:eastAsia="Times New Roman" w:hAnsi="Times New Roman"/>
          <w:sz w:val="14"/>
          <w:szCs w:val="14"/>
          <w:i w:val="1"/>
          <w:iCs w:val="1"/>
          <w:color w:val="auto"/>
        </w:rPr>
        <w:t xml:space="preserve">We face competition from the in-house service organizations of our customers. </w:t>
      </w:r>
      <w:r>
        <w:rPr>
          <w:rFonts w:ascii="Times New Roman" w:cs="Times New Roman" w:eastAsia="Times New Roman" w:hAnsi="Times New Roman"/>
          <w:sz w:val="14"/>
          <w:szCs w:val="14"/>
          <w:color w:val="auto"/>
        </w:rPr>
        <w:t>We face competition from the in-house service organizations of our customers whose personnel perform many of</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the services that we provide. We can offer no</w:t>
      </w:r>
    </w:p>
    <w:p>
      <w:pPr>
        <w:spacing w:after="0" w:line="38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125" w:right="359" w:bottom="1440" w:gutter="0" w:footer="0" w:header="0"/>
        </w:sectPr>
      </w:pPr>
    </w:p>
    <w:bookmarkStart w:id="18" w:name="page19"/>
    <w:bookmarkEnd w:id="18"/>
    <w:p>
      <w:pPr>
        <w:ind w:left="2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44" w:lineRule="exact"/>
        <w:rPr>
          <w:sz w:val="20"/>
          <w:szCs w:val="20"/>
          <w:color w:val="auto"/>
        </w:rPr>
      </w:pPr>
    </w:p>
    <w:p>
      <w:pPr>
        <w:ind w:right="140"/>
        <w:spacing w:after="0" w:line="287" w:lineRule="auto"/>
        <w:rPr>
          <w:sz w:val="20"/>
          <w:szCs w:val="20"/>
          <w:color w:val="auto"/>
        </w:rPr>
      </w:pPr>
      <w:r>
        <w:rPr>
          <w:rFonts w:ascii="Times New Roman" w:cs="Times New Roman" w:eastAsia="Times New Roman" w:hAnsi="Times New Roman"/>
          <w:sz w:val="14"/>
          <w:szCs w:val="14"/>
          <w:color w:val="auto"/>
        </w:rPr>
        <w:t>assurance that our existing or prospective customers will continue to outsource the specialty contracting services we provide in the future. Our revenues and results of operations could be adversely affected if our existing or prospective customers reduce the specialty contracting services that are outsourced to us.</w:t>
      </w:r>
    </w:p>
    <w:p>
      <w:pPr>
        <w:spacing w:after="0" w:line="143" w:lineRule="exact"/>
        <w:rPr>
          <w:sz w:val="20"/>
          <w:szCs w:val="20"/>
          <w:color w:val="auto"/>
        </w:rPr>
      </w:pPr>
    </w:p>
    <w:p>
      <w:pPr>
        <w:ind w:firstLine="255"/>
        <w:spacing w:after="0" w:line="265" w:lineRule="auto"/>
        <w:rPr>
          <w:sz w:val="20"/>
          <w:szCs w:val="20"/>
          <w:color w:val="auto"/>
        </w:rPr>
      </w:pPr>
      <w:r>
        <w:rPr>
          <w:rFonts w:ascii="Times New Roman" w:cs="Times New Roman" w:eastAsia="Times New Roman" w:hAnsi="Times New Roman"/>
          <w:sz w:val="14"/>
          <w:szCs w:val="14"/>
          <w:i w:val="1"/>
          <w:iCs w:val="1"/>
          <w:color w:val="auto"/>
        </w:rPr>
        <w:t xml:space="preserve">Our failure to perform sufficient due diligence prior to completing acquisitions could result in significant liabilities. </w:t>
      </w:r>
      <w:r>
        <w:rPr>
          <w:rFonts w:ascii="Times New Roman" w:cs="Times New Roman" w:eastAsia="Times New Roman" w:hAnsi="Times New Roman"/>
          <w:sz w:val="14"/>
          <w:szCs w:val="14"/>
          <w:color w:val="auto"/>
        </w:rPr>
        <w:t>The growth of our business through acquisitions may expose us to risks,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including the failure to identify significant issues and risks of an acquired business. A failure to identify or appropriately quantify a liability or possible risk in our due diligence process could result in the assumption of unanticipated liabilities arising from the prior operations of an acquired business, some of which may not be adequately reserved and may not be covered by indemnification obligations. The assumption of unknown liabilities due to a failure of our due diligence could adversely affect our results of operations and financial position.</w:t>
      </w:r>
    </w:p>
    <w:p>
      <w:pPr>
        <w:spacing w:after="0" w:line="159" w:lineRule="exact"/>
        <w:rPr>
          <w:sz w:val="20"/>
          <w:szCs w:val="20"/>
          <w:color w:val="auto"/>
        </w:rPr>
      </w:pPr>
    </w:p>
    <w:p>
      <w:pPr>
        <w:ind w:firstLine="255"/>
        <w:spacing w:after="0" w:line="258" w:lineRule="auto"/>
        <w:rPr>
          <w:sz w:val="20"/>
          <w:szCs w:val="20"/>
          <w:color w:val="auto"/>
        </w:rPr>
      </w:pPr>
      <w:r>
        <w:rPr>
          <w:rFonts w:ascii="Times New Roman" w:cs="Times New Roman" w:eastAsia="Times New Roman" w:hAnsi="Times New Roman"/>
          <w:sz w:val="14"/>
          <w:szCs w:val="14"/>
          <w:i w:val="1"/>
          <w:iCs w:val="1"/>
          <w:color w:val="auto"/>
        </w:rPr>
        <w:t xml:space="preserve">Our failure to successfully integrate acquisitions could adversely affect our financial results. </w:t>
      </w:r>
      <w:r>
        <w:rPr>
          <w:rFonts w:ascii="Times New Roman" w:cs="Times New Roman" w:eastAsia="Times New Roman" w:hAnsi="Times New Roman"/>
          <w:sz w:val="14"/>
          <w:szCs w:val="14"/>
          <w:color w:val="auto"/>
        </w:rPr>
        <w:t>As part of our growth strategy, we may acquire companies that we expect to expand, complement, or</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diversify our business. The success of this strategy depends on our ability to realize the anticipated benefits from the acquired businesses, such as the expansion of our existing operations and the elimination of redundant costs. To realize these benefits, we must successfully integrate the operations of the acquired businesses with our existing operations. Integrating acquired businesses involves a number of operational challenges and risks, including diversion of management’s attention from our existing business; unanticipated issues in integrating information, communications, and other systems and consolidating corporate and administrative infrastructures; failure to manage successfully and coordinate the growth of the combined company; and failure to retain management and other key employees. These factors could result in increased costs, decreases in the amount of expected revenues and diversion of management’s time and energy, which could adversely affect our results of operations and financial position. Additionally, any impairment of goodwill or other intangible assets as a result of our failure to successfully integrate acquisitions could adversely affect our results of operations and financial position.</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5" w:right="339" w:bottom="1440" w:gutter="0" w:footer="0" w:header="0"/>
        </w:sectPr>
      </w:pPr>
    </w:p>
    <w:bookmarkStart w:id="19" w:name="page20"/>
    <w:bookmarkEnd w:id="19"/>
    <w:p>
      <w:pPr>
        <w:ind w:left="2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 xml:space="preserve">Item 1B. </w:t>
      </w:r>
      <w:r>
        <w:rPr>
          <w:rFonts w:ascii="Times New Roman" w:cs="Times New Roman" w:eastAsia="Times New Roman" w:hAnsi="Times New Roman"/>
          <w:sz w:val="14"/>
          <w:szCs w:val="14"/>
          <w:b w:val="1"/>
          <w:bCs w:val="1"/>
          <w:i w:val="1"/>
          <w:iCs w:val="1"/>
          <w:color w:val="auto"/>
        </w:rPr>
        <w:t>Unresolved Staff Comments.</w:t>
      </w:r>
    </w:p>
    <w:p>
      <w:pPr>
        <w:spacing w:after="0" w:line="20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None.</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 xml:space="preserve">Item 1C. </w:t>
      </w:r>
      <w:r>
        <w:rPr>
          <w:rFonts w:ascii="Times New Roman" w:cs="Times New Roman" w:eastAsia="Times New Roman" w:hAnsi="Times New Roman"/>
          <w:sz w:val="14"/>
          <w:szCs w:val="14"/>
          <w:b w:val="1"/>
          <w:bCs w:val="1"/>
          <w:i w:val="1"/>
          <w:iCs w:val="1"/>
          <w:color w:val="auto"/>
        </w:rPr>
        <w:t>Cybersecurity.</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Cybersecurity Risk Management and Strategy</w:t>
      </w:r>
    </w:p>
    <w:p>
      <w:pPr>
        <w:spacing w:after="0" w:line="202" w:lineRule="exact"/>
        <w:rPr>
          <w:sz w:val="20"/>
          <w:szCs w:val="20"/>
          <w:color w:val="auto"/>
        </w:rPr>
      </w:pPr>
    </w:p>
    <w:p>
      <w:pPr>
        <w:ind w:right="460" w:firstLine="255"/>
        <w:spacing w:after="0" w:line="287" w:lineRule="auto"/>
        <w:rPr>
          <w:sz w:val="20"/>
          <w:szCs w:val="20"/>
          <w:color w:val="auto"/>
        </w:rPr>
      </w:pPr>
      <w:r>
        <w:rPr>
          <w:rFonts w:ascii="Times New Roman" w:cs="Times New Roman" w:eastAsia="Times New Roman" w:hAnsi="Times New Roman"/>
          <w:sz w:val="14"/>
          <w:szCs w:val="14"/>
          <w:color w:val="auto"/>
        </w:rPr>
        <w:t>We are committed to protecting the confidentiality, integrity, and availability of our information assets and managing cybersecurity risks effectively. Our cybersecurity strategy focuses on proactive risk management, continuous improvement, collaboration and partnerships, and investment in security technologies.</w:t>
      </w:r>
    </w:p>
    <w:p>
      <w:pPr>
        <w:spacing w:after="0" w:line="145" w:lineRule="exact"/>
        <w:rPr>
          <w:sz w:val="20"/>
          <w:szCs w:val="20"/>
          <w:color w:val="auto"/>
        </w:rPr>
      </w:pPr>
    </w:p>
    <w:p>
      <w:pPr>
        <w:ind w:firstLine="255"/>
        <w:spacing w:after="0" w:line="264" w:lineRule="auto"/>
        <w:rPr>
          <w:sz w:val="20"/>
          <w:szCs w:val="20"/>
          <w:color w:val="auto"/>
        </w:rPr>
      </w:pPr>
      <w:r>
        <w:rPr>
          <w:rFonts w:ascii="Times New Roman" w:cs="Times New Roman" w:eastAsia="Times New Roman" w:hAnsi="Times New Roman"/>
          <w:sz w:val="14"/>
          <w:szCs w:val="14"/>
          <w:color w:val="auto"/>
        </w:rPr>
        <w:t>We face various cybersecurity risks, including unauthorized access, information leakage, malware and viruses, technical disruption, and insider threats. Identifying, assessing, and managing these risks is the foundation of our comprehensive cybersecurity framework and is integrated into our overall risk management systems and processes. We have implemented strong access controls, regular security assessments, vulnerability management, user education and awareness, monitoring, threat intelligence (including user behavior analytics), and managed detection and response to mitigate cybersecurity risks.</w:t>
      </w:r>
    </w:p>
    <w:p>
      <w:pPr>
        <w:spacing w:after="0" w:line="162" w:lineRule="exact"/>
        <w:rPr>
          <w:sz w:val="20"/>
          <w:szCs w:val="20"/>
          <w:color w:val="auto"/>
        </w:rPr>
      </w:pPr>
    </w:p>
    <w:p>
      <w:pPr>
        <w:ind w:right="220" w:firstLine="255"/>
        <w:spacing w:after="0" w:line="287" w:lineRule="auto"/>
        <w:rPr>
          <w:sz w:val="20"/>
          <w:szCs w:val="20"/>
          <w:color w:val="auto"/>
        </w:rPr>
      </w:pPr>
      <w:r>
        <w:rPr>
          <w:rFonts w:ascii="Times New Roman" w:cs="Times New Roman" w:eastAsia="Times New Roman" w:hAnsi="Times New Roman"/>
          <w:sz w:val="14"/>
          <w:szCs w:val="14"/>
          <w:color w:val="auto"/>
        </w:rPr>
        <w:t>Our implementation of strong access controls includes multi-factor authentication, least privilege access, role-based access control, and network segmentation to ensure information assets are protected from unauthorized access and/or exposure.</w:t>
      </w:r>
    </w:p>
    <w:p>
      <w:pPr>
        <w:spacing w:after="0" w:line="145" w:lineRule="exact"/>
        <w:rPr>
          <w:sz w:val="20"/>
          <w:szCs w:val="20"/>
          <w:color w:val="auto"/>
        </w:rPr>
      </w:pPr>
    </w:p>
    <w:p>
      <w:pPr>
        <w:jc w:val="both"/>
        <w:ind w:right="20" w:firstLine="255"/>
        <w:spacing w:after="0" w:line="270" w:lineRule="auto"/>
        <w:rPr>
          <w:sz w:val="20"/>
          <w:szCs w:val="20"/>
          <w:color w:val="auto"/>
        </w:rPr>
      </w:pPr>
      <w:r>
        <w:rPr>
          <w:rFonts w:ascii="Times New Roman" w:cs="Times New Roman" w:eastAsia="Times New Roman" w:hAnsi="Times New Roman"/>
          <w:sz w:val="14"/>
          <w:szCs w:val="14"/>
          <w:color w:val="auto"/>
        </w:rPr>
        <w:t>We conduct regular security assessments to identify vulnerabilities, test compliance, proactively address security risks that would impact the organization, and prioritize those risks based on their likelihood and potential impact. The associated activities include performing risk, vulnerability, penetration, and compliance assessments to assist in identifying potential internal and external threats and weaknesses in our systems, networks, and applications and performing simulations to test and improve our incident response plans while building resiliency.</w:t>
      </w:r>
    </w:p>
    <w:p>
      <w:pPr>
        <w:spacing w:after="0" w:line="157" w:lineRule="exact"/>
        <w:rPr>
          <w:sz w:val="20"/>
          <w:szCs w:val="20"/>
          <w:color w:val="auto"/>
        </w:rPr>
      </w:pPr>
    </w:p>
    <w:p>
      <w:pPr>
        <w:ind w:firstLine="255"/>
        <w:spacing w:after="0" w:line="287" w:lineRule="auto"/>
        <w:rPr>
          <w:sz w:val="20"/>
          <w:szCs w:val="20"/>
          <w:color w:val="auto"/>
        </w:rPr>
      </w:pPr>
      <w:r>
        <w:rPr>
          <w:rFonts w:ascii="Times New Roman" w:cs="Times New Roman" w:eastAsia="Times New Roman" w:hAnsi="Times New Roman"/>
          <w:sz w:val="14"/>
          <w:szCs w:val="14"/>
          <w:color w:val="auto"/>
        </w:rPr>
        <w:t>In addition to the controls and assessments noted above, we regularly engage with our internal and external auditors and third-party cybersecurity consultants to assess our cybersecurity program, ensuring adherence to applicable industry standards, practices, and laws.</w:t>
      </w:r>
    </w:p>
    <w:p>
      <w:pPr>
        <w:spacing w:after="0" w:line="145" w:lineRule="exact"/>
        <w:rPr>
          <w:sz w:val="20"/>
          <w:szCs w:val="20"/>
          <w:color w:val="auto"/>
        </w:rPr>
      </w:pPr>
    </w:p>
    <w:p>
      <w:pPr>
        <w:ind w:right="20" w:firstLine="255"/>
        <w:spacing w:after="0" w:line="287" w:lineRule="auto"/>
        <w:rPr>
          <w:sz w:val="20"/>
          <w:szCs w:val="20"/>
          <w:color w:val="auto"/>
        </w:rPr>
      </w:pPr>
      <w:r>
        <w:rPr>
          <w:rFonts w:ascii="Times New Roman" w:cs="Times New Roman" w:eastAsia="Times New Roman" w:hAnsi="Times New Roman"/>
          <w:sz w:val="14"/>
          <w:szCs w:val="14"/>
          <w:color w:val="auto"/>
        </w:rPr>
        <w:t>Our cybersecurity program also includes third-party risk management evaluation and monitoring of our suppliers, vendors, and other business partners to help identify and mitigate risks that may impact our company. We evaluate existing risks, threats, and prior cybersecurity incidents of new vendors, suppliers, and business partners using various risk assessments.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Cybersecurity Governance</w:t>
      </w:r>
    </w:p>
    <w:p>
      <w:pPr>
        <w:spacing w:after="0" w:line="202" w:lineRule="exact"/>
        <w:rPr>
          <w:sz w:val="20"/>
          <w:szCs w:val="20"/>
          <w:color w:val="auto"/>
        </w:rPr>
      </w:pPr>
    </w:p>
    <w:p>
      <w:pPr>
        <w:ind w:right="280" w:firstLine="255"/>
        <w:spacing w:after="0" w:line="270" w:lineRule="auto"/>
        <w:rPr>
          <w:sz w:val="20"/>
          <w:szCs w:val="20"/>
          <w:color w:val="auto"/>
        </w:rPr>
      </w:pPr>
      <w:r>
        <w:rPr>
          <w:rFonts w:ascii="Times New Roman" w:cs="Times New Roman" w:eastAsia="Times New Roman" w:hAnsi="Times New Roman"/>
          <w:sz w:val="14"/>
          <w:szCs w:val="14"/>
          <w:color w:val="auto"/>
        </w:rPr>
        <w:t>Cybersecurity governance is a critical component of our organization’s overall risk management framework and an area of focus for our Board and management. Our Board has delegated primary responsibility for overseeing risks from cybersecurity threats to the Audit Committee. The Audit Committee oversees information technology and cybersecurity, including strategies, risk identification and mitigation, and data privacy protection (“Information Security”).</w:t>
      </w:r>
    </w:p>
    <w:p>
      <w:pPr>
        <w:spacing w:after="0" w:line="157" w:lineRule="exact"/>
        <w:rPr>
          <w:sz w:val="20"/>
          <w:szCs w:val="20"/>
          <w:color w:val="auto"/>
        </w:rPr>
      </w:pPr>
    </w:p>
    <w:p>
      <w:pPr>
        <w:ind w:firstLine="255"/>
        <w:spacing w:after="0" w:line="259" w:lineRule="auto"/>
        <w:rPr>
          <w:sz w:val="20"/>
          <w:szCs w:val="20"/>
          <w:color w:val="auto"/>
        </w:rPr>
      </w:pPr>
      <w:r>
        <w:rPr>
          <w:rFonts w:ascii="Times New Roman" w:cs="Times New Roman" w:eastAsia="Times New Roman" w:hAnsi="Times New Roman"/>
          <w:sz w:val="14"/>
          <w:szCs w:val="14"/>
          <w:color w:val="auto"/>
        </w:rPr>
        <w:t>The Company’s Chief Information Officer has been serving in this role for the company for 18 years and has over 30 years of experience in various information security and related technology roles. The Chief Information Officer oversees an internal information security team, which works in partnership with the Company’s internal audit department to review information technology-related controls with our external auditors as part of the overall internal controls process. The Chief Information Officer, who is in regular communication with the information security team, reports regularly to the Chief Executive Officer regarding vulnerabilities, new and developing threats, and compliance matters and also reports to the Audit Committee. The Audit Committee receives reports from the Chief Information Officer on a periodic basis, and more frequently, as needed, regarding cybersecurity-related matters. Such reports include updates with respect to existing and new cybersecurity risks, cybersecurity risk management and mitigation, cybersecurity incidents, as applicable, and key information security initiatives and recent developments.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 xml:space="preserve">Item 2. </w:t>
      </w:r>
      <w:r>
        <w:rPr>
          <w:rFonts w:ascii="Times New Roman" w:cs="Times New Roman" w:eastAsia="Times New Roman" w:hAnsi="Times New Roman"/>
          <w:sz w:val="14"/>
          <w:szCs w:val="14"/>
          <w:b w:val="1"/>
          <w:bCs w:val="1"/>
          <w:i w:val="1"/>
          <w:iCs w:val="1"/>
          <w:color w:val="auto"/>
        </w:rPr>
        <w:t>Properties.</w:t>
      </w:r>
    </w:p>
    <w:p>
      <w:pPr>
        <w:spacing w:after="0" w:line="149" w:lineRule="exact"/>
        <w:rPr>
          <w:sz w:val="20"/>
          <w:szCs w:val="20"/>
          <w:color w:val="auto"/>
        </w:rPr>
      </w:pPr>
    </w:p>
    <w:p>
      <w:pPr>
        <w:ind w:right="100" w:firstLine="255"/>
        <w:spacing w:after="0" w:line="287" w:lineRule="auto"/>
        <w:rPr>
          <w:sz w:val="20"/>
          <w:szCs w:val="20"/>
          <w:color w:val="auto"/>
        </w:rPr>
      </w:pPr>
      <w:r>
        <w:rPr>
          <w:rFonts w:ascii="Times New Roman" w:cs="Times New Roman" w:eastAsia="Times New Roman" w:hAnsi="Times New Roman"/>
          <w:sz w:val="14"/>
          <w:szCs w:val="14"/>
          <w:color w:val="auto"/>
        </w:rPr>
        <w:t>We lease our executive office located in Palm Beach Gardens, Florida. Our subsidiaries operate from administrative offices, district field offices, equipment yards, shop facilities, and temporary storage locations throughout the United States. Those facilities are primarily leased but certain facilities are owned. Our leased properties operate under both non-cancelable</w:t>
      </w:r>
    </w:p>
    <w:p>
      <w:pPr>
        <w:spacing w:after="0" w:line="3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5" w:right="339" w:bottom="1440" w:gutter="0" w:footer="0" w:header="0"/>
        </w:sectPr>
      </w:pPr>
    </w:p>
    <w:bookmarkStart w:id="20" w:name="page21"/>
    <w:bookmarkEnd w:id="20"/>
    <w:p>
      <w:pPr>
        <w:ind w:left="2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44" w:lineRule="exact"/>
        <w:rPr>
          <w:sz w:val="20"/>
          <w:szCs w:val="20"/>
          <w:color w:val="auto"/>
        </w:rPr>
      </w:pPr>
    </w:p>
    <w:p>
      <w:pPr>
        <w:ind w:right="540"/>
        <w:spacing w:after="0" w:line="287" w:lineRule="auto"/>
        <w:rPr>
          <w:sz w:val="20"/>
          <w:szCs w:val="20"/>
          <w:color w:val="auto"/>
        </w:rPr>
      </w:pPr>
      <w:r>
        <w:rPr>
          <w:rFonts w:ascii="Times New Roman" w:cs="Times New Roman" w:eastAsia="Times New Roman" w:hAnsi="Times New Roman"/>
          <w:sz w:val="14"/>
          <w:szCs w:val="14"/>
          <w:color w:val="auto"/>
        </w:rPr>
        <w:t>and cancelable leases. We believe that our facilities are suitable and adequate for our current operations and, if necessary, additional or replacement facilities would generally be available on commercially reasonable terms.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 xml:space="preserve">Item 3. </w:t>
      </w:r>
      <w:r>
        <w:rPr>
          <w:rFonts w:ascii="Times New Roman" w:cs="Times New Roman" w:eastAsia="Times New Roman" w:hAnsi="Times New Roman"/>
          <w:sz w:val="14"/>
          <w:szCs w:val="14"/>
          <w:b w:val="1"/>
          <w:bCs w:val="1"/>
          <w:i w:val="1"/>
          <w:iCs w:val="1"/>
          <w:color w:val="auto"/>
        </w:rPr>
        <w:t>Legal Proceedings.</w:t>
      </w:r>
    </w:p>
    <w:p>
      <w:pPr>
        <w:spacing w:after="0" w:line="171" w:lineRule="exact"/>
        <w:rPr>
          <w:sz w:val="20"/>
          <w:szCs w:val="20"/>
          <w:color w:val="auto"/>
        </w:rPr>
      </w:pPr>
    </w:p>
    <w:p>
      <w:pPr>
        <w:ind w:left="260"/>
        <w:spacing w:after="0" w:line="161" w:lineRule="exact"/>
        <w:rPr>
          <w:sz w:val="20"/>
          <w:szCs w:val="20"/>
          <w:color w:val="auto"/>
        </w:rPr>
      </w:pPr>
      <w:r>
        <w:rPr>
          <w:rFonts w:ascii="Times New Roman" w:cs="Times New Roman" w:eastAsia="Times New Roman" w:hAnsi="Times New Roman"/>
          <w:sz w:val="14"/>
          <w:szCs w:val="14"/>
          <w:color w:val="auto"/>
        </w:rPr>
        <w:t xml:space="preserve">Refer to Note 22, </w:t>
      </w:r>
      <w:r>
        <w:rPr>
          <w:rFonts w:ascii="Times New Roman" w:cs="Times New Roman" w:eastAsia="Times New Roman" w:hAnsi="Times New Roman"/>
          <w:sz w:val="14"/>
          <w:szCs w:val="14"/>
          <w:i w:val="1"/>
          <w:iCs w:val="1"/>
          <w:color w:val="auto"/>
        </w:rPr>
        <w:t>Commitments and Contingencies</w:t>
      </w:r>
      <w:r>
        <w:rPr>
          <w:rFonts w:ascii="Times New Roman" w:cs="Times New Roman" w:eastAsia="Times New Roman" w:hAnsi="Times New Roman"/>
          <w:sz w:val="14"/>
          <w:szCs w:val="14"/>
          <w:color w:val="auto"/>
        </w:rPr>
        <w:t>, in the Notes to the Consolidated Financial Statements in this Annual Report on Form 10</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K.</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 xml:space="preserve">Item 4. </w:t>
      </w:r>
      <w:r>
        <w:rPr>
          <w:rFonts w:ascii="Times New Roman" w:cs="Times New Roman" w:eastAsia="Times New Roman" w:hAnsi="Times New Roman"/>
          <w:sz w:val="14"/>
          <w:szCs w:val="14"/>
          <w:b w:val="1"/>
          <w:bCs w:val="1"/>
          <w:i w:val="1"/>
          <w:iCs w:val="1"/>
          <w:color w:val="auto"/>
        </w:rPr>
        <w:t>Mine Safety Disclosures.</w:t>
      </w:r>
    </w:p>
    <w:p>
      <w:pPr>
        <w:spacing w:after="0" w:line="20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Not applicable.</w:t>
      </w:r>
    </w:p>
    <w:p>
      <w:pPr>
        <w:spacing w:after="0" w:line="19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PART II</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 xml:space="preserve">Item 5. </w:t>
      </w:r>
      <w:r>
        <w:rPr>
          <w:rFonts w:ascii="Times New Roman" w:cs="Times New Roman" w:eastAsia="Times New Roman" w:hAnsi="Times New Roman"/>
          <w:sz w:val="14"/>
          <w:szCs w:val="14"/>
          <w:b w:val="1"/>
          <w:bCs w:val="1"/>
          <w:i w:val="1"/>
          <w:iCs w:val="1"/>
          <w:color w:val="auto"/>
        </w:rPr>
        <w:t>Market for Registrant’s Common Equity, Related Stockholder Matters and Issuer Purchases of Equity Securities.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Market Information for Our Common Stock</w:t>
      </w:r>
    </w:p>
    <w:p>
      <w:pPr>
        <w:spacing w:after="0" w:line="20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Our common stock is traded on the New York Stock Exchange (“NYSE”) under the symbol “DY.”</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Holders</w:t>
      </w:r>
    </w:p>
    <w:p>
      <w:pPr>
        <w:spacing w:after="0" w:line="20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As of February 25, 2025, there were approximately 546 holders of record of our $0.33 1/3 par value per share common stock.</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Dividend Policy</w:t>
      </w:r>
    </w:p>
    <w:p>
      <w:pPr>
        <w:spacing w:after="0" w:line="202" w:lineRule="exact"/>
        <w:rPr>
          <w:sz w:val="20"/>
          <w:szCs w:val="20"/>
          <w:color w:val="auto"/>
        </w:rPr>
      </w:pPr>
    </w:p>
    <w:p>
      <w:pPr>
        <w:ind w:right="160" w:firstLine="255"/>
        <w:spacing w:after="0" w:line="270" w:lineRule="auto"/>
        <w:rPr>
          <w:sz w:val="20"/>
          <w:szCs w:val="20"/>
          <w:color w:val="auto"/>
        </w:rPr>
      </w:pPr>
      <w:r>
        <w:rPr>
          <w:rFonts w:ascii="Times New Roman" w:cs="Times New Roman" w:eastAsia="Times New Roman" w:hAnsi="Times New Roman"/>
          <w:sz w:val="14"/>
          <w:szCs w:val="14"/>
          <w:color w:val="auto"/>
        </w:rPr>
        <w:t>We have not paid cash dividends since 1982. Our Board of Directors occasionally evaluates the payment of a dividend based on our financial condition, profitability, cash flow, capital requirements, and the outlook of our business. We currently intend to retain any earnings for use in the business and other capital allocation strategies which may include investment in acquisitions and share repurchases. Consequently, we do not anticipate paying any cash dividends on our common stock in the foreseeable future.</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Securities Authorized for Issuance Under Equity Compensation Plans</w:t>
      </w:r>
    </w:p>
    <w:p>
      <w:pPr>
        <w:spacing w:after="0" w:line="202" w:lineRule="exact"/>
        <w:rPr>
          <w:sz w:val="20"/>
          <w:szCs w:val="20"/>
          <w:color w:val="auto"/>
        </w:rPr>
      </w:pPr>
    </w:p>
    <w:p>
      <w:pPr>
        <w:ind w:right="140" w:firstLine="255"/>
        <w:spacing w:after="0" w:line="287" w:lineRule="auto"/>
        <w:rPr>
          <w:sz w:val="20"/>
          <w:szCs w:val="20"/>
          <w:color w:val="auto"/>
        </w:rPr>
      </w:pPr>
      <w:r>
        <w:rPr>
          <w:rFonts w:ascii="Times New Roman" w:cs="Times New Roman" w:eastAsia="Times New Roman" w:hAnsi="Times New Roman"/>
          <w:sz w:val="14"/>
          <w:szCs w:val="14"/>
          <w:color w:val="auto"/>
        </w:rPr>
        <w:t>The information required by this item is hereby incorporated by reference from the section entitled “Equity Compensation Plan Information” found in our definitive proxy statement to be filed with the Securities and Exchange Commission pursuant to Regulation 14A.</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Issuer Purchases of Equity Securities</w:t>
      </w:r>
    </w:p>
    <w:p>
      <w:pPr>
        <w:spacing w:after="0" w:line="20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following table summarizes the Company’s purchases of its common stock during the three months ended January 25, 2025:</w:t>
      </w:r>
    </w:p>
    <w:p>
      <w:pPr>
        <w:sectPr>
          <w:pgSz w:w="11900" w:h="16838" w:orient="portrait"/>
          <w:cols w:equalWidth="0" w:num="1">
            <w:col w:w="11240"/>
          </w:cols>
          <w:pgMar w:left="300" w:top="125" w:right="359" w:bottom="1440" w:gutter="0" w:footer="0" w:header="0"/>
        </w:sectPr>
      </w:pP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Total Number of</w:t>
            </w:r>
          </w:p>
        </w:tc>
        <w:tc>
          <w:tcPr>
            <w:tcW w:w="100" w:type="dxa"/>
            <w:vAlign w:val="bottom"/>
          </w:tcPr>
          <w:p>
            <w:pPr>
              <w:spacing w:after="0"/>
              <w:rPr>
                <w:sz w:val="13"/>
                <w:szCs w:val="13"/>
                <w:color w:val="auto"/>
              </w:rPr>
            </w:pPr>
          </w:p>
        </w:tc>
        <w:tc>
          <w:tcPr>
            <w:tcW w:w="980" w:type="dxa"/>
            <w:vAlign w:val="bottom"/>
          </w:tcPr>
          <w:p>
            <w:pPr>
              <w:jc w:val="center"/>
              <w:ind w:right="34"/>
              <w:spacing w:after="0"/>
              <w:rPr>
                <w:sz w:val="20"/>
                <w:szCs w:val="20"/>
                <w:color w:val="auto"/>
              </w:rPr>
            </w:pPr>
            <w:r>
              <w:rPr>
                <w:rFonts w:ascii="Times New Roman" w:cs="Times New Roman" w:eastAsia="Times New Roman" w:hAnsi="Times New Roman"/>
                <w:sz w:val="14"/>
                <w:szCs w:val="14"/>
                <w:b w:val="1"/>
                <w:bCs w:val="1"/>
                <w:color w:val="auto"/>
                <w:w w:val="99"/>
              </w:rPr>
              <w:t>Average Price</w:t>
            </w:r>
          </w:p>
        </w:tc>
        <w:tc>
          <w:tcPr>
            <w:tcW w:w="0" w:type="dxa"/>
            <w:vAlign w:val="bottom"/>
          </w:tcPr>
          <w:p>
            <w:pPr>
              <w:spacing w:after="0"/>
              <w:rPr>
                <w:sz w:val="1"/>
                <w:szCs w:val="1"/>
                <w:color w:val="auto"/>
              </w:rPr>
            </w:pPr>
          </w:p>
        </w:tc>
      </w:tr>
      <w:tr>
        <w:trPr>
          <w:trHeight w:val="138"/>
        </w:trPr>
        <w:tc>
          <w:tcPr>
            <w:tcW w:w="3940" w:type="dxa"/>
            <w:vAlign w:val="bottom"/>
            <w:gridSpan w:val="2"/>
            <w:vMerge w:val="restart"/>
          </w:tcPr>
          <w:p>
            <w:pPr>
              <w:ind w:left="1720"/>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1420" w:type="dxa"/>
            <w:vAlign w:val="bottom"/>
            <w:gridSpan w:val="2"/>
            <w:vMerge w:val="continue"/>
          </w:tcPr>
          <w:p>
            <w:pPr>
              <w:spacing w:after="0"/>
              <w:rPr>
                <w:sz w:val="11"/>
                <w:szCs w:val="11"/>
                <w:color w:val="auto"/>
              </w:rPr>
            </w:pPr>
          </w:p>
        </w:tc>
        <w:tc>
          <w:tcPr>
            <w:tcW w:w="1080" w:type="dxa"/>
            <w:vAlign w:val="bottom"/>
            <w:gridSpan w:val="2"/>
          </w:tcPr>
          <w:p>
            <w:pPr>
              <w:jc w:val="center"/>
              <w:spacing w:after="0" w:line="138" w:lineRule="exact"/>
              <w:rPr>
                <w:sz w:val="20"/>
                <w:szCs w:val="20"/>
                <w:color w:val="auto"/>
              </w:rPr>
            </w:pPr>
            <w:r>
              <w:rPr>
                <w:rFonts w:ascii="Times New Roman" w:cs="Times New Roman" w:eastAsia="Times New Roman" w:hAnsi="Times New Roman"/>
                <w:sz w:val="14"/>
                <w:szCs w:val="14"/>
                <w:b w:val="1"/>
                <w:bCs w:val="1"/>
                <w:color w:val="auto"/>
              </w:rPr>
              <w:t>Paid Per Share</w:t>
            </w:r>
          </w:p>
        </w:tc>
        <w:tc>
          <w:tcPr>
            <w:tcW w:w="0" w:type="dxa"/>
            <w:vAlign w:val="bottom"/>
          </w:tcPr>
          <w:p>
            <w:pPr>
              <w:spacing w:after="0"/>
              <w:rPr>
                <w:sz w:val="1"/>
                <w:szCs w:val="1"/>
                <w:color w:val="auto"/>
              </w:rPr>
            </w:pPr>
          </w:p>
        </w:tc>
      </w:tr>
      <w:tr>
        <w:trPr>
          <w:trHeight w:val="138"/>
        </w:trPr>
        <w:tc>
          <w:tcPr>
            <w:tcW w:w="3940" w:type="dxa"/>
            <w:vAlign w:val="bottom"/>
            <w:gridSpan w:val="2"/>
            <w:vMerge w:val="continue"/>
          </w:tcPr>
          <w:p>
            <w:pPr>
              <w:spacing w:after="0"/>
              <w:rPr>
                <w:sz w:val="11"/>
                <w:szCs w:val="11"/>
                <w:color w:val="auto"/>
              </w:rPr>
            </w:pPr>
          </w:p>
        </w:tc>
        <w:tc>
          <w:tcPr>
            <w:tcW w:w="1420" w:type="dxa"/>
            <w:vAlign w:val="bottom"/>
            <w:gridSpan w:val="2"/>
          </w:tcPr>
          <w:p>
            <w:pPr>
              <w:jc w:val="center"/>
              <w:ind w:right="100"/>
              <w:spacing w:after="0" w:line="138" w:lineRule="exact"/>
              <w:rPr>
                <w:sz w:val="20"/>
                <w:szCs w:val="20"/>
                <w:color w:val="auto"/>
              </w:rPr>
            </w:pPr>
            <w:r>
              <w:rPr>
                <w:rFonts w:ascii="Times New Roman" w:cs="Times New Roman" w:eastAsia="Times New Roman" w:hAnsi="Times New Roman"/>
                <w:sz w:val="12"/>
                <w:szCs w:val="12"/>
                <w:b w:val="1"/>
                <w:bCs w:val="1"/>
                <w:color w:val="auto"/>
              </w:rPr>
              <w:t xml:space="preserve">Shares Purchased </w:t>
            </w:r>
            <w:r>
              <w:rPr>
                <w:rFonts w:ascii="Times New Roman" w:cs="Times New Roman" w:eastAsia="Times New Roman" w:hAnsi="Times New Roman"/>
                <w:sz w:val="15"/>
                <w:szCs w:val="15"/>
                <w:b w:val="1"/>
                <w:bCs w:val="1"/>
                <w:color w:val="auto"/>
                <w:vertAlign w:val="superscript"/>
              </w:rPr>
              <w:t>(1)</w:t>
            </w:r>
          </w:p>
        </w:tc>
        <w:tc>
          <w:tcPr>
            <w:tcW w:w="100" w:type="dxa"/>
            <w:vAlign w:val="bottom"/>
          </w:tcPr>
          <w:p>
            <w:pPr>
              <w:spacing w:after="0"/>
              <w:rPr>
                <w:sz w:val="11"/>
                <w:szCs w:val="11"/>
                <w:color w:val="auto"/>
              </w:rPr>
            </w:pPr>
          </w:p>
        </w:tc>
        <w:tc>
          <w:tcPr>
            <w:tcW w:w="980" w:type="dxa"/>
            <w:vAlign w:val="bottom"/>
          </w:tcPr>
          <w:p>
            <w:pPr>
              <w:jc w:val="center"/>
              <w:ind w:right="34"/>
              <w:spacing w:after="0"/>
              <w:rPr>
                <w:sz w:val="20"/>
                <w:szCs w:val="20"/>
                <w:color w:val="auto"/>
              </w:rPr>
            </w:pPr>
            <w:r>
              <w:rPr>
                <w:rFonts w:ascii="Times New Roman" w:cs="Times New Roman" w:eastAsia="Times New Roman" w:hAnsi="Times New Roman"/>
                <w:sz w:val="9"/>
                <w:szCs w:val="9"/>
                <w:b w:val="1"/>
                <w:bCs w:val="1"/>
                <w:color w:val="auto"/>
              </w:rPr>
              <w:t>(2)</w:t>
            </w:r>
          </w:p>
        </w:tc>
        <w:tc>
          <w:tcPr>
            <w:tcW w:w="0" w:type="dxa"/>
            <w:vAlign w:val="bottom"/>
          </w:tcPr>
          <w:p>
            <w:pPr>
              <w:spacing w:after="0"/>
              <w:rPr>
                <w:sz w:val="1"/>
                <w:szCs w:val="1"/>
                <w:color w:val="auto"/>
              </w:rPr>
            </w:pPr>
          </w:p>
        </w:tc>
      </w:tr>
      <w:tr>
        <w:trPr>
          <w:trHeight w:val="167"/>
        </w:trPr>
        <w:tc>
          <w:tcPr>
            <w:tcW w:w="38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October 27, 2024 - November 23, 2024</w:t>
            </w:r>
          </w:p>
        </w:tc>
        <w:tc>
          <w:tcPr>
            <w:tcW w:w="100" w:type="dxa"/>
            <w:vAlign w:val="bottom"/>
          </w:tcPr>
          <w:p>
            <w:pPr>
              <w:spacing w:after="0"/>
              <w:rPr>
                <w:sz w:val="14"/>
                <w:szCs w:val="14"/>
                <w:color w:val="auto"/>
              </w:rPr>
            </w:pP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39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November 24, 2024 - December 21, 2024</w:t>
            </w:r>
          </w:p>
        </w:tc>
        <w:tc>
          <w:tcPr>
            <w:tcW w:w="14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4"/>
        </w:trPr>
        <w:tc>
          <w:tcPr>
            <w:tcW w:w="39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December 22, 2024 - January 25, 2025</w:t>
            </w: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200,000</w:t>
            </w:r>
          </w:p>
        </w:tc>
        <w:tc>
          <w:tcPr>
            <w:tcW w:w="10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179.27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-349250</wp:posOffset>
            </wp:positionV>
            <wp:extent cx="7127875" cy="12128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27875" cy="1212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-113665</wp:posOffset>
            </wp:positionV>
            <wp:extent cx="7127875" cy="1143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27875" cy="11430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4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Total Number of Shares Purchased as</w:t>
            </w:r>
          </w:p>
        </w:tc>
        <w:tc>
          <w:tcPr>
            <w:tcW w:w="22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Maximum Number of Shares that</w:t>
            </w:r>
          </w:p>
        </w:tc>
        <w:tc>
          <w:tcPr>
            <w:tcW w:w="0" w:type="dxa"/>
            <w:vAlign w:val="bottom"/>
          </w:tcPr>
          <w:p>
            <w:pPr>
              <w:spacing w:after="0"/>
              <w:rPr>
                <w:sz w:val="1"/>
                <w:szCs w:val="1"/>
                <w:color w:val="auto"/>
              </w:rPr>
            </w:pPr>
          </w:p>
        </w:tc>
      </w:tr>
      <w:tr>
        <w:trPr>
          <w:trHeight w:val="142"/>
        </w:trPr>
        <w:tc>
          <w:tcPr>
            <w:tcW w:w="2480" w:type="dxa"/>
            <w:vAlign w:val="bottom"/>
            <w:gridSpan w:val="2"/>
          </w:tcPr>
          <w:p>
            <w:pPr>
              <w:jc w:val="center"/>
              <w:ind w:right="100"/>
              <w:spacing w:after="0" w:line="143" w:lineRule="exact"/>
              <w:rPr>
                <w:sz w:val="20"/>
                <w:szCs w:val="20"/>
                <w:color w:val="auto"/>
              </w:rPr>
            </w:pPr>
            <w:r>
              <w:rPr>
                <w:rFonts w:ascii="Times New Roman" w:cs="Times New Roman" w:eastAsia="Times New Roman" w:hAnsi="Times New Roman"/>
                <w:sz w:val="14"/>
                <w:szCs w:val="14"/>
                <w:b w:val="1"/>
                <w:bCs w:val="1"/>
                <w:color w:val="auto"/>
              </w:rPr>
              <w:t>Part of Publicly Announced Plans or</w:t>
            </w:r>
          </w:p>
        </w:tc>
        <w:tc>
          <w:tcPr>
            <w:tcW w:w="2240" w:type="dxa"/>
            <w:vAlign w:val="bottom"/>
          </w:tcPr>
          <w:p>
            <w:pPr>
              <w:jc w:val="center"/>
              <w:spacing w:after="0" w:line="143" w:lineRule="exact"/>
              <w:rPr>
                <w:sz w:val="20"/>
                <w:szCs w:val="20"/>
                <w:color w:val="auto"/>
              </w:rPr>
            </w:pPr>
            <w:r>
              <w:rPr>
                <w:rFonts w:ascii="Times New Roman" w:cs="Times New Roman" w:eastAsia="Times New Roman" w:hAnsi="Times New Roman"/>
                <w:sz w:val="14"/>
                <w:szCs w:val="14"/>
                <w:b w:val="1"/>
                <w:bCs w:val="1"/>
                <w:color w:val="auto"/>
              </w:rPr>
              <w:t>May Yet Be Purchased Under the</w:t>
            </w:r>
          </w:p>
        </w:tc>
        <w:tc>
          <w:tcPr>
            <w:tcW w:w="0" w:type="dxa"/>
            <w:vAlign w:val="bottom"/>
          </w:tcPr>
          <w:p>
            <w:pPr>
              <w:spacing w:after="0"/>
              <w:rPr>
                <w:sz w:val="1"/>
                <w:szCs w:val="1"/>
                <w:color w:val="auto"/>
              </w:rPr>
            </w:pPr>
          </w:p>
        </w:tc>
      </w:tr>
      <w:tr>
        <w:trPr>
          <w:trHeight w:val="186"/>
        </w:trPr>
        <w:tc>
          <w:tcPr>
            <w:tcW w:w="2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Programs</w:t>
            </w:r>
          </w:p>
        </w:tc>
        <w:tc>
          <w:tcPr>
            <w:tcW w:w="100" w:type="dxa"/>
            <w:vAlign w:val="bottom"/>
          </w:tcPr>
          <w:p>
            <w:pPr>
              <w:spacing w:after="0"/>
              <w:rPr>
                <w:sz w:val="16"/>
                <w:szCs w:val="16"/>
                <w:color w:val="auto"/>
              </w:rPr>
            </w:pPr>
          </w:p>
        </w:tc>
        <w:tc>
          <w:tcPr>
            <w:tcW w:w="2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Plans or Programs</w:t>
            </w:r>
          </w:p>
        </w:tc>
        <w:tc>
          <w:tcPr>
            <w:tcW w:w="0" w:type="dxa"/>
            <w:vAlign w:val="bottom"/>
          </w:tcPr>
          <w:p>
            <w:pPr>
              <w:spacing w:after="0"/>
              <w:rPr>
                <w:sz w:val="1"/>
                <w:szCs w:val="1"/>
                <w:color w:val="auto"/>
              </w:rPr>
            </w:pPr>
          </w:p>
        </w:tc>
      </w:tr>
      <w:tr>
        <w:trPr>
          <w:trHeight w:val="111"/>
        </w:trPr>
        <w:tc>
          <w:tcPr>
            <w:tcW w:w="24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color w:val="auto"/>
                <w:w w:val="99"/>
              </w:rPr>
              <w:t>—</w:t>
            </w:r>
          </w:p>
        </w:tc>
        <w:tc>
          <w:tcPr>
            <w:tcW w:w="2240" w:type="dxa"/>
            <w:vAlign w:val="bottom"/>
          </w:tcPr>
          <w:p>
            <w:pPr>
              <w:jc w:val="center"/>
              <w:spacing w:after="0"/>
              <w:rPr>
                <w:sz w:val="20"/>
                <w:szCs w:val="20"/>
                <w:color w:val="auto"/>
              </w:rPr>
            </w:pPr>
            <w:r>
              <w:rPr>
                <w:rFonts w:ascii="Times New Roman" w:cs="Times New Roman" w:eastAsia="Times New Roman" w:hAnsi="Times New Roman"/>
                <w:sz w:val="9"/>
                <w:szCs w:val="9"/>
                <w:color w:val="auto"/>
                <w:w w:val="94"/>
              </w:rPr>
              <w:t>(3)</w:t>
            </w:r>
          </w:p>
        </w:tc>
        <w:tc>
          <w:tcPr>
            <w:tcW w:w="0" w:type="dxa"/>
            <w:vAlign w:val="bottom"/>
          </w:tcPr>
          <w:p>
            <w:pPr>
              <w:spacing w:after="0"/>
              <w:rPr>
                <w:sz w:val="1"/>
                <w:szCs w:val="1"/>
                <w:color w:val="auto"/>
              </w:rPr>
            </w:pPr>
          </w:p>
        </w:tc>
      </w:tr>
      <w:tr>
        <w:trPr>
          <w:trHeight w:val="56"/>
        </w:trPr>
        <w:tc>
          <w:tcPr>
            <w:tcW w:w="2480" w:type="dxa"/>
            <w:vAlign w:val="bottom"/>
            <w:gridSpan w:val="2"/>
            <w:vMerge w:val="continue"/>
          </w:tcPr>
          <w:p>
            <w:pPr>
              <w:spacing w:after="0"/>
              <w:rPr>
                <w:sz w:val="4"/>
                <w:szCs w:val="4"/>
                <w:color w:val="auto"/>
              </w:rPr>
            </w:pPr>
          </w:p>
        </w:tc>
        <w:tc>
          <w:tcPr>
            <w:tcW w:w="2240" w:type="dxa"/>
            <w:vAlign w:val="bottom"/>
            <w:vMerge w:val="restart"/>
          </w:tcPr>
          <w:p>
            <w:pPr>
              <w:jc w:val="center"/>
              <w:spacing w:after="0"/>
              <w:rPr>
                <w:sz w:val="20"/>
                <w:szCs w:val="20"/>
                <w:color w:val="auto"/>
              </w:rPr>
            </w:pPr>
            <w:r>
              <w:rPr>
                <w:rFonts w:ascii="Times New Roman" w:cs="Times New Roman" w:eastAsia="Times New Roman" w:hAnsi="Times New Roman"/>
                <w:sz w:val="9"/>
                <w:szCs w:val="9"/>
                <w:color w:val="auto"/>
                <w:w w:val="94"/>
              </w:rPr>
              <w:t>(3)</w:t>
            </w:r>
          </w:p>
        </w:tc>
        <w:tc>
          <w:tcPr>
            <w:tcW w:w="0" w:type="dxa"/>
            <w:vAlign w:val="bottom"/>
          </w:tcPr>
          <w:p>
            <w:pPr>
              <w:spacing w:after="0"/>
              <w:rPr>
                <w:sz w:val="1"/>
                <w:szCs w:val="1"/>
                <w:color w:val="auto"/>
              </w:rPr>
            </w:pPr>
          </w:p>
        </w:tc>
      </w:tr>
      <w:tr>
        <w:trPr>
          <w:trHeight w:val="96"/>
        </w:trPr>
        <w:tc>
          <w:tcPr>
            <w:tcW w:w="24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color w:val="auto"/>
                <w:w w:val="99"/>
              </w:rPr>
              <w:t>—</w:t>
            </w:r>
          </w:p>
        </w:tc>
        <w:tc>
          <w:tcPr>
            <w:tcW w:w="22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5"/>
        </w:trPr>
        <w:tc>
          <w:tcPr>
            <w:tcW w:w="2480" w:type="dxa"/>
            <w:vAlign w:val="bottom"/>
            <w:gridSpan w:val="2"/>
            <w:vMerge w:val="continue"/>
          </w:tcPr>
          <w:p>
            <w:pPr>
              <w:spacing w:after="0"/>
              <w:rPr>
                <w:sz w:val="7"/>
                <w:szCs w:val="7"/>
                <w:color w:val="auto"/>
              </w:rPr>
            </w:pPr>
          </w:p>
        </w:tc>
        <w:tc>
          <w:tcPr>
            <w:tcW w:w="2240" w:type="dxa"/>
            <w:vAlign w:val="bottom"/>
            <w:vMerge w:val="restart"/>
          </w:tcPr>
          <w:p>
            <w:pPr>
              <w:jc w:val="center"/>
              <w:spacing w:after="0"/>
              <w:rPr>
                <w:sz w:val="20"/>
                <w:szCs w:val="20"/>
                <w:color w:val="auto"/>
              </w:rPr>
            </w:pPr>
            <w:r>
              <w:rPr>
                <w:rFonts w:ascii="Times New Roman" w:cs="Times New Roman" w:eastAsia="Times New Roman" w:hAnsi="Times New Roman"/>
                <w:sz w:val="9"/>
                <w:szCs w:val="9"/>
                <w:color w:val="auto"/>
                <w:w w:val="94"/>
              </w:rPr>
              <w:t>(3)</w:t>
            </w:r>
          </w:p>
        </w:tc>
        <w:tc>
          <w:tcPr>
            <w:tcW w:w="0" w:type="dxa"/>
            <w:vAlign w:val="bottom"/>
          </w:tcPr>
          <w:p>
            <w:pPr>
              <w:spacing w:after="0"/>
              <w:rPr>
                <w:sz w:val="1"/>
                <w:szCs w:val="1"/>
                <w:color w:val="auto"/>
              </w:rPr>
            </w:pPr>
          </w:p>
        </w:tc>
      </w:tr>
      <w:tr>
        <w:trPr>
          <w:trHeight w:val="96"/>
        </w:trPr>
        <w:tc>
          <w:tcPr>
            <w:tcW w:w="24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color w:val="auto"/>
                <w:w w:val="99"/>
              </w:rPr>
              <w:t>—</w:t>
            </w:r>
          </w:p>
        </w:tc>
        <w:tc>
          <w:tcPr>
            <w:tcW w:w="22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8"/>
        </w:trPr>
        <w:tc>
          <w:tcPr>
            <w:tcW w:w="2480" w:type="dxa"/>
            <w:vAlign w:val="bottom"/>
            <w:gridSpan w:val="2"/>
            <w:vMerge w:val="continue"/>
          </w:tcPr>
          <w:p>
            <w:pPr>
              <w:spacing w:after="0"/>
              <w:rPr>
                <w:sz w:val="7"/>
                <w:szCs w:val="7"/>
                <w:color w:val="auto"/>
              </w:rPr>
            </w:pPr>
          </w:p>
        </w:tc>
        <w:tc>
          <w:tcPr>
            <w:tcW w:w="224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59" w:lineRule="exact"/>
        <w:rPr>
          <w:sz w:val="20"/>
          <w:szCs w:val="20"/>
          <w:color w:val="auto"/>
        </w:rPr>
      </w:pPr>
    </w:p>
    <w:p>
      <w:pPr>
        <w:sectPr>
          <w:pgSz w:w="11900" w:h="16838" w:orient="portrait"/>
          <w:cols w:equalWidth="0" w:num="2">
            <w:col w:w="6440" w:space="80"/>
            <w:col w:w="4720"/>
          </w:cols>
          <w:pgMar w:left="300" w:top="125" w:right="359" w:bottom="1440" w:gutter="0" w:footer="0" w:header="0"/>
          <w:type w:val="continuous"/>
        </w:sectPr>
      </w:pPr>
    </w:p>
    <w:p>
      <w:pPr>
        <w:ind w:left="140" w:hanging="135"/>
        <w:spacing w:after="0"/>
        <w:tabs>
          <w:tab w:leader="none" w:pos="140" w:val="left"/>
        </w:tabs>
        <w:numPr>
          <w:ilvl w:val="0"/>
          <w:numId w:val="5"/>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All shares repurchased have been subsequently canceled.</w:t>
      </w:r>
    </w:p>
    <w:p>
      <w:pPr>
        <w:spacing w:after="0" w:line="1" w:lineRule="exact"/>
        <w:rPr>
          <w:rFonts w:ascii="Times New Roman" w:cs="Times New Roman" w:eastAsia="Times New Roman" w:hAnsi="Times New Roman"/>
          <w:sz w:val="17"/>
          <w:szCs w:val="17"/>
          <w:color w:val="auto"/>
          <w:vertAlign w:val="superscript"/>
        </w:rPr>
      </w:pPr>
    </w:p>
    <w:p>
      <w:pPr>
        <w:ind w:left="140" w:hanging="135"/>
        <w:spacing w:after="0" w:line="206" w:lineRule="auto"/>
        <w:tabs>
          <w:tab w:leader="none" w:pos="140" w:val="left"/>
        </w:tabs>
        <w:numPr>
          <w:ilvl w:val="0"/>
          <w:numId w:val="5"/>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Average price paid per share excludes 1% excise tax on share repurchases.</w:t>
      </w:r>
    </w:p>
    <w:p>
      <w:pPr>
        <w:spacing w:after="0" w:line="12" w:lineRule="exact"/>
        <w:rPr>
          <w:rFonts w:ascii="Times New Roman" w:cs="Times New Roman" w:eastAsia="Times New Roman" w:hAnsi="Times New Roman"/>
          <w:sz w:val="17"/>
          <w:szCs w:val="17"/>
          <w:color w:val="auto"/>
          <w:vertAlign w:val="superscript"/>
        </w:rPr>
      </w:pPr>
    </w:p>
    <w:p>
      <w:pPr>
        <w:ind w:right="60" w:firstLine="5"/>
        <w:spacing w:after="0" w:line="249" w:lineRule="auto"/>
        <w:tabs>
          <w:tab w:leader="none" w:pos="142" w:val="left"/>
        </w:tabs>
        <w:numPr>
          <w:ilvl w:val="0"/>
          <w:numId w:val="5"/>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On August 23, 2023, the Company announced that its Board of Directors authorized a new $150.0 million program to repurchase shares of the Company’s outstanding common stock through February 2025 in open market or private transactions. During the fourth quarter of fiscal 2025 we repurchased 200,000 shares of common stock, at an average price of $179.27, for $35.9 million. As of January 25, 2025, $55.0 million of the authorization remained available for repurchases. On February 26,</w:t>
      </w:r>
    </w:p>
    <w:p>
      <w:pPr>
        <w:spacing w:after="0" w:line="200" w:lineRule="exact"/>
        <w:rPr>
          <w:sz w:val="20"/>
          <w:szCs w:val="20"/>
          <w:color w:val="auto"/>
        </w:rPr>
      </w:pPr>
    </w:p>
    <w:p>
      <w:pPr>
        <w:spacing w:after="0" w:line="21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125" w:right="359" w:bottom="1440" w:gutter="0" w:footer="0" w:header="0"/>
          <w:type w:val="continuous"/>
        </w:sectPr>
      </w:pPr>
    </w:p>
    <w:bookmarkStart w:id="21" w:name="page22"/>
    <w:bookmarkEnd w:id="21"/>
    <w:p>
      <w:pPr>
        <w:ind w:left="2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44" w:lineRule="exact"/>
        <w:rPr>
          <w:sz w:val="20"/>
          <w:szCs w:val="20"/>
          <w:color w:val="auto"/>
        </w:rPr>
      </w:pPr>
    </w:p>
    <w:p>
      <w:pPr>
        <w:jc w:val="both"/>
        <w:ind w:right="80"/>
        <w:spacing w:after="0" w:line="270" w:lineRule="auto"/>
        <w:rPr>
          <w:sz w:val="20"/>
          <w:szCs w:val="20"/>
          <w:color w:val="auto"/>
        </w:rPr>
      </w:pPr>
      <w:r>
        <w:rPr>
          <w:rFonts w:ascii="Times New Roman" w:cs="Times New Roman" w:eastAsia="Times New Roman" w:hAnsi="Times New Roman"/>
          <w:sz w:val="14"/>
          <w:szCs w:val="14"/>
          <w:color w:val="auto"/>
        </w:rPr>
        <w:t>2025, the Company announced that its Board of Directors had authorized a new $150.0 million program to repurchase shares of the Company’s outstanding common stock through August 2026 in open market or private transactions. The new authorization replaces the remaining $55.0 million that was available under the prior authorization. As of February 28, 2025, the full $150.0 million of the new authorization was available for repurchases.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Performance Graph</w:t>
      </w:r>
    </w:p>
    <w:p>
      <w:pPr>
        <w:spacing w:after="0" w:line="20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performance graph below compares the cumulative total return for our common stock with the cumulative total return (including reinvestment of dividends) of the Standard &amp; Poor’s (S&amp;P)</w:t>
      </w:r>
    </w:p>
    <w:p>
      <w:pPr>
        <w:spacing w:after="0" w:line="23" w:lineRule="exact"/>
        <w:rPr>
          <w:sz w:val="20"/>
          <w:szCs w:val="20"/>
          <w:color w:val="auto"/>
        </w:rPr>
      </w:pPr>
    </w:p>
    <w:p>
      <w:pPr>
        <w:ind w:right="220"/>
        <w:spacing w:after="0" w:line="259" w:lineRule="auto"/>
        <w:rPr>
          <w:sz w:val="20"/>
          <w:szCs w:val="20"/>
          <w:color w:val="auto"/>
        </w:rPr>
      </w:pPr>
      <w:r>
        <w:rPr>
          <w:rFonts w:ascii="Times New Roman" w:cs="Times New Roman" w:eastAsia="Times New Roman" w:hAnsi="Times New Roman"/>
          <w:sz w:val="14"/>
          <w:szCs w:val="14"/>
          <w:color w:val="auto"/>
        </w:rPr>
        <w:t>500 Composite Stock Index and that of a selected peer group for fiscal 2021 through fiscal 2025. The selected peer group consists of MasTec, Inc., Quanta Services, Inc., MYR Group, Inc., and Primoris Services Corporation. The graph assumes an investment of $100 in our common stock and in each of the respective indices noted on January 31, 2020. The comparisons in the graph are required by the Securities and Exchange Commission and are not intended to forecast or be indicative of the possible future performance of our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165100</wp:posOffset>
            </wp:positionH>
            <wp:positionV relativeFrom="paragraph">
              <wp:posOffset>114300</wp:posOffset>
            </wp:positionV>
            <wp:extent cx="4446270" cy="3691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4446270" cy="3691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00"/>
          </w:cols>
          <w:pgMar w:left="300" w:top="125" w:right="399" w:bottom="1440" w:gutter="0" w:footer="0" w:header="0"/>
        </w:sectPr>
      </w:pPr>
    </w:p>
    <w:bookmarkStart w:id="22" w:name="page23"/>
    <w:bookmarkEnd w:id="22"/>
    <w:p>
      <w:pPr>
        <w:ind w:left="2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 xml:space="preserve">Item 6. </w:t>
      </w:r>
      <w:r>
        <w:rPr>
          <w:rFonts w:ascii="Times New Roman" w:cs="Times New Roman" w:eastAsia="Times New Roman" w:hAnsi="Times New Roman"/>
          <w:sz w:val="14"/>
          <w:szCs w:val="14"/>
          <w:b w:val="1"/>
          <w:bCs w:val="1"/>
          <w:i w:val="1"/>
          <w:iCs w:val="1"/>
          <w:color w:val="auto"/>
        </w:rPr>
        <w:t>Selected Financial Data.</w:t>
      </w:r>
    </w:p>
    <w:p>
      <w:pPr>
        <w:spacing w:after="0" w:line="202" w:lineRule="exact"/>
        <w:rPr>
          <w:sz w:val="20"/>
          <w:szCs w:val="20"/>
          <w:color w:val="auto"/>
        </w:rPr>
      </w:pPr>
    </w:p>
    <w:p>
      <w:pPr>
        <w:ind w:right="20" w:firstLine="255"/>
        <w:spacing w:after="0" w:line="270" w:lineRule="auto"/>
        <w:rPr>
          <w:sz w:val="20"/>
          <w:szCs w:val="20"/>
          <w:color w:val="auto"/>
        </w:rPr>
      </w:pPr>
      <w:r>
        <w:rPr>
          <w:rFonts w:ascii="Times New Roman" w:cs="Times New Roman" w:eastAsia="Times New Roman" w:hAnsi="Times New Roman"/>
          <w:sz w:val="14"/>
          <w:szCs w:val="14"/>
          <w:color w:val="auto"/>
        </w:rPr>
        <w:t>Our fiscal year ends on the last Saturday in January. As a result, each fiscal year consists of either 52 weeks or 53 weeks of operations (with the additional week of operations occurring in the fourth quarter). Fiscal 2025, fiscal 2024, and fiscal 2023 each consisted of 52 weeks of operations. The next 53 week fiscal period will occur in the fiscal year ending January 31, 2026. The following selected financial data is derived from the audited consolidated financial statements for the applicable fiscal year.</w:t>
      </w:r>
    </w:p>
    <w:p>
      <w:pPr>
        <w:spacing w:after="0" w:line="155" w:lineRule="exact"/>
        <w:rPr>
          <w:sz w:val="20"/>
          <w:szCs w:val="20"/>
          <w:color w:val="auto"/>
        </w:rPr>
      </w:pPr>
    </w:p>
    <w:p>
      <w:pPr>
        <w:jc w:val="both"/>
        <w:ind w:right="120" w:firstLine="255"/>
        <w:spacing w:after="0" w:line="268" w:lineRule="auto"/>
        <w:rPr>
          <w:sz w:val="20"/>
          <w:szCs w:val="20"/>
          <w:color w:val="auto"/>
        </w:rPr>
      </w:pPr>
      <w:r>
        <w:rPr>
          <w:rFonts w:ascii="Times New Roman" w:cs="Times New Roman" w:eastAsia="Times New Roman" w:hAnsi="Times New Roman"/>
          <w:sz w:val="14"/>
          <w:szCs w:val="14"/>
          <w:color w:val="auto"/>
        </w:rPr>
        <w:t xml:space="preserve">The selected financial data below should be read in conjunction with our consolidated financial statements and accompanying notes, and with Item 7, </w:t>
      </w:r>
      <w:r>
        <w:rPr>
          <w:rFonts w:ascii="Times New Roman" w:cs="Times New Roman" w:eastAsia="Times New Roman" w:hAnsi="Times New Roman"/>
          <w:sz w:val="14"/>
          <w:szCs w:val="14"/>
          <w:i w:val="1"/>
          <w:iCs w:val="1"/>
          <w:color w:val="auto"/>
        </w:rPr>
        <w:t>Management’s Discussion and Analysis of</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Financial Condition and Results of Operations</w:t>
      </w:r>
      <w:r>
        <w:rPr>
          <w:rFonts w:ascii="Times New Roman" w:cs="Times New Roman" w:eastAsia="Times New Roman" w:hAnsi="Times New Roman"/>
          <w:sz w:val="14"/>
          <w:szCs w:val="14"/>
          <w:color w:val="auto"/>
        </w:rPr>
        <w:t>, in this Annual Report on Form 10-K. The results of operations of businesses acquired are included in the following selected financial data from their</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dates of acquisition (dollars in thousands, except per share amounts):</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450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Fiscal Year Ended</w:t>
            </w:r>
          </w:p>
        </w:tc>
        <w:tc>
          <w:tcPr>
            <w:tcW w:w="3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r>
      <w:tr>
        <w:trPr>
          <w:trHeight w:val="182"/>
        </w:trPr>
        <w:tc>
          <w:tcPr>
            <w:tcW w:w="4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January 25, 2025</w:t>
            </w:r>
          </w:p>
        </w:tc>
        <w:tc>
          <w:tcPr>
            <w:tcW w:w="100" w:type="dxa"/>
            <w:vAlign w:val="bottom"/>
          </w:tcPr>
          <w:p>
            <w:pPr>
              <w:spacing w:after="0"/>
              <w:rPr>
                <w:sz w:val="15"/>
                <w:szCs w:val="15"/>
                <w:color w:val="auto"/>
              </w:rPr>
            </w:pPr>
          </w:p>
        </w:tc>
        <w:tc>
          <w:tcPr>
            <w:tcW w:w="12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January 27, 2024</w:t>
            </w:r>
          </w:p>
        </w:tc>
        <w:tc>
          <w:tcPr>
            <w:tcW w:w="100" w:type="dxa"/>
            <w:vAlign w:val="bottom"/>
          </w:tcPr>
          <w:p>
            <w:pPr>
              <w:spacing w:after="0"/>
              <w:rPr>
                <w:sz w:val="15"/>
                <w:szCs w:val="15"/>
                <w:color w:val="auto"/>
              </w:rPr>
            </w:pPr>
          </w:p>
        </w:tc>
        <w:tc>
          <w:tcPr>
            <w:tcW w:w="126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January 28, 2023</w:t>
            </w:r>
          </w:p>
        </w:tc>
        <w:tc>
          <w:tcPr>
            <w:tcW w:w="1340" w:type="dxa"/>
            <w:vAlign w:val="bottom"/>
            <w:gridSpan w:val="3"/>
          </w:tcPr>
          <w:p>
            <w:pPr>
              <w:ind w:left="60"/>
              <w:spacing w:after="0" w:line="181" w:lineRule="exact"/>
              <w:rPr>
                <w:sz w:val="20"/>
                <w:szCs w:val="20"/>
                <w:color w:val="auto"/>
              </w:rPr>
            </w:pPr>
            <w:r>
              <w:rPr>
                <w:rFonts w:ascii="Times New Roman" w:cs="Times New Roman" w:eastAsia="Times New Roman" w:hAnsi="Times New Roman"/>
                <w:sz w:val="14"/>
                <w:szCs w:val="14"/>
                <w:b w:val="1"/>
                <w:bCs w:val="1"/>
                <w:color w:val="auto"/>
              </w:rPr>
              <w:t>January 29, 2022</w:t>
            </w:r>
            <w:r>
              <w:rPr>
                <w:rFonts w:ascii="Times New Roman" w:cs="Times New Roman" w:eastAsia="Times New Roman" w:hAnsi="Times New Roman"/>
                <w:sz w:val="18"/>
                <w:szCs w:val="18"/>
                <w:b w:val="1"/>
                <w:bCs w:val="1"/>
                <w:color w:val="auto"/>
                <w:vertAlign w:val="superscript"/>
              </w:rPr>
              <w:t>(1)</w:t>
            </w:r>
          </w:p>
        </w:tc>
        <w:tc>
          <w:tcPr>
            <w:tcW w:w="1260" w:type="dxa"/>
            <w:vAlign w:val="bottom"/>
            <w:gridSpan w:val="2"/>
          </w:tcPr>
          <w:p>
            <w:pPr>
              <w:jc w:val="right"/>
              <w:spacing w:after="0" w:line="181" w:lineRule="exact"/>
              <w:rPr>
                <w:sz w:val="20"/>
                <w:szCs w:val="20"/>
                <w:color w:val="auto"/>
              </w:rPr>
            </w:pPr>
            <w:r>
              <w:rPr>
                <w:rFonts w:ascii="Times New Roman" w:cs="Times New Roman" w:eastAsia="Times New Roman" w:hAnsi="Times New Roman"/>
                <w:sz w:val="14"/>
                <w:szCs w:val="14"/>
                <w:b w:val="1"/>
                <w:bCs w:val="1"/>
                <w:color w:val="auto"/>
              </w:rPr>
              <w:t>January 30, 2021</w:t>
            </w:r>
            <w:r>
              <w:rPr>
                <w:rFonts w:ascii="Times New Roman" w:cs="Times New Roman" w:eastAsia="Times New Roman" w:hAnsi="Times New Roman"/>
                <w:sz w:val="18"/>
                <w:szCs w:val="18"/>
                <w:b w:val="1"/>
                <w:bCs w:val="1"/>
                <w:color w:val="auto"/>
                <w:vertAlign w:val="superscript"/>
              </w:rPr>
              <w:t>(2)</w:t>
            </w:r>
          </w:p>
        </w:tc>
      </w:tr>
      <w:tr>
        <w:trPr>
          <w:trHeight w:val="170"/>
        </w:trPr>
        <w:tc>
          <w:tcPr>
            <w:tcW w:w="45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Operating Data</w:t>
            </w:r>
            <w:r>
              <w:rPr>
                <w:rFonts w:ascii="Times New Roman" w:cs="Times New Roman" w:eastAsia="Times New Roman" w:hAnsi="Times New Roman"/>
                <w:sz w:val="14"/>
                <w:szCs w:val="14"/>
                <w:color w:val="auto"/>
              </w:rPr>
              <w:t>:</w:t>
            </w:r>
          </w:p>
        </w:tc>
        <w:tc>
          <w:tcPr>
            <w:tcW w:w="80" w:type="dxa"/>
            <w:vAlign w:val="bottom"/>
            <w:tcBorders>
              <w:top w:val="single" w:sz="8" w:color="auto"/>
            </w:tcBorders>
          </w:tcPr>
          <w:p>
            <w:pPr>
              <w:spacing w:after="0"/>
              <w:rPr>
                <w:sz w:val="14"/>
                <w:szCs w:val="14"/>
                <w:color w:val="auto"/>
              </w:rPr>
            </w:pPr>
          </w:p>
        </w:tc>
        <w:tc>
          <w:tcPr>
            <w:tcW w:w="11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16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1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r>
      <w:tr>
        <w:trPr>
          <w:trHeight w:val="181"/>
        </w:trPr>
        <w:tc>
          <w:tcPr>
            <w:tcW w:w="45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Revenues</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4,702,014</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4,175,574</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3,808,462</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3,130,519</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3,199,165</w:t>
            </w:r>
          </w:p>
        </w:tc>
      </w:tr>
      <w:tr>
        <w:trPr>
          <w:trHeight w:val="174"/>
        </w:trPr>
        <w:tc>
          <w:tcPr>
            <w:tcW w:w="45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Net income</w:t>
            </w: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233,413</w:t>
            </w:r>
          </w:p>
        </w:tc>
        <w:tc>
          <w:tcPr>
            <w:tcW w:w="10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218,923</w:t>
            </w:r>
          </w:p>
        </w:tc>
        <w:tc>
          <w:tcPr>
            <w:tcW w:w="8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142,213</w:t>
            </w:r>
          </w:p>
        </w:tc>
        <w:tc>
          <w:tcPr>
            <w:tcW w:w="100" w:type="dxa"/>
            <w:vAlign w:val="bottom"/>
          </w:tcPr>
          <w:p>
            <w:pPr>
              <w:spacing w:after="0"/>
              <w:rPr>
                <w:sz w:val="15"/>
                <w:szCs w:val="15"/>
                <w:color w:val="auto"/>
              </w:rPr>
            </w:pPr>
          </w:p>
        </w:tc>
        <w:tc>
          <w:tcPr>
            <w:tcW w:w="360" w:type="dxa"/>
            <w:vAlign w:val="bottom"/>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48,574</w:t>
            </w:r>
          </w:p>
        </w:tc>
        <w:tc>
          <w:tcPr>
            <w:tcW w:w="100" w:type="dxa"/>
            <w:vAlign w:val="bottom"/>
          </w:tcPr>
          <w:p>
            <w:pPr>
              <w:spacing w:after="0"/>
              <w:rPr>
                <w:sz w:val="15"/>
                <w:szCs w:val="15"/>
                <w:color w:val="auto"/>
              </w:rPr>
            </w:pPr>
          </w:p>
        </w:tc>
        <w:tc>
          <w:tcPr>
            <w:tcW w:w="360" w:type="dxa"/>
            <w:vAlign w:val="bottom"/>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34,337</w:t>
            </w:r>
          </w:p>
        </w:tc>
      </w:tr>
      <w:tr>
        <w:trPr>
          <w:trHeight w:val="186"/>
        </w:trPr>
        <w:tc>
          <w:tcPr>
            <w:tcW w:w="45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Earnings Per Common Share</w:t>
            </w: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181"/>
        </w:trPr>
        <w:tc>
          <w:tcPr>
            <w:tcW w:w="45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Basic</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8.02</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7.46</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4.81</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1.60</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w:t>
            </w:r>
          </w:p>
        </w:tc>
      </w:tr>
      <w:tr>
        <w:trPr>
          <w:trHeight w:val="180"/>
        </w:trPr>
        <w:tc>
          <w:tcPr>
            <w:tcW w:w="45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Diluted</w:t>
            </w: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7.92</w:t>
            </w:r>
          </w:p>
        </w:tc>
        <w:tc>
          <w:tcPr>
            <w:tcW w:w="10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7.37</w:t>
            </w:r>
          </w:p>
        </w:tc>
        <w:tc>
          <w:tcPr>
            <w:tcW w:w="8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4.74</w:t>
            </w:r>
          </w:p>
        </w:tc>
        <w:tc>
          <w:tcPr>
            <w:tcW w:w="100" w:type="dxa"/>
            <w:vAlign w:val="bottom"/>
          </w:tcPr>
          <w:p>
            <w:pPr>
              <w:spacing w:after="0"/>
              <w:rPr>
                <w:sz w:val="15"/>
                <w:szCs w:val="15"/>
                <w:color w:val="auto"/>
              </w:rPr>
            </w:pPr>
          </w:p>
        </w:tc>
        <w:tc>
          <w:tcPr>
            <w:tcW w:w="360" w:type="dxa"/>
            <w:vAlign w:val="bottom"/>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1.57</w:t>
            </w:r>
          </w:p>
        </w:tc>
        <w:tc>
          <w:tcPr>
            <w:tcW w:w="100" w:type="dxa"/>
            <w:vAlign w:val="bottom"/>
          </w:tcPr>
          <w:p>
            <w:pPr>
              <w:spacing w:after="0"/>
              <w:rPr>
                <w:sz w:val="15"/>
                <w:szCs w:val="15"/>
                <w:color w:val="auto"/>
              </w:rPr>
            </w:pPr>
          </w:p>
        </w:tc>
        <w:tc>
          <w:tcPr>
            <w:tcW w:w="360" w:type="dxa"/>
            <w:vAlign w:val="bottom"/>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1.07</w:t>
            </w:r>
          </w:p>
        </w:tc>
      </w:tr>
      <w:tr>
        <w:trPr>
          <w:trHeight w:val="180"/>
        </w:trPr>
        <w:tc>
          <w:tcPr>
            <w:tcW w:w="4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Sheet Data (at end of period)</w:t>
            </w: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r>
      <w:tr>
        <w:trPr>
          <w:trHeight w:val="180"/>
        </w:trPr>
        <w:tc>
          <w:tcPr>
            <w:tcW w:w="45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Total assets</w:t>
            </w: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2,945,367</w:t>
            </w:r>
          </w:p>
        </w:tc>
        <w:tc>
          <w:tcPr>
            <w:tcW w:w="10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2,516,885</w:t>
            </w:r>
          </w:p>
        </w:tc>
        <w:tc>
          <w:tcPr>
            <w:tcW w:w="8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2,313,254</w:t>
            </w:r>
          </w:p>
        </w:tc>
        <w:tc>
          <w:tcPr>
            <w:tcW w:w="100" w:type="dxa"/>
            <w:vAlign w:val="bottom"/>
          </w:tcPr>
          <w:p>
            <w:pPr>
              <w:spacing w:after="0"/>
              <w:rPr>
                <w:sz w:val="15"/>
                <w:szCs w:val="15"/>
                <w:color w:val="auto"/>
              </w:rPr>
            </w:pPr>
          </w:p>
        </w:tc>
        <w:tc>
          <w:tcPr>
            <w:tcW w:w="360" w:type="dxa"/>
            <w:vAlign w:val="bottom"/>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2,118,224</w:t>
            </w:r>
          </w:p>
        </w:tc>
        <w:tc>
          <w:tcPr>
            <w:tcW w:w="100" w:type="dxa"/>
            <w:vAlign w:val="bottom"/>
          </w:tcPr>
          <w:p>
            <w:pPr>
              <w:spacing w:after="0"/>
              <w:rPr>
                <w:sz w:val="15"/>
                <w:szCs w:val="15"/>
                <w:color w:val="auto"/>
              </w:rPr>
            </w:pPr>
          </w:p>
        </w:tc>
        <w:tc>
          <w:tcPr>
            <w:tcW w:w="360" w:type="dxa"/>
            <w:vAlign w:val="bottom"/>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1,944,165</w:t>
            </w:r>
          </w:p>
        </w:tc>
      </w:tr>
      <w:tr>
        <w:trPr>
          <w:trHeight w:val="180"/>
        </w:trPr>
        <w:tc>
          <w:tcPr>
            <w:tcW w:w="45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Long-term liabilities</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1,119,117</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955,925</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974,948</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977,884</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684,367</w:t>
            </w:r>
          </w:p>
        </w:tc>
      </w:tr>
      <w:tr>
        <w:trPr>
          <w:trHeight w:val="243"/>
        </w:trPr>
        <w:tc>
          <w:tcPr>
            <w:tcW w:w="45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Stockholders’ equity</w:t>
            </w:r>
            <w:r>
              <w:rPr>
                <w:rFonts w:ascii="Times New Roman" w:cs="Times New Roman" w:eastAsia="Times New Roman" w:hAnsi="Times New Roman"/>
                <w:sz w:val="18"/>
                <w:szCs w:val="18"/>
                <w:color w:val="auto"/>
                <w:vertAlign w:val="superscript"/>
              </w:rPr>
              <w:t>(3)</w:t>
            </w: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1,239,097</w:t>
            </w:r>
          </w:p>
        </w:tc>
        <w:tc>
          <w:tcPr>
            <w:tcW w:w="10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1,054,656</w:t>
            </w:r>
          </w:p>
        </w:tc>
        <w:tc>
          <w:tcPr>
            <w:tcW w:w="8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868,755</w:t>
            </w:r>
          </w:p>
        </w:tc>
        <w:tc>
          <w:tcPr>
            <w:tcW w:w="100" w:type="dxa"/>
            <w:vAlign w:val="bottom"/>
          </w:tcPr>
          <w:p>
            <w:pPr>
              <w:spacing w:after="0"/>
              <w:rPr>
                <w:sz w:val="21"/>
                <w:szCs w:val="21"/>
                <w:color w:val="auto"/>
              </w:rPr>
            </w:pPr>
          </w:p>
        </w:tc>
        <w:tc>
          <w:tcPr>
            <w:tcW w:w="360" w:type="dxa"/>
            <w:vAlign w:val="bottom"/>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758,544</w:t>
            </w:r>
          </w:p>
        </w:tc>
        <w:tc>
          <w:tcPr>
            <w:tcW w:w="100" w:type="dxa"/>
            <w:vAlign w:val="bottom"/>
          </w:tcPr>
          <w:p>
            <w:pPr>
              <w:spacing w:after="0"/>
              <w:rPr>
                <w:sz w:val="21"/>
                <w:szCs w:val="21"/>
                <w:color w:val="auto"/>
              </w:rPr>
            </w:pPr>
          </w:p>
        </w:tc>
        <w:tc>
          <w:tcPr>
            <w:tcW w:w="360" w:type="dxa"/>
            <w:vAlign w:val="bottom"/>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811,308</w:t>
            </w:r>
          </w:p>
        </w:tc>
      </w:tr>
    </w:tbl>
    <w:p>
      <w:pPr>
        <w:spacing w:after="0" w:line="199" w:lineRule="exact"/>
        <w:rPr>
          <w:sz w:val="20"/>
          <w:szCs w:val="20"/>
          <w:color w:val="auto"/>
        </w:rPr>
      </w:pPr>
    </w:p>
    <w:p>
      <w:pPr>
        <w:ind w:right="60" w:firstLine="5"/>
        <w:spacing w:after="0" w:line="272" w:lineRule="auto"/>
        <w:tabs>
          <w:tab w:leader="none" w:pos="130" w:val="left"/>
        </w:tabs>
        <w:numPr>
          <w:ilvl w:val="0"/>
          <w:numId w:val="6"/>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3"/>
          <w:szCs w:val="13"/>
          <w:color w:val="auto"/>
        </w:rPr>
        <w:t>During fiscal 2022, we issued $500 million aggregate principal amount of 4.50% senior notes due 2029 (the “2029 Notes”). The 2029 Notes are guaranteed on a senior unsecured basis, jointly and severally, by all of our domestic subsidiaries that guarantee the Credit Agreement. The balance of $58.3 million under the 2021 Convertible Notes was repaid in full on September 15, 2021.</w:t>
      </w:r>
    </w:p>
    <w:p>
      <w:pPr>
        <w:spacing w:after="0" w:line="141" w:lineRule="exact"/>
        <w:rPr>
          <w:rFonts w:ascii="Times New Roman" w:cs="Times New Roman" w:eastAsia="Times New Roman" w:hAnsi="Times New Roman"/>
          <w:sz w:val="16"/>
          <w:szCs w:val="16"/>
          <w:color w:val="auto"/>
          <w:vertAlign w:val="superscript"/>
        </w:rPr>
      </w:pPr>
    </w:p>
    <w:p>
      <w:pPr>
        <w:ind w:left="140" w:hanging="135"/>
        <w:spacing w:after="0"/>
        <w:tabs>
          <w:tab w:leader="none" w:pos="140" w:val="left"/>
        </w:tabs>
        <w:numPr>
          <w:ilvl w:val="0"/>
          <w:numId w:val="6"/>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During the first quarter of fiscal 2021, we recognized a goodwill impairment charge of $53.3 million as the result of an interim impairment analysis.</w:t>
      </w:r>
    </w:p>
    <w:p>
      <w:pPr>
        <w:spacing w:after="0" w:line="165" w:lineRule="exact"/>
        <w:rPr>
          <w:rFonts w:ascii="Times New Roman" w:cs="Times New Roman" w:eastAsia="Times New Roman" w:hAnsi="Times New Roman"/>
          <w:sz w:val="17"/>
          <w:szCs w:val="17"/>
          <w:color w:val="auto"/>
          <w:vertAlign w:val="superscript"/>
        </w:rPr>
      </w:pPr>
    </w:p>
    <w:p>
      <w:pPr>
        <w:ind w:left="140" w:hanging="135"/>
        <w:spacing w:after="0"/>
        <w:tabs>
          <w:tab w:leader="none" w:pos="140" w:val="left"/>
        </w:tabs>
        <w:numPr>
          <w:ilvl w:val="0"/>
          <w:numId w:val="6"/>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The following table summarizes our share repurchases during fiscal 2025, 2024, 2023, 2022, and 2021:</w:t>
      </w:r>
    </w:p>
    <w:p>
      <w:pPr>
        <w:spacing w:after="0" w:line="34" w:lineRule="exact"/>
        <w:rPr>
          <w:sz w:val="20"/>
          <w:szCs w:val="20"/>
          <w:color w:val="auto"/>
        </w:rPr>
      </w:pPr>
    </w:p>
    <w:tbl>
      <w:tblPr>
        <w:tblLayout w:type="fixed"/>
        <w:tblInd w:w="40" w:type="dxa"/>
        <w:tblCellMar>
          <w:top w:w="0" w:type="dxa"/>
          <w:left w:w="0" w:type="dxa"/>
          <w:bottom w:w="0" w:type="dxa"/>
          <w:right w:w="0" w:type="dxa"/>
        </w:tblCellMar>
      </w:tblPr>
      <w:tr>
        <w:trPr>
          <w:trHeight w:val="170"/>
        </w:trPr>
        <w:tc>
          <w:tcPr>
            <w:tcW w:w="46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9"/>
              </w:rPr>
              <w:t>Fiscal Year Ended</w:t>
            </w:r>
          </w:p>
        </w:tc>
        <w:tc>
          <w:tcPr>
            <w:tcW w:w="10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spacing w:after="0"/>
              <w:rPr>
                <w:sz w:val="14"/>
                <w:szCs w:val="14"/>
                <w:color w:val="auto"/>
              </w:rPr>
            </w:pPr>
          </w:p>
        </w:tc>
      </w:tr>
      <w:tr>
        <w:trPr>
          <w:trHeight w:val="182"/>
        </w:trPr>
        <w:tc>
          <w:tcPr>
            <w:tcW w:w="4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January 25, 2025</w:t>
            </w:r>
          </w:p>
        </w:tc>
        <w:tc>
          <w:tcPr>
            <w:tcW w:w="100" w:type="dxa"/>
            <w:vAlign w:val="bottom"/>
          </w:tcPr>
          <w:p>
            <w:pPr>
              <w:spacing w:after="0"/>
              <w:rPr>
                <w:sz w:val="15"/>
                <w:szCs w:val="15"/>
                <w:color w:val="auto"/>
              </w:rPr>
            </w:pPr>
          </w:p>
        </w:tc>
        <w:tc>
          <w:tcPr>
            <w:tcW w:w="12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January 27, 2024</w:t>
            </w:r>
          </w:p>
        </w:tc>
        <w:tc>
          <w:tcPr>
            <w:tcW w:w="80" w:type="dxa"/>
            <w:vAlign w:val="bottom"/>
          </w:tcPr>
          <w:p>
            <w:pPr>
              <w:spacing w:after="0"/>
              <w:rPr>
                <w:sz w:val="15"/>
                <w:szCs w:val="15"/>
                <w:color w:val="auto"/>
              </w:rPr>
            </w:pPr>
          </w:p>
        </w:tc>
        <w:tc>
          <w:tcPr>
            <w:tcW w:w="126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January 28, 2023</w:t>
            </w:r>
          </w:p>
        </w:tc>
        <w:tc>
          <w:tcPr>
            <w:tcW w:w="100" w:type="dxa"/>
            <w:vAlign w:val="bottom"/>
          </w:tcPr>
          <w:p>
            <w:pPr>
              <w:spacing w:after="0"/>
              <w:rPr>
                <w:sz w:val="15"/>
                <w:szCs w:val="15"/>
                <w:color w:val="auto"/>
              </w:rPr>
            </w:pPr>
          </w:p>
        </w:tc>
        <w:tc>
          <w:tcPr>
            <w:tcW w:w="12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January 29, 2022</w:t>
            </w:r>
          </w:p>
        </w:tc>
        <w:tc>
          <w:tcPr>
            <w:tcW w:w="100" w:type="dxa"/>
            <w:vAlign w:val="bottom"/>
          </w:tcPr>
          <w:p>
            <w:pPr>
              <w:spacing w:after="0"/>
              <w:rPr>
                <w:sz w:val="15"/>
                <w:szCs w:val="15"/>
                <w:color w:val="auto"/>
              </w:rPr>
            </w:pPr>
          </w:p>
        </w:tc>
        <w:tc>
          <w:tcPr>
            <w:tcW w:w="1160" w:type="dxa"/>
            <w:vAlign w:val="bottom"/>
          </w:tcPr>
          <w:p>
            <w:pPr>
              <w:jc w:val="right"/>
              <w:ind w:right="49"/>
              <w:spacing w:after="0"/>
              <w:rPr>
                <w:sz w:val="20"/>
                <w:szCs w:val="20"/>
                <w:color w:val="auto"/>
              </w:rPr>
            </w:pPr>
            <w:r>
              <w:rPr>
                <w:rFonts w:ascii="Times New Roman" w:cs="Times New Roman" w:eastAsia="Times New Roman" w:hAnsi="Times New Roman"/>
                <w:sz w:val="14"/>
                <w:szCs w:val="14"/>
                <w:b w:val="1"/>
                <w:bCs w:val="1"/>
                <w:color w:val="auto"/>
                <w:w w:val="99"/>
              </w:rPr>
              <w:t>January 30, 2021</w:t>
            </w:r>
          </w:p>
        </w:tc>
      </w:tr>
      <w:tr>
        <w:trPr>
          <w:trHeight w:val="180"/>
        </w:trPr>
        <w:tc>
          <w:tcPr>
            <w:tcW w:w="46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Shares</w:t>
            </w:r>
          </w:p>
        </w:tc>
        <w:tc>
          <w:tcPr>
            <w:tcW w:w="80" w:type="dxa"/>
            <w:vAlign w:val="bottom"/>
            <w:tcBorders>
              <w:top w:val="single" w:sz="8" w:color="auto"/>
            </w:tcBorders>
            <w:shd w:val="clear" w:color="auto" w:fill="CCEEFF"/>
          </w:tcPr>
          <w:p>
            <w:pPr>
              <w:spacing w:after="0"/>
              <w:rPr>
                <w:sz w:val="15"/>
                <w:szCs w:val="15"/>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410,000</w:t>
            </w:r>
          </w:p>
        </w:tc>
        <w:tc>
          <w:tcPr>
            <w:tcW w:w="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485,000</w:t>
            </w:r>
          </w:p>
        </w:tc>
        <w:tc>
          <w:tcPr>
            <w:tcW w:w="10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514,030</w:t>
            </w: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1,231,638</w:t>
            </w:r>
          </w:p>
        </w:tc>
        <w:tc>
          <w:tcPr>
            <w:tcW w:w="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1,324,381</w:t>
            </w:r>
          </w:p>
        </w:tc>
      </w:tr>
      <w:tr>
        <w:trPr>
          <w:trHeight w:val="180"/>
        </w:trPr>
        <w:tc>
          <w:tcPr>
            <w:tcW w:w="4600" w:type="dxa"/>
            <w:vAlign w:val="bottom"/>
          </w:tcPr>
          <w:p>
            <w:pPr>
              <w:spacing w:after="0"/>
              <w:rPr>
                <w:sz w:val="20"/>
                <w:szCs w:val="20"/>
                <w:color w:val="auto"/>
              </w:rPr>
            </w:pPr>
            <w:r>
              <w:rPr>
                <w:rFonts w:ascii="Times New Roman" w:cs="Times New Roman" w:eastAsia="Times New Roman" w:hAnsi="Times New Roman"/>
                <w:sz w:val="14"/>
                <w:szCs w:val="14"/>
                <w:color w:val="auto"/>
              </w:rPr>
              <w:t>Amount paid (dollars in millions)</w:t>
            </w: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65.6</w:t>
            </w:r>
          </w:p>
        </w:tc>
        <w:tc>
          <w:tcPr>
            <w:tcW w:w="8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49.7</w:t>
            </w:r>
          </w:p>
        </w:tc>
        <w:tc>
          <w:tcPr>
            <w:tcW w:w="100" w:type="dxa"/>
            <w:vAlign w:val="bottom"/>
          </w:tcPr>
          <w:p>
            <w:pPr>
              <w:spacing w:after="0"/>
              <w:rPr>
                <w:sz w:val="15"/>
                <w:szCs w:val="15"/>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48.7</w:t>
            </w:r>
          </w:p>
        </w:tc>
        <w:tc>
          <w:tcPr>
            <w:tcW w:w="10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106.1</w:t>
            </w:r>
          </w:p>
        </w:tc>
        <w:tc>
          <w:tcPr>
            <w:tcW w:w="8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100.0</w:t>
            </w:r>
          </w:p>
        </w:tc>
      </w:tr>
      <w:tr>
        <w:trPr>
          <w:trHeight w:val="180"/>
        </w:trPr>
        <w:tc>
          <w:tcPr>
            <w:tcW w:w="46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Average price per share</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160.10</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102.39</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94.80</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86.17</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75.51</w:t>
            </w:r>
          </w:p>
        </w:tc>
      </w:tr>
    </w:tbl>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 xml:space="preserve">Item 7. </w:t>
      </w:r>
      <w:r>
        <w:rPr>
          <w:rFonts w:ascii="Times New Roman" w:cs="Times New Roman" w:eastAsia="Times New Roman" w:hAnsi="Times New Roman"/>
          <w:sz w:val="14"/>
          <w:szCs w:val="14"/>
          <w:b w:val="1"/>
          <w:bCs w:val="1"/>
          <w:i w:val="1"/>
          <w:iCs w:val="1"/>
          <w:color w:val="auto"/>
        </w:rPr>
        <w:t>Management’s Discussion and Analysis of Financial Condition and Results of Operations.</w:t>
      </w:r>
    </w:p>
    <w:p>
      <w:pPr>
        <w:spacing w:after="0" w:line="200" w:lineRule="exact"/>
        <w:rPr>
          <w:sz w:val="20"/>
          <w:szCs w:val="20"/>
          <w:color w:val="auto"/>
        </w:rPr>
      </w:pPr>
    </w:p>
    <w:p>
      <w:pPr>
        <w:ind w:right="140" w:firstLine="255"/>
        <w:spacing w:after="0" w:line="290" w:lineRule="auto"/>
        <w:rPr>
          <w:sz w:val="20"/>
          <w:szCs w:val="20"/>
          <w:color w:val="auto"/>
        </w:rPr>
      </w:pPr>
      <w:r>
        <w:rPr>
          <w:rFonts w:ascii="Times New Roman" w:cs="Times New Roman" w:eastAsia="Times New Roman" w:hAnsi="Times New Roman"/>
          <w:sz w:val="14"/>
          <w:szCs w:val="14"/>
          <w:color w:val="auto"/>
        </w:rPr>
        <w:t xml:space="preserve">The following discussion and analysis should be read in conjunction with our consolidated financial statements and the accompanying notes, as well as Part I, Item 1. </w:t>
      </w:r>
      <w:r>
        <w:rPr>
          <w:rFonts w:ascii="Times New Roman" w:cs="Times New Roman" w:eastAsia="Times New Roman" w:hAnsi="Times New Roman"/>
          <w:sz w:val="14"/>
          <w:szCs w:val="14"/>
          <w:i w:val="1"/>
          <w:iCs w:val="1"/>
          <w:color w:val="auto"/>
        </w:rPr>
        <w:t>Business</w:t>
      </w:r>
      <w:r>
        <w:rPr>
          <w:rFonts w:ascii="Times New Roman" w:cs="Times New Roman" w:eastAsia="Times New Roman" w:hAnsi="Times New Roman"/>
          <w:sz w:val="14"/>
          <w:szCs w:val="14"/>
          <w:color w:val="auto"/>
        </w:rPr>
        <w:t xml:space="preserve">, and Part I, Item 1A. </w:t>
      </w:r>
      <w:r>
        <w:rPr>
          <w:rFonts w:ascii="Times New Roman" w:cs="Times New Roman" w:eastAsia="Times New Roman" w:hAnsi="Times New Roman"/>
          <w:sz w:val="14"/>
          <w:szCs w:val="14"/>
          <w:i w:val="1"/>
          <w:iCs w:val="1"/>
          <w:color w:val="auto"/>
        </w:rPr>
        <w:t>Risk Factors</w:t>
      </w:r>
      <w:r>
        <w:rPr>
          <w:rFonts w:ascii="Times New Roman" w:cs="Times New Roman" w:eastAsia="Times New Roman" w:hAnsi="Times New Roman"/>
          <w:sz w:val="14"/>
          <w:szCs w:val="14"/>
          <w:color w:val="auto"/>
        </w:rPr>
        <w:t>, of this Annual Report on Form 10-K.</w:t>
      </w:r>
    </w:p>
    <w:p>
      <w:pPr>
        <w:spacing w:after="0" w:line="200" w:lineRule="exact"/>
        <w:rPr>
          <w:sz w:val="20"/>
          <w:szCs w:val="20"/>
          <w:color w:val="auto"/>
        </w:rPr>
      </w:pP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5"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Introduction</w:t>
      </w:r>
    </w:p>
    <w:p>
      <w:pPr>
        <w:spacing w:after="0" w:line="202" w:lineRule="exact"/>
        <w:rPr>
          <w:sz w:val="20"/>
          <w:szCs w:val="20"/>
          <w:color w:val="auto"/>
        </w:rPr>
      </w:pPr>
    </w:p>
    <w:p>
      <w:pPr>
        <w:ind w:firstLine="255"/>
        <w:spacing w:after="0" w:line="264" w:lineRule="auto"/>
        <w:rPr>
          <w:sz w:val="20"/>
          <w:szCs w:val="20"/>
          <w:color w:val="auto"/>
        </w:rPr>
      </w:pPr>
      <w:r>
        <w:rPr>
          <w:rFonts w:ascii="Times New Roman" w:cs="Times New Roman" w:eastAsia="Times New Roman" w:hAnsi="Times New Roman"/>
          <w:sz w:val="14"/>
          <w:szCs w:val="14"/>
          <w:color w:val="auto"/>
        </w:rPr>
        <w:t>We are a leading provider of specialty contracting services throughout the United States. These services include program management, planning, engineering and design; aerial, underground, and wireless construction; maintenance; and fulfillment services for telecommunications providers. Additionally, we provide underground facility locating services for various utilities, including telecommunications providers, as well as other construction and maintenance services for electric and gas utilities. We supply the labor, tools, and equipment necessary to provide these services to our customers.</w:t>
      </w:r>
    </w:p>
    <w:p>
      <w:pPr>
        <w:spacing w:after="0" w:line="162" w:lineRule="exact"/>
        <w:rPr>
          <w:sz w:val="20"/>
          <w:szCs w:val="20"/>
          <w:color w:val="auto"/>
        </w:rPr>
      </w:pPr>
    </w:p>
    <w:p>
      <w:pPr>
        <w:jc w:val="both"/>
        <w:ind w:right="80" w:firstLine="255"/>
        <w:spacing w:after="0" w:line="270" w:lineRule="auto"/>
        <w:rPr>
          <w:sz w:val="20"/>
          <w:szCs w:val="20"/>
          <w:color w:val="auto"/>
        </w:rPr>
      </w:pPr>
      <w:r>
        <w:rPr>
          <w:rFonts w:ascii="Times New Roman" w:cs="Times New Roman" w:eastAsia="Times New Roman" w:hAnsi="Times New Roman"/>
          <w:sz w:val="14"/>
          <w:szCs w:val="14"/>
          <w:color w:val="auto"/>
        </w:rPr>
        <w:t>Significant demand for broadband services is driven by applications that require high speed connections as well as the everyday use of mobile data devices. To respond to this demand and other advances in technology, an increasing number of diverse industry participants are constructing or upgrading wireline networks throughout the country. These wireline networks enable the delivery of gigabit network speeds to consumers and businesses. Dramatically increased speeds for consumers are being provisioned and consumer data usage is growing, particularly upstream.</w:t>
      </w:r>
    </w:p>
    <w:p>
      <w:pPr>
        <w:spacing w:after="0" w:line="157" w:lineRule="exact"/>
        <w:rPr>
          <w:sz w:val="20"/>
          <w:szCs w:val="20"/>
          <w:color w:val="auto"/>
        </w:rPr>
      </w:pPr>
    </w:p>
    <w:p>
      <w:pPr>
        <w:ind w:right="300" w:firstLine="255"/>
        <w:spacing w:after="0" w:line="287" w:lineRule="auto"/>
        <w:rPr>
          <w:sz w:val="20"/>
          <w:szCs w:val="20"/>
          <w:color w:val="auto"/>
        </w:rPr>
      </w:pPr>
      <w:r>
        <w:rPr>
          <w:rFonts w:ascii="Times New Roman" w:cs="Times New Roman" w:eastAsia="Times New Roman" w:hAnsi="Times New Roman"/>
          <w:sz w:val="14"/>
          <w:szCs w:val="14"/>
          <w:color w:val="auto"/>
        </w:rPr>
        <w:t>In addition, the advent of AI data centers has created expanding opportunities as hyperscalers look to connect data centers with long-haul, private, redundant fiber networks. Finally, wireless networks are deploying additional spectrum bands and equipment to more broadly and efficiently provision higher broadband services for both fixed and mobile access.</w:t>
      </w:r>
    </w:p>
    <w:p>
      <w:pPr>
        <w:spacing w:after="0" w:line="145" w:lineRule="exact"/>
        <w:rPr>
          <w:sz w:val="20"/>
          <w:szCs w:val="20"/>
          <w:color w:val="auto"/>
        </w:rPr>
      </w:pPr>
    </w:p>
    <w:p>
      <w:pPr>
        <w:ind w:right="300" w:firstLine="255"/>
        <w:spacing w:after="0" w:line="264" w:lineRule="auto"/>
        <w:rPr>
          <w:sz w:val="20"/>
          <w:szCs w:val="20"/>
          <w:color w:val="auto"/>
        </w:rPr>
      </w:pPr>
      <w:r>
        <w:rPr>
          <w:rFonts w:ascii="Times New Roman" w:cs="Times New Roman" w:eastAsia="Times New Roman" w:hAnsi="Times New Roman"/>
          <w:sz w:val="14"/>
          <w:szCs w:val="14"/>
          <w:color w:val="auto"/>
        </w:rPr>
        <w:t>Industry participants have stated their belief that a single high-capacity fiber network can most cost effectively deliver services to both consumers and businesses, enabling multiple revenue streams from a single investment. Some of these same industry participants who also provide wireless services, strongly believe that the ability to provision converged wireline fiber and wireless services creates significant competitive advantages. This belief is evident as some wireless providers have recently invested in new fiber providers while another wireline/wireless provider is deploying fiber networks outside its traditional geographic footprint. As a result, we continue to see a meaningfully broader set of opportunities for our industry.</w:t>
      </w:r>
    </w:p>
    <w:p>
      <w:pPr>
        <w:spacing w:after="0" w:line="162" w:lineRule="exact"/>
        <w:rPr>
          <w:sz w:val="20"/>
          <w:szCs w:val="20"/>
          <w:color w:val="auto"/>
        </w:rPr>
      </w:pPr>
    </w:p>
    <w:p>
      <w:pPr>
        <w:ind w:right="120" w:firstLine="255"/>
        <w:spacing w:after="0" w:line="264" w:lineRule="auto"/>
        <w:rPr>
          <w:sz w:val="20"/>
          <w:szCs w:val="20"/>
          <w:color w:val="auto"/>
        </w:rPr>
      </w:pPr>
      <w:r>
        <w:rPr>
          <w:rFonts w:ascii="Times New Roman" w:cs="Times New Roman" w:eastAsia="Times New Roman" w:hAnsi="Times New Roman"/>
          <w:sz w:val="14"/>
          <w:szCs w:val="14"/>
          <w:color w:val="auto"/>
        </w:rPr>
        <w:t>We are pleased that a number of our customers have entered into strategic transactions (including refinancings) intended to provide the capital necessary for the incremental deployment of fiber over the next several years. In addition to the incremental private capital associated with these transactions, we continue to see unprecedented levels of federal and state support for rural broadband deployment programs. We believe the magnitude and importance of these programs should not be under appreciated as they address some of the more difficult locations to deploy in America and represent a generational deployment opportunity.</w:t>
      </w:r>
    </w:p>
    <w:p>
      <w:pPr>
        <w:spacing w:after="0" w:line="162" w:lineRule="exact"/>
        <w:rPr>
          <w:sz w:val="20"/>
          <w:szCs w:val="20"/>
          <w:color w:val="auto"/>
        </w:rPr>
      </w:pPr>
    </w:p>
    <w:p>
      <w:pPr>
        <w:ind w:right="200" w:firstLine="255"/>
        <w:spacing w:after="0" w:line="270" w:lineRule="auto"/>
        <w:rPr>
          <w:sz w:val="20"/>
          <w:szCs w:val="20"/>
          <w:color w:val="auto"/>
        </w:rPr>
      </w:pPr>
      <w:r>
        <w:rPr>
          <w:rFonts w:ascii="Times New Roman" w:cs="Times New Roman" w:eastAsia="Times New Roman" w:hAnsi="Times New Roman"/>
          <w:sz w:val="14"/>
          <w:szCs w:val="14"/>
          <w:color w:val="auto"/>
        </w:rPr>
        <w:t>We believe that the long-term value of our maintenance and operations business will continue to increase relative to our deployment of wireline and converged networks, as those deployments dramatically increase the amount of outside plant that must be extended and maintained. As customer projects increase in scope and complexity, our industry focus, scale and financial strength position us well to deliver valuable services and anticipate and meet the demands for our customers.</w:t>
      </w:r>
    </w:p>
    <w:p>
      <w:pPr>
        <w:spacing w:after="0" w:line="157" w:lineRule="exact"/>
        <w:rPr>
          <w:sz w:val="20"/>
          <w:szCs w:val="20"/>
          <w:color w:val="auto"/>
        </w:rPr>
      </w:pPr>
    </w:p>
    <w:p>
      <w:pPr>
        <w:ind w:right="80" w:firstLine="255"/>
        <w:spacing w:after="0" w:line="261" w:lineRule="auto"/>
        <w:rPr>
          <w:sz w:val="20"/>
          <w:szCs w:val="20"/>
          <w:color w:val="auto"/>
        </w:rPr>
      </w:pPr>
      <w:r>
        <w:rPr>
          <w:rFonts w:ascii="Times New Roman" w:cs="Times New Roman" w:eastAsia="Times New Roman" w:hAnsi="Times New Roman"/>
          <w:sz w:val="14"/>
          <w:szCs w:val="14"/>
          <w:color w:val="auto"/>
        </w:rPr>
        <w:t>The cyclical nature of the industry we serve affects demand for our services. The capital expenditure and maintenance budgets of our customers, and the related timing of approvals and seasonal spending patterns, influence our contract revenues and results of operations. Factors affecting our customers and their capital expenditure budgets include, but are not limited to, overall economic conditions, the introduction of new technologies, our customers’ debt levels and capital structures, our customers’ financial performance, our customers’ positioning and strategic plans, and any potential effects from public health emergencies or pandemics. Other factors that may affect our customers and their capital expenditure budgets include new regulations or regulatory actions impacting our customers’ businesses, merger or acquisition activity involving our customers, and the physical maintenance needs of our customers’ infrastructure.</w:t>
      </w:r>
    </w:p>
    <w:p>
      <w:pPr>
        <w:spacing w:after="0" w:line="16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i w:val="1"/>
          <w:iCs w:val="1"/>
          <w:color w:val="auto"/>
        </w:rPr>
        <w:t>Customer Relationships and Contractual Arrangements</w:t>
      </w:r>
    </w:p>
    <w:p>
      <w:pPr>
        <w:spacing w:after="0" w:line="202" w:lineRule="exact"/>
        <w:rPr>
          <w:sz w:val="20"/>
          <w:szCs w:val="20"/>
          <w:color w:val="auto"/>
        </w:rPr>
      </w:pPr>
    </w:p>
    <w:p>
      <w:pPr>
        <w:ind w:right="220" w:firstLine="255"/>
        <w:spacing w:after="0" w:line="270" w:lineRule="auto"/>
        <w:rPr>
          <w:sz w:val="20"/>
          <w:szCs w:val="20"/>
          <w:color w:val="auto"/>
        </w:rPr>
      </w:pPr>
      <w:r>
        <w:rPr>
          <w:rFonts w:ascii="Times New Roman" w:cs="Times New Roman" w:eastAsia="Times New Roman" w:hAnsi="Times New Roman"/>
          <w:sz w:val="14"/>
          <w:szCs w:val="14"/>
          <w:color w:val="auto"/>
        </w:rPr>
        <w:t>We have established relationships with many leading telecommunications providers, including telephone companies, cable multiple system operators, wireless carriers, telecommunications equipment and infrastructure providers, as well as electric and gas utilities. Our customer base is highly concentrated, with our top five customers accounting for approximately 55.4%, 57.7%, and 66.7% of our total contract revenues during fiscal 2025, fiscal 2024, and fiscal 2023, respectively.</w:t>
      </w: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4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following reflects the percentage of total contract revenues from customers who contributed at least 2.5% to our total contract revenues during fiscal 2025, fiscal 2024, or fiscal 2023:</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5720" w:type="dxa"/>
            <w:vAlign w:val="bottom"/>
          </w:tcPr>
          <w:p>
            <w:pPr>
              <w:spacing w:after="0"/>
              <w:rPr>
                <w:sz w:val="16"/>
                <w:szCs w:val="16"/>
                <w:color w:val="auto"/>
              </w:rPr>
            </w:pPr>
          </w:p>
        </w:tc>
        <w:tc>
          <w:tcPr>
            <w:tcW w:w="17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9"/>
              </w:rPr>
              <w:t>Fiscal Year Ended</w:t>
            </w:r>
          </w:p>
        </w:tc>
        <w:tc>
          <w:tcPr>
            <w:tcW w:w="17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82"/>
        </w:trPr>
        <w:tc>
          <w:tcPr>
            <w:tcW w:w="5720" w:type="dxa"/>
            <w:vAlign w:val="bottom"/>
          </w:tcPr>
          <w:p>
            <w:pPr>
              <w:spacing w:after="0"/>
              <w:rPr>
                <w:sz w:val="15"/>
                <w:szCs w:val="15"/>
                <w:color w:val="auto"/>
              </w:rPr>
            </w:pPr>
          </w:p>
        </w:tc>
        <w:tc>
          <w:tcPr>
            <w:tcW w:w="1840" w:type="dxa"/>
            <w:vAlign w:val="bottom"/>
            <w:gridSpan w:val="2"/>
          </w:tcPr>
          <w:p>
            <w:pPr>
              <w:ind w:left="360"/>
              <w:spacing w:after="0"/>
              <w:rPr>
                <w:sz w:val="20"/>
                <w:szCs w:val="20"/>
                <w:color w:val="auto"/>
              </w:rPr>
            </w:pPr>
            <w:r>
              <w:rPr>
                <w:rFonts w:ascii="Times New Roman" w:cs="Times New Roman" w:eastAsia="Times New Roman" w:hAnsi="Times New Roman"/>
                <w:sz w:val="14"/>
                <w:szCs w:val="14"/>
                <w:b w:val="1"/>
                <w:bCs w:val="1"/>
                <w:color w:val="auto"/>
              </w:rPr>
              <w:t>January 25, 2025</w:t>
            </w:r>
          </w:p>
        </w:tc>
        <w:tc>
          <w:tcPr>
            <w:tcW w:w="18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9"/>
              </w:rPr>
              <w:t>January 27, 2024</w:t>
            </w:r>
          </w:p>
        </w:tc>
        <w:tc>
          <w:tcPr>
            <w:tcW w:w="1760" w:type="dxa"/>
            <w:vAlign w:val="bottom"/>
          </w:tcPr>
          <w:p>
            <w:pPr>
              <w:ind w:left="380"/>
              <w:spacing w:after="0"/>
              <w:rPr>
                <w:sz w:val="20"/>
                <w:szCs w:val="20"/>
                <w:color w:val="auto"/>
              </w:rPr>
            </w:pPr>
            <w:r>
              <w:rPr>
                <w:rFonts w:ascii="Times New Roman" w:cs="Times New Roman" w:eastAsia="Times New Roman" w:hAnsi="Times New Roman"/>
                <w:sz w:val="14"/>
                <w:szCs w:val="14"/>
                <w:b w:val="1"/>
                <w:bCs w:val="1"/>
                <w:color w:val="auto"/>
              </w:rPr>
              <w:t>January 28, 2023</w:t>
            </w:r>
          </w:p>
        </w:tc>
        <w:tc>
          <w:tcPr>
            <w:tcW w:w="100" w:type="dxa"/>
            <w:vAlign w:val="bottom"/>
          </w:tcPr>
          <w:p>
            <w:pPr>
              <w:spacing w:after="0"/>
              <w:rPr>
                <w:sz w:val="15"/>
                <w:szCs w:val="15"/>
                <w:color w:val="auto"/>
              </w:rPr>
            </w:pPr>
          </w:p>
        </w:tc>
      </w:tr>
      <w:tr>
        <w:trPr>
          <w:trHeight w:val="180"/>
        </w:trPr>
        <w:tc>
          <w:tcPr>
            <w:tcW w:w="57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AT&amp;T, Inc.</w:t>
            </w:r>
          </w:p>
        </w:tc>
        <w:tc>
          <w:tcPr>
            <w:tcW w:w="17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20.1%</w:t>
            </w:r>
          </w:p>
        </w:tc>
        <w:tc>
          <w:tcPr>
            <w:tcW w:w="80" w:type="dxa"/>
            <w:vAlign w:val="bottom"/>
            <w:tcBorders>
              <w:top w:val="single" w:sz="8" w:color="CCEEFF"/>
            </w:tcBorders>
            <w:shd w:val="clear" w:color="auto" w:fill="CCEEFF"/>
          </w:tcPr>
          <w:p>
            <w:pPr>
              <w:spacing w:after="0"/>
              <w:rPr>
                <w:sz w:val="15"/>
                <w:szCs w:val="15"/>
                <w:color w:val="auto"/>
              </w:rPr>
            </w:pPr>
          </w:p>
        </w:tc>
        <w:tc>
          <w:tcPr>
            <w:tcW w:w="17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16.9%</w:t>
            </w:r>
          </w:p>
        </w:tc>
        <w:tc>
          <w:tcPr>
            <w:tcW w:w="80" w:type="dxa"/>
            <w:vAlign w:val="bottom"/>
            <w:tcBorders>
              <w:top w:val="single" w:sz="8" w:color="CCEEFF"/>
            </w:tcBorders>
            <w:shd w:val="clear" w:color="auto" w:fill="CCEEFF"/>
          </w:tcPr>
          <w:p>
            <w:pPr>
              <w:spacing w:after="0"/>
              <w:rPr>
                <w:sz w:val="15"/>
                <w:szCs w:val="15"/>
                <w:color w:val="auto"/>
              </w:rPr>
            </w:pPr>
          </w:p>
        </w:tc>
        <w:tc>
          <w:tcPr>
            <w:tcW w:w="17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25.2%</w:t>
            </w:r>
          </w:p>
        </w:tc>
        <w:tc>
          <w:tcPr>
            <w:tcW w:w="100" w:type="dxa"/>
            <w:vAlign w:val="bottom"/>
            <w:tcBorders>
              <w:top w:val="single" w:sz="8" w:color="CCEEFF"/>
            </w:tcBorders>
            <w:shd w:val="clear" w:color="auto" w:fill="CCEEFF"/>
          </w:tcPr>
          <w:p>
            <w:pPr>
              <w:spacing w:after="0"/>
              <w:rPr>
                <w:sz w:val="15"/>
                <w:szCs w:val="15"/>
                <w:color w:val="auto"/>
              </w:rPr>
            </w:pPr>
          </w:p>
        </w:tc>
      </w:tr>
      <w:tr>
        <w:trPr>
          <w:trHeight w:val="180"/>
        </w:trPr>
        <w:tc>
          <w:tcPr>
            <w:tcW w:w="5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Lumen Technologies, Inc.</w:t>
            </w:r>
          </w:p>
        </w:tc>
        <w:tc>
          <w:tcPr>
            <w:tcW w:w="17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12.1%</w:t>
            </w:r>
          </w:p>
        </w:tc>
        <w:tc>
          <w:tcPr>
            <w:tcW w:w="80" w:type="dxa"/>
            <w:vAlign w:val="bottom"/>
          </w:tcPr>
          <w:p>
            <w:pPr>
              <w:spacing w:after="0"/>
              <w:rPr>
                <w:sz w:val="15"/>
                <w:szCs w:val="15"/>
                <w:color w:val="auto"/>
              </w:rPr>
            </w:pPr>
          </w:p>
        </w:tc>
        <w:tc>
          <w:tcPr>
            <w:tcW w:w="17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15.6%</w:t>
            </w:r>
          </w:p>
        </w:tc>
        <w:tc>
          <w:tcPr>
            <w:tcW w:w="80" w:type="dxa"/>
            <w:vAlign w:val="bottom"/>
          </w:tcPr>
          <w:p>
            <w:pPr>
              <w:spacing w:after="0"/>
              <w:rPr>
                <w:sz w:val="15"/>
                <w:szCs w:val="15"/>
                <w:color w:val="auto"/>
              </w:rPr>
            </w:pPr>
          </w:p>
        </w:tc>
        <w:tc>
          <w:tcPr>
            <w:tcW w:w="17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12.7%</w:t>
            </w:r>
          </w:p>
        </w:tc>
        <w:tc>
          <w:tcPr>
            <w:tcW w:w="100" w:type="dxa"/>
            <w:vAlign w:val="bottom"/>
          </w:tcPr>
          <w:p>
            <w:pPr>
              <w:spacing w:after="0"/>
              <w:rPr>
                <w:sz w:val="15"/>
                <w:szCs w:val="15"/>
                <w:color w:val="auto"/>
              </w:rPr>
            </w:pPr>
          </w:p>
        </w:tc>
      </w:tr>
      <w:tr>
        <w:trPr>
          <w:trHeight w:val="180"/>
        </w:trPr>
        <w:tc>
          <w:tcPr>
            <w:tcW w:w="5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Comcast Corporation</w:t>
            </w:r>
          </w:p>
        </w:tc>
        <w:tc>
          <w:tcPr>
            <w:tcW w:w="1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8.5%</w:t>
            </w:r>
          </w:p>
        </w:tc>
        <w:tc>
          <w:tcPr>
            <w:tcW w:w="80" w:type="dxa"/>
            <w:vAlign w:val="bottom"/>
            <w:shd w:val="clear" w:color="auto" w:fill="CCEEFF"/>
          </w:tcPr>
          <w:p>
            <w:pPr>
              <w:spacing w:after="0"/>
              <w:rPr>
                <w:sz w:val="15"/>
                <w:szCs w:val="15"/>
                <w:color w:val="auto"/>
              </w:rPr>
            </w:pPr>
          </w:p>
        </w:tc>
        <w:tc>
          <w:tcPr>
            <w:tcW w:w="1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10.7%</w:t>
            </w:r>
          </w:p>
        </w:tc>
        <w:tc>
          <w:tcPr>
            <w:tcW w:w="80" w:type="dxa"/>
            <w:vAlign w:val="bottom"/>
            <w:shd w:val="clear" w:color="auto" w:fill="CCEEFF"/>
          </w:tcPr>
          <w:p>
            <w:pPr>
              <w:spacing w:after="0"/>
              <w:rPr>
                <w:sz w:val="15"/>
                <w:szCs w:val="15"/>
                <w:color w:val="auto"/>
              </w:rPr>
            </w:pPr>
          </w:p>
        </w:tc>
        <w:tc>
          <w:tcPr>
            <w:tcW w:w="1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11.3%</w:t>
            </w:r>
          </w:p>
        </w:tc>
        <w:tc>
          <w:tcPr>
            <w:tcW w:w="100" w:type="dxa"/>
            <w:vAlign w:val="bottom"/>
            <w:shd w:val="clear" w:color="auto" w:fill="CCEEFF"/>
          </w:tcPr>
          <w:p>
            <w:pPr>
              <w:spacing w:after="0"/>
              <w:rPr>
                <w:sz w:val="15"/>
                <w:szCs w:val="15"/>
                <w:color w:val="auto"/>
              </w:rPr>
            </w:pPr>
          </w:p>
        </w:tc>
      </w:tr>
      <w:tr>
        <w:trPr>
          <w:trHeight w:val="180"/>
        </w:trPr>
        <w:tc>
          <w:tcPr>
            <w:tcW w:w="5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Charter Communications, Inc.</w:t>
            </w:r>
          </w:p>
        </w:tc>
        <w:tc>
          <w:tcPr>
            <w:tcW w:w="17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7.3%</w:t>
            </w:r>
          </w:p>
        </w:tc>
        <w:tc>
          <w:tcPr>
            <w:tcW w:w="80" w:type="dxa"/>
            <w:vAlign w:val="bottom"/>
          </w:tcPr>
          <w:p>
            <w:pPr>
              <w:spacing w:after="0"/>
              <w:rPr>
                <w:sz w:val="15"/>
                <w:szCs w:val="15"/>
                <w:color w:val="auto"/>
              </w:rPr>
            </w:pPr>
          </w:p>
        </w:tc>
        <w:tc>
          <w:tcPr>
            <w:tcW w:w="17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4.4%</w:t>
            </w:r>
          </w:p>
        </w:tc>
        <w:tc>
          <w:tcPr>
            <w:tcW w:w="80" w:type="dxa"/>
            <w:vAlign w:val="bottom"/>
          </w:tcPr>
          <w:p>
            <w:pPr>
              <w:spacing w:after="0"/>
              <w:rPr>
                <w:sz w:val="15"/>
                <w:szCs w:val="15"/>
                <w:color w:val="auto"/>
              </w:rPr>
            </w:pPr>
          </w:p>
        </w:tc>
        <w:tc>
          <w:tcPr>
            <w:tcW w:w="17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1.8%</w:t>
            </w:r>
          </w:p>
        </w:tc>
        <w:tc>
          <w:tcPr>
            <w:tcW w:w="100" w:type="dxa"/>
            <w:vAlign w:val="bottom"/>
          </w:tcPr>
          <w:p>
            <w:pPr>
              <w:spacing w:after="0"/>
              <w:rPr>
                <w:sz w:val="15"/>
                <w:szCs w:val="15"/>
                <w:color w:val="auto"/>
              </w:rPr>
            </w:pPr>
          </w:p>
        </w:tc>
      </w:tr>
      <w:tr>
        <w:trPr>
          <w:trHeight w:val="180"/>
        </w:trPr>
        <w:tc>
          <w:tcPr>
            <w:tcW w:w="5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Brightspeed</w:t>
            </w:r>
          </w:p>
        </w:tc>
        <w:tc>
          <w:tcPr>
            <w:tcW w:w="1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6.6%</w:t>
            </w:r>
          </w:p>
        </w:tc>
        <w:tc>
          <w:tcPr>
            <w:tcW w:w="80" w:type="dxa"/>
            <w:vAlign w:val="bottom"/>
            <w:shd w:val="clear" w:color="auto" w:fill="CCEEFF"/>
          </w:tcPr>
          <w:p>
            <w:pPr>
              <w:spacing w:after="0"/>
              <w:rPr>
                <w:sz w:val="15"/>
                <w:szCs w:val="15"/>
                <w:color w:val="auto"/>
              </w:rPr>
            </w:pPr>
          </w:p>
        </w:tc>
        <w:tc>
          <w:tcPr>
            <w:tcW w:w="1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4.7%</w:t>
            </w:r>
          </w:p>
        </w:tc>
        <w:tc>
          <w:tcPr>
            <w:tcW w:w="80" w:type="dxa"/>
            <w:vAlign w:val="bottom"/>
            <w:shd w:val="clear" w:color="auto" w:fill="CCEEFF"/>
          </w:tcPr>
          <w:p>
            <w:pPr>
              <w:spacing w:after="0"/>
              <w:rPr>
                <w:sz w:val="15"/>
                <w:szCs w:val="15"/>
                <w:color w:val="auto"/>
              </w:rPr>
            </w:pPr>
          </w:p>
        </w:tc>
        <w:tc>
          <w:tcPr>
            <w:tcW w:w="1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1.0%</w:t>
            </w:r>
          </w:p>
        </w:tc>
        <w:tc>
          <w:tcPr>
            <w:tcW w:w="100" w:type="dxa"/>
            <w:vAlign w:val="bottom"/>
            <w:shd w:val="clear" w:color="auto" w:fill="CCEEFF"/>
          </w:tcPr>
          <w:p>
            <w:pPr>
              <w:spacing w:after="0"/>
              <w:rPr>
                <w:sz w:val="15"/>
                <w:szCs w:val="15"/>
                <w:color w:val="auto"/>
              </w:rPr>
            </w:pPr>
          </w:p>
        </w:tc>
      </w:tr>
      <w:tr>
        <w:trPr>
          <w:trHeight w:val="180"/>
        </w:trPr>
        <w:tc>
          <w:tcPr>
            <w:tcW w:w="5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Verizon Communications, Inc.</w:t>
            </w:r>
          </w:p>
        </w:tc>
        <w:tc>
          <w:tcPr>
            <w:tcW w:w="17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6.1%</w:t>
            </w:r>
          </w:p>
        </w:tc>
        <w:tc>
          <w:tcPr>
            <w:tcW w:w="80" w:type="dxa"/>
            <w:vAlign w:val="bottom"/>
          </w:tcPr>
          <w:p>
            <w:pPr>
              <w:spacing w:after="0"/>
              <w:rPr>
                <w:sz w:val="15"/>
                <w:szCs w:val="15"/>
                <w:color w:val="auto"/>
              </w:rPr>
            </w:pPr>
          </w:p>
        </w:tc>
        <w:tc>
          <w:tcPr>
            <w:tcW w:w="17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9.0%</w:t>
            </w:r>
          </w:p>
        </w:tc>
        <w:tc>
          <w:tcPr>
            <w:tcW w:w="80" w:type="dxa"/>
            <w:vAlign w:val="bottom"/>
          </w:tcPr>
          <w:p>
            <w:pPr>
              <w:spacing w:after="0"/>
              <w:rPr>
                <w:sz w:val="15"/>
                <w:szCs w:val="15"/>
                <w:color w:val="auto"/>
              </w:rPr>
            </w:pPr>
          </w:p>
        </w:tc>
        <w:tc>
          <w:tcPr>
            <w:tcW w:w="17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9.1%</w:t>
            </w:r>
          </w:p>
        </w:tc>
        <w:tc>
          <w:tcPr>
            <w:tcW w:w="100" w:type="dxa"/>
            <w:vAlign w:val="bottom"/>
          </w:tcPr>
          <w:p>
            <w:pPr>
              <w:spacing w:after="0"/>
              <w:rPr>
                <w:sz w:val="15"/>
                <w:szCs w:val="15"/>
                <w:color w:val="auto"/>
              </w:rPr>
            </w:pPr>
          </w:p>
        </w:tc>
      </w:tr>
      <w:tr>
        <w:trPr>
          <w:trHeight w:val="180"/>
        </w:trPr>
        <w:tc>
          <w:tcPr>
            <w:tcW w:w="5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Frontier Communications Corporation</w:t>
            </w:r>
          </w:p>
        </w:tc>
        <w:tc>
          <w:tcPr>
            <w:tcW w:w="1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6.0%</w:t>
            </w:r>
          </w:p>
        </w:tc>
        <w:tc>
          <w:tcPr>
            <w:tcW w:w="80" w:type="dxa"/>
            <w:vAlign w:val="bottom"/>
            <w:shd w:val="clear" w:color="auto" w:fill="CCEEFF"/>
          </w:tcPr>
          <w:p>
            <w:pPr>
              <w:spacing w:after="0"/>
              <w:rPr>
                <w:sz w:val="15"/>
                <w:szCs w:val="15"/>
                <w:color w:val="auto"/>
              </w:rPr>
            </w:pPr>
          </w:p>
        </w:tc>
        <w:tc>
          <w:tcPr>
            <w:tcW w:w="1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5.1%</w:t>
            </w:r>
          </w:p>
        </w:tc>
        <w:tc>
          <w:tcPr>
            <w:tcW w:w="80" w:type="dxa"/>
            <w:vAlign w:val="bottom"/>
            <w:shd w:val="clear" w:color="auto" w:fill="CCEEFF"/>
          </w:tcPr>
          <w:p>
            <w:pPr>
              <w:spacing w:after="0"/>
              <w:rPr>
                <w:sz w:val="15"/>
                <w:szCs w:val="15"/>
                <w:color w:val="auto"/>
              </w:rPr>
            </w:pPr>
          </w:p>
        </w:tc>
        <w:tc>
          <w:tcPr>
            <w:tcW w:w="1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8.5%</w:t>
            </w:r>
          </w:p>
        </w:tc>
        <w:tc>
          <w:tcPr>
            <w:tcW w:w="100" w:type="dxa"/>
            <w:vAlign w:val="bottom"/>
            <w:shd w:val="clear" w:color="auto" w:fill="CCEEFF"/>
          </w:tcPr>
          <w:p>
            <w:pPr>
              <w:spacing w:after="0"/>
              <w:rPr>
                <w:sz w:val="15"/>
                <w:szCs w:val="15"/>
                <w:color w:val="auto"/>
              </w:rPr>
            </w:pPr>
          </w:p>
        </w:tc>
      </w:tr>
    </w:tbl>
    <w:p>
      <w:pPr>
        <w:spacing w:after="0" w:line="26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In addition, another customer contributed 7.4%, 5.5% and 3.7% to our total contract revenues during fiscal 2025, fiscal 2024, and fiscal 2023, respectively.</w:t>
      </w:r>
    </w:p>
    <w:p>
      <w:pPr>
        <w:spacing w:after="0" w:line="200" w:lineRule="exact"/>
        <w:rPr>
          <w:sz w:val="20"/>
          <w:szCs w:val="20"/>
          <w:color w:val="auto"/>
        </w:rPr>
      </w:pPr>
    </w:p>
    <w:p>
      <w:pPr>
        <w:ind w:right="20" w:firstLine="255"/>
        <w:spacing w:after="0" w:line="258" w:lineRule="auto"/>
        <w:rPr>
          <w:sz w:val="20"/>
          <w:szCs w:val="20"/>
          <w:color w:val="auto"/>
        </w:rPr>
      </w:pPr>
      <w:r>
        <w:rPr>
          <w:rFonts w:ascii="Times New Roman" w:cs="Times New Roman" w:eastAsia="Times New Roman" w:hAnsi="Times New Roman"/>
          <w:sz w:val="14"/>
          <w:szCs w:val="14"/>
          <w:color w:val="auto"/>
        </w:rPr>
        <w:t>We perform a majority of our services under master service agreements and other contracts that contain customer-specified service requirements. These agreements include discrete pricing for individual tasks. We generally possess multiple agreements with each of our significant customers. To the extent that such agreements specify exclusivity, there are often exceptions, including the ability of the customer to issue work orders valued above a specified dollar amount to other service providers, the performance of work with the customer’s own employees, and the use of other service providers when jointly placing facilities with another utility. In many cases, a customer may terminate an agreement for convenience. Historically, multi-year master service agreements have been awarded primarily through a competitive bidding process; however, occasionally we are able to negotiate extensions to these agreements. We provide the remainder of our services pursuant to contracts for specific projects. These contracts may be long-term (with terms greater than one year) or short-term (with terms less than one year) and at times include retainage provisions under which the customer may withhold 5% to 10% of the invoiced amounts pending project completion and closeout.</w:t>
      </w:r>
    </w:p>
    <w:p>
      <w:pPr>
        <w:spacing w:after="0" w:line="16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following table summarizes our contract revenues from multi-year master service agreements and other long-term contracts, as a percentage of contract revenues:</w:t>
      </w:r>
    </w:p>
    <w:p>
      <w:pPr>
        <w:spacing w:after="0" w:line="39" w:lineRule="exact"/>
        <w:rPr>
          <w:sz w:val="20"/>
          <w:szCs w:val="20"/>
          <w:color w:val="auto"/>
        </w:rPr>
      </w:pPr>
    </w:p>
    <w:tbl>
      <w:tblPr>
        <w:tblLayout w:type="fixed"/>
        <w:tblInd w:w="40" w:type="dxa"/>
        <w:tblCellMar>
          <w:top w:w="0" w:type="dxa"/>
          <w:left w:w="0" w:type="dxa"/>
          <w:bottom w:w="0" w:type="dxa"/>
          <w:right w:w="0" w:type="dxa"/>
        </w:tblCellMar>
      </w:tblPr>
      <w:tr>
        <w:trPr>
          <w:trHeight w:val="188"/>
        </w:trPr>
        <w:tc>
          <w:tcPr>
            <w:tcW w:w="5520" w:type="dxa"/>
            <w:vAlign w:val="bottom"/>
          </w:tcPr>
          <w:p>
            <w:pPr>
              <w:spacing w:after="0"/>
              <w:rPr>
                <w:sz w:val="16"/>
                <w:szCs w:val="16"/>
                <w:color w:val="auto"/>
              </w:rPr>
            </w:pPr>
          </w:p>
        </w:tc>
        <w:tc>
          <w:tcPr>
            <w:tcW w:w="18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Fiscal Year Ended</w:t>
            </w:r>
          </w:p>
        </w:tc>
        <w:tc>
          <w:tcPr>
            <w:tcW w:w="1840" w:type="dxa"/>
            <w:vAlign w:val="bottom"/>
            <w:tcBorders>
              <w:bottom w:val="single" w:sz="8" w:color="auto"/>
            </w:tcBorders>
          </w:tcPr>
          <w:p>
            <w:pPr>
              <w:spacing w:after="0"/>
              <w:rPr>
                <w:sz w:val="16"/>
                <w:szCs w:val="16"/>
                <w:color w:val="auto"/>
              </w:rPr>
            </w:pPr>
          </w:p>
        </w:tc>
      </w:tr>
      <w:tr>
        <w:trPr>
          <w:trHeight w:val="180"/>
        </w:trPr>
        <w:tc>
          <w:tcPr>
            <w:tcW w:w="5520" w:type="dxa"/>
            <w:vAlign w:val="bottom"/>
          </w:tcPr>
          <w:p>
            <w:pPr>
              <w:spacing w:after="0"/>
              <w:rPr>
                <w:sz w:val="15"/>
                <w:szCs w:val="15"/>
                <w:color w:val="auto"/>
              </w:rPr>
            </w:pPr>
          </w:p>
        </w:tc>
        <w:tc>
          <w:tcPr>
            <w:tcW w:w="1940" w:type="dxa"/>
            <w:vAlign w:val="bottom"/>
            <w:gridSpan w:val="2"/>
          </w:tcPr>
          <w:p>
            <w:pPr>
              <w:ind w:left="400"/>
              <w:spacing w:after="0"/>
              <w:rPr>
                <w:sz w:val="20"/>
                <w:szCs w:val="20"/>
                <w:color w:val="auto"/>
              </w:rPr>
            </w:pPr>
            <w:r>
              <w:rPr>
                <w:rFonts w:ascii="Times New Roman" w:cs="Times New Roman" w:eastAsia="Times New Roman" w:hAnsi="Times New Roman"/>
                <w:sz w:val="14"/>
                <w:szCs w:val="14"/>
                <w:b w:val="1"/>
                <w:bCs w:val="1"/>
                <w:color w:val="auto"/>
              </w:rPr>
              <w:t>January 25, 2025</w:t>
            </w:r>
          </w:p>
        </w:tc>
        <w:tc>
          <w:tcPr>
            <w:tcW w:w="19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January 27, 2024</w:t>
            </w:r>
          </w:p>
        </w:tc>
        <w:tc>
          <w:tcPr>
            <w:tcW w:w="1840" w:type="dxa"/>
            <w:vAlign w:val="bottom"/>
          </w:tcPr>
          <w:p>
            <w:pPr>
              <w:jc w:val="right"/>
              <w:ind w:right="329"/>
              <w:spacing w:after="0"/>
              <w:rPr>
                <w:sz w:val="20"/>
                <w:szCs w:val="20"/>
                <w:color w:val="auto"/>
              </w:rPr>
            </w:pPr>
            <w:r>
              <w:rPr>
                <w:rFonts w:ascii="Times New Roman" w:cs="Times New Roman" w:eastAsia="Times New Roman" w:hAnsi="Times New Roman"/>
                <w:sz w:val="14"/>
                <w:szCs w:val="14"/>
                <w:b w:val="1"/>
                <w:bCs w:val="1"/>
                <w:color w:val="auto"/>
              </w:rPr>
              <w:t>January 28, 2023</w:t>
            </w:r>
          </w:p>
        </w:tc>
      </w:tr>
      <w:tr>
        <w:trPr>
          <w:trHeight w:val="171"/>
        </w:trPr>
        <w:tc>
          <w:tcPr>
            <w:tcW w:w="55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Multi-year master service agreements</w:t>
            </w:r>
          </w:p>
        </w:tc>
        <w:tc>
          <w:tcPr>
            <w:tcW w:w="1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79.3 %</w:t>
            </w:r>
          </w:p>
        </w:tc>
        <w:tc>
          <w:tcPr>
            <w:tcW w:w="100" w:type="dxa"/>
            <w:vAlign w:val="bottom"/>
            <w:tcBorders>
              <w:top w:val="single" w:sz="8" w:color="CCEEFF"/>
            </w:tcBorders>
            <w:shd w:val="clear" w:color="auto" w:fill="CCEEFF"/>
          </w:tcPr>
          <w:p>
            <w:pPr>
              <w:spacing w:after="0"/>
              <w:rPr>
                <w:sz w:val="14"/>
                <w:szCs w:val="14"/>
                <w:color w:val="auto"/>
              </w:rPr>
            </w:pPr>
          </w:p>
        </w:tc>
        <w:tc>
          <w:tcPr>
            <w:tcW w:w="1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77.7 %</w:t>
            </w:r>
          </w:p>
        </w:tc>
        <w:tc>
          <w:tcPr>
            <w:tcW w:w="80" w:type="dxa"/>
            <w:vAlign w:val="bottom"/>
            <w:tcBorders>
              <w:top w:val="single" w:sz="8" w:color="CCEEFF"/>
            </w:tcBorders>
            <w:shd w:val="clear" w:color="auto" w:fill="CCEEFF"/>
          </w:tcPr>
          <w:p>
            <w:pPr>
              <w:spacing w:after="0"/>
              <w:rPr>
                <w:sz w:val="14"/>
                <w:szCs w:val="14"/>
                <w:color w:val="auto"/>
              </w:rPr>
            </w:pPr>
          </w:p>
        </w:tc>
        <w:tc>
          <w:tcPr>
            <w:tcW w:w="1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79.5 %</w:t>
            </w:r>
          </w:p>
        </w:tc>
      </w:tr>
      <w:tr>
        <w:trPr>
          <w:trHeight w:val="180"/>
        </w:trPr>
        <w:tc>
          <w:tcPr>
            <w:tcW w:w="55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color w:val="auto"/>
              </w:rPr>
              <w:t>Other long-term contracts</w:t>
            </w: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10.0 %</w:t>
            </w:r>
          </w:p>
        </w:tc>
        <w:tc>
          <w:tcPr>
            <w:tcW w:w="100" w:type="dxa"/>
            <w:vAlign w:val="bottom"/>
            <w:tcBorders>
              <w:bottom w:val="single" w:sz="8" w:color="CCEEFF"/>
            </w:tcBorders>
          </w:tcPr>
          <w:p>
            <w:pPr>
              <w:spacing w:after="0"/>
              <w:rPr>
                <w:sz w:val="15"/>
                <w:szCs w:val="15"/>
                <w:color w:val="auto"/>
              </w:rPr>
            </w:pP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11.9 %</w:t>
            </w:r>
          </w:p>
        </w:tc>
        <w:tc>
          <w:tcPr>
            <w:tcW w:w="80" w:type="dxa"/>
            <w:vAlign w:val="bottom"/>
            <w:tcBorders>
              <w:bottom w:val="single" w:sz="8" w:color="CCEEFF"/>
            </w:tcBorders>
          </w:tcPr>
          <w:p>
            <w:pPr>
              <w:spacing w:after="0"/>
              <w:rPr>
                <w:sz w:val="15"/>
                <w:szCs w:val="15"/>
                <w:color w:val="auto"/>
              </w:rPr>
            </w:pP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10.5 %</w:t>
            </w:r>
          </w:p>
        </w:tc>
      </w:tr>
      <w:tr>
        <w:trPr>
          <w:trHeight w:val="196"/>
        </w:trPr>
        <w:tc>
          <w:tcPr>
            <w:tcW w:w="552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Total long-term contracts</w:t>
            </w:r>
          </w:p>
        </w:tc>
        <w:tc>
          <w:tcPr>
            <w:tcW w:w="1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89.3 %</w:t>
            </w:r>
          </w:p>
        </w:tc>
        <w:tc>
          <w:tcPr>
            <w:tcW w:w="100" w:type="dxa"/>
            <w:vAlign w:val="bottom"/>
            <w:tcBorders>
              <w:bottom w:val="single" w:sz="8" w:color="CCEEFF"/>
            </w:tcBorders>
            <w:shd w:val="clear" w:color="auto" w:fill="CCEEFF"/>
          </w:tcPr>
          <w:p>
            <w:pPr>
              <w:spacing w:after="0"/>
              <w:rPr>
                <w:sz w:val="16"/>
                <w:szCs w:val="16"/>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89.6 %</w:t>
            </w:r>
          </w:p>
        </w:tc>
        <w:tc>
          <w:tcPr>
            <w:tcW w:w="80" w:type="dxa"/>
            <w:vAlign w:val="bottom"/>
            <w:tcBorders>
              <w:bottom w:val="single" w:sz="8" w:color="CCEEFF"/>
            </w:tcBorders>
            <w:shd w:val="clear" w:color="auto" w:fill="CCEEFF"/>
          </w:tcPr>
          <w:p>
            <w:pPr>
              <w:spacing w:after="0"/>
              <w:rPr>
                <w:sz w:val="16"/>
                <w:szCs w:val="16"/>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90.0 %</w:t>
            </w:r>
          </w:p>
        </w:tc>
      </w:tr>
      <w:tr>
        <w:trPr>
          <w:trHeight w:val="20"/>
        </w:trPr>
        <w:tc>
          <w:tcPr>
            <w:tcW w:w="5520" w:type="dxa"/>
            <w:vAlign w:val="bottom"/>
            <w:tcBorders>
              <w:top w:val="single" w:sz="8" w:color="CCEEFF"/>
            </w:tcBorders>
          </w:tcPr>
          <w:p>
            <w:pPr>
              <w:spacing w:after="0" w:line="20" w:lineRule="exact"/>
              <w:rPr>
                <w:sz w:val="1"/>
                <w:szCs w:val="1"/>
                <w:color w:val="auto"/>
              </w:rPr>
            </w:pPr>
          </w:p>
        </w:tc>
        <w:tc>
          <w:tcPr>
            <w:tcW w:w="1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40" w:type="dxa"/>
            <w:vAlign w:val="bottom"/>
            <w:tcBorders>
              <w:top w:val="single" w:sz="8" w:color="CCEEFF"/>
              <w:bottom w:val="single" w:sz="8" w:color="auto"/>
            </w:tcBorders>
          </w:tcPr>
          <w:p>
            <w:pPr>
              <w:spacing w:after="0" w:line="20" w:lineRule="exact"/>
              <w:rPr>
                <w:sz w:val="1"/>
                <w:szCs w:val="1"/>
                <w:color w:val="auto"/>
              </w:rPr>
            </w:pPr>
          </w:p>
        </w:tc>
      </w:tr>
    </w:tbl>
    <w:p>
      <w:pPr>
        <w:spacing w:after="0" w:line="25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i w:val="1"/>
          <w:iCs w:val="1"/>
          <w:color w:val="auto"/>
        </w:rPr>
        <w:t>Acquisitions</w:t>
      </w:r>
    </w:p>
    <w:p>
      <w:pPr>
        <w:spacing w:after="0" w:line="202"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As part of our growth strategy, we may acquire companies that expand, complement, or diversify our business. We regularly review opportunities and periodically engage in discussions regarding possible acquisitions. Our ability to sustain our growth and maintain our competitive position may be affected by our ability to identify, acquire, and successfully integrate companies.</w:t>
      </w:r>
    </w:p>
    <w:p>
      <w:pPr>
        <w:spacing w:after="0" w:line="143" w:lineRule="exact"/>
        <w:rPr>
          <w:sz w:val="20"/>
          <w:szCs w:val="20"/>
          <w:color w:val="auto"/>
        </w:rPr>
      </w:pPr>
    </w:p>
    <w:p>
      <w:pPr>
        <w:jc w:val="both"/>
        <w:ind w:right="460" w:firstLine="255"/>
        <w:spacing w:after="0" w:line="271" w:lineRule="auto"/>
        <w:rPr>
          <w:sz w:val="20"/>
          <w:szCs w:val="20"/>
          <w:color w:val="auto"/>
        </w:rPr>
      </w:pPr>
      <w:r>
        <w:rPr>
          <w:rFonts w:ascii="Times New Roman" w:cs="Times New Roman" w:eastAsia="Times New Roman" w:hAnsi="Times New Roman"/>
          <w:sz w:val="14"/>
          <w:szCs w:val="14"/>
          <w:i w:val="1"/>
          <w:iCs w:val="1"/>
          <w:color w:val="auto"/>
        </w:rPr>
        <w:t xml:space="preserve">Fiscal 2025. </w:t>
      </w:r>
      <w:r>
        <w:rPr>
          <w:rFonts w:ascii="Times New Roman" w:cs="Times New Roman" w:eastAsia="Times New Roman" w:hAnsi="Times New Roman"/>
          <w:sz w:val="14"/>
          <w:szCs w:val="14"/>
          <w:color w:val="auto"/>
        </w:rPr>
        <w:t>During the third quarter of fiscal 2025, we acquired certain assets and assumed certain liabilities of a telecommunications construction contractor for a cash purchase price of</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$150.7 million. The acquired business provides wireless construction services for telecommunications providers in various states. This acquisition expands our geographic presence within our existing customer base.</w:t>
      </w:r>
    </w:p>
    <w:p>
      <w:pPr>
        <w:spacing w:after="0" w:line="157" w:lineRule="exact"/>
        <w:rPr>
          <w:sz w:val="20"/>
          <w:szCs w:val="20"/>
          <w:color w:val="auto"/>
        </w:rPr>
      </w:pPr>
    </w:p>
    <w:p>
      <w:pPr>
        <w:ind w:right="40" w:firstLine="255"/>
        <w:spacing w:after="0" w:line="270" w:lineRule="auto"/>
        <w:rPr>
          <w:sz w:val="20"/>
          <w:szCs w:val="20"/>
          <w:color w:val="auto"/>
        </w:rPr>
      </w:pPr>
      <w:r>
        <w:rPr>
          <w:rFonts w:ascii="Times New Roman" w:cs="Times New Roman" w:eastAsia="Times New Roman" w:hAnsi="Times New Roman"/>
          <w:sz w:val="14"/>
          <w:szCs w:val="14"/>
          <w:color w:val="auto"/>
        </w:rPr>
        <w:t>During the second quarter of fiscal 2025, we acquired a telecommunications construction contractor for a total purchase price of $24.5 million ($20.4 million purchase price plus cash acquired of $4.1 million). The acquired company is located in the northwestern United States and provides construction and maintenance services to telecommunications providers, with the majority of its revenues generated in Alaska. This acquisition expands our geographic presence and our customer base.</w:t>
      </w: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44" w:lineRule="exact"/>
        <w:rPr>
          <w:sz w:val="20"/>
          <w:szCs w:val="20"/>
          <w:color w:val="auto"/>
        </w:rPr>
      </w:pPr>
    </w:p>
    <w:p>
      <w:pPr>
        <w:ind w:right="160" w:firstLine="255"/>
        <w:spacing w:after="0" w:line="270" w:lineRule="auto"/>
        <w:rPr>
          <w:sz w:val="20"/>
          <w:szCs w:val="20"/>
          <w:color w:val="auto"/>
        </w:rPr>
      </w:pPr>
      <w:r>
        <w:rPr>
          <w:rFonts w:ascii="Times New Roman" w:cs="Times New Roman" w:eastAsia="Times New Roman" w:hAnsi="Times New Roman"/>
          <w:sz w:val="14"/>
          <w:szCs w:val="14"/>
          <w:color w:val="auto"/>
        </w:rPr>
        <w:t>During the first quarter of fiscal 2025, we acquired a telecommunications construction contractor for $16.0 million ($12.8 million purchase price, plus cash acquired of $3.2 million). The acquired company provides construction and maintenance services for telecommunications providers in the midwestern United States. This acquisition expands our geographic presence within our existing customer base.</w:t>
      </w:r>
    </w:p>
    <w:p>
      <w:pPr>
        <w:spacing w:after="0" w:line="155" w:lineRule="exact"/>
        <w:rPr>
          <w:sz w:val="20"/>
          <w:szCs w:val="20"/>
          <w:color w:val="auto"/>
        </w:rPr>
      </w:pPr>
    </w:p>
    <w:p>
      <w:pPr>
        <w:ind w:right="120" w:firstLine="255"/>
        <w:spacing w:after="0" w:line="271" w:lineRule="auto"/>
        <w:rPr>
          <w:sz w:val="20"/>
          <w:szCs w:val="20"/>
          <w:color w:val="auto"/>
        </w:rPr>
      </w:pPr>
      <w:r>
        <w:rPr>
          <w:rFonts w:ascii="Times New Roman" w:cs="Times New Roman" w:eastAsia="Times New Roman" w:hAnsi="Times New Roman"/>
          <w:sz w:val="14"/>
          <w:szCs w:val="14"/>
          <w:i w:val="1"/>
          <w:iCs w:val="1"/>
          <w:color w:val="auto"/>
        </w:rPr>
        <w:t xml:space="preserve">Fiscal 2024. </w:t>
      </w:r>
      <w:r>
        <w:rPr>
          <w:rFonts w:ascii="Times New Roman" w:cs="Times New Roman" w:eastAsia="Times New Roman" w:hAnsi="Times New Roman"/>
          <w:sz w:val="14"/>
          <w:szCs w:val="14"/>
          <w:color w:val="auto"/>
        </w:rPr>
        <w:t>During August 2023, we acquired Bigham Cable Construction, Inc. (“Bigham”), for $131.2 million ($127.0 million fixed purchase price, plus cash acquired of $8.3 million, less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indebtedness of $4.1 million). Bigham provides construction and maintenance services for telecommunications providers in the southeastern United States. This acquisition expands our geographic presence within our existing customer base</w:t>
      </w:r>
    </w:p>
    <w:p>
      <w:pPr>
        <w:spacing w:after="0" w:line="15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i w:val="1"/>
          <w:iCs w:val="1"/>
          <w:color w:val="auto"/>
        </w:rPr>
        <w:t xml:space="preserve">Fiscal 2023. </w:t>
      </w:r>
      <w:r>
        <w:rPr>
          <w:rFonts w:ascii="Times New Roman" w:cs="Times New Roman" w:eastAsia="Times New Roman" w:hAnsi="Times New Roman"/>
          <w:sz w:val="14"/>
          <w:szCs w:val="14"/>
          <w:color w:val="auto"/>
        </w:rPr>
        <w:t>During the fourth quarter of fiscal 2023, we acquired the assets of a telecommunications construction company for $0.4 million.</w:t>
      </w:r>
    </w:p>
    <w:p>
      <w:pPr>
        <w:spacing w:after="0" w:line="202" w:lineRule="exact"/>
        <w:rPr>
          <w:sz w:val="20"/>
          <w:szCs w:val="20"/>
          <w:color w:val="auto"/>
        </w:rPr>
      </w:pPr>
    </w:p>
    <w:p>
      <w:pPr>
        <w:ind w:right="220" w:firstLine="255"/>
        <w:spacing w:after="0" w:line="287" w:lineRule="auto"/>
        <w:rPr>
          <w:sz w:val="20"/>
          <w:szCs w:val="20"/>
          <w:color w:val="auto"/>
        </w:rPr>
      </w:pPr>
      <w:r>
        <w:rPr>
          <w:rFonts w:ascii="Times New Roman" w:cs="Times New Roman" w:eastAsia="Times New Roman" w:hAnsi="Times New Roman"/>
          <w:sz w:val="14"/>
          <w:szCs w:val="14"/>
          <w:color w:val="auto"/>
        </w:rPr>
        <w:t>Results of the businesses acquired are included in our consolidated financial statements from their respective dates of acquisition. The purchase price allocations of the companies acquired in fiscal 2025 are preliminary and will be completed when valuations for intangible assets and other amounts are finalized within the 12-month measurement period from the date of acquisition.</w:t>
      </w:r>
    </w:p>
    <w:p>
      <w:pPr>
        <w:spacing w:after="0" w:line="14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i w:val="1"/>
          <w:iCs w:val="1"/>
          <w:color w:val="auto"/>
        </w:rPr>
        <w:t>Understanding Our Results of Operations</w:t>
      </w:r>
    </w:p>
    <w:p>
      <w:pPr>
        <w:spacing w:after="0" w:line="200" w:lineRule="exact"/>
        <w:rPr>
          <w:sz w:val="20"/>
          <w:szCs w:val="20"/>
          <w:color w:val="auto"/>
        </w:rPr>
      </w:pPr>
    </w:p>
    <w:p>
      <w:pPr>
        <w:ind w:right="200" w:firstLine="255"/>
        <w:spacing w:after="0" w:line="290" w:lineRule="auto"/>
        <w:rPr>
          <w:sz w:val="20"/>
          <w:szCs w:val="20"/>
          <w:color w:val="auto"/>
        </w:rPr>
      </w:pPr>
      <w:r>
        <w:rPr>
          <w:rFonts w:ascii="Times New Roman" w:cs="Times New Roman" w:eastAsia="Times New Roman" w:hAnsi="Times New Roman"/>
          <w:sz w:val="14"/>
          <w:szCs w:val="14"/>
          <w:color w:val="auto"/>
        </w:rPr>
        <w:t xml:space="preserve">The following information is presented so that the reader may better understand certain factors impacting our results of operations, and should be read in conjunction with </w:t>
      </w:r>
      <w:r>
        <w:rPr>
          <w:rFonts w:ascii="Times New Roman" w:cs="Times New Roman" w:eastAsia="Times New Roman" w:hAnsi="Times New Roman"/>
          <w:sz w:val="14"/>
          <w:szCs w:val="14"/>
          <w:i w:val="1"/>
          <w:iCs w:val="1"/>
          <w:color w:val="auto"/>
        </w:rPr>
        <w:t>Critical Accounting</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 xml:space="preserve">Policies and Estimates </w:t>
      </w:r>
      <w:r>
        <w:rPr>
          <w:rFonts w:ascii="Times New Roman" w:cs="Times New Roman" w:eastAsia="Times New Roman" w:hAnsi="Times New Roman"/>
          <w:sz w:val="14"/>
          <w:szCs w:val="14"/>
          <w:color w:val="auto"/>
        </w:rPr>
        <w:t>below, as well as Note 2,</w:t>
      </w:r>
      <w:r>
        <w:rPr>
          <w:rFonts w:ascii="Times New Roman" w:cs="Times New Roman" w:eastAsia="Times New Roman" w:hAnsi="Times New Roman"/>
          <w:sz w:val="14"/>
          <w:szCs w:val="14"/>
          <w:i w:val="1"/>
          <w:iCs w:val="1"/>
          <w:color w:val="auto"/>
        </w:rPr>
        <w:t xml:space="preserve"> Significant Accounting Policies &amp; Estimates</w:t>
      </w:r>
      <w:r>
        <w:rPr>
          <w:rFonts w:ascii="Times New Roman" w:cs="Times New Roman" w:eastAsia="Times New Roman" w:hAnsi="Times New Roman"/>
          <w:sz w:val="14"/>
          <w:szCs w:val="14"/>
          <w:color w:val="auto"/>
        </w:rPr>
        <w:t>, in the Notes to the Consolidated Financial Statements in this Annual Report on Form 10-K.</w:t>
      </w:r>
    </w:p>
    <w:p>
      <w:pPr>
        <w:spacing w:after="0" w:line="141" w:lineRule="exact"/>
        <w:rPr>
          <w:sz w:val="20"/>
          <w:szCs w:val="20"/>
          <w:color w:val="auto"/>
        </w:rPr>
      </w:pPr>
    </w:p>
    <w:p>
      <w:pPr>
        <w:ind w:firstLine="255"/>
        <w:spacing w:after="0" w:line="262" w:lineRule="auto"/>
        <w:rPr>
          <w:sz w:val="20"/>
          <w:szCs w:val="20"/>
          <w:color w:val="auto"/>
        </w:rPr>
      </w:pPr>
      <w:r>
        <w:rPr>
          <w:rFonts w:ascii="Times New Roman" w:cs="Times New Roman" w:eastAsia="Times New Roman" w:hAnsi="Times New Roman"/>
          <w:sz w:val="14"/>
          <w:szCs w:val="14"/>
          <w:i w:val="1"/>
          <w:iCs w:val="1"/>
          <w:color w:val="auto"/>
        </w:rPr>
        <w:t xml:space="preserve">Contract Revenues. </w:t>
      </w:r>
      <w:r>
        <w:rPr>
          <w:rFonts w:ascii="Times New Roman" w:cs="Times New Roman" w:eastAsia="Times New Roman" w:hAnsi="Times New Roman"/>
          <w:sz w:val="14"/>
          <w:szCs w:val="14"/>
          <w:color w:val="auto"/>
        </w:rPr>
        <w:t>We perform a significant amount of our services under master service agreements and other contracts that contain customer-specified service requirements. These agreements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 xml:space="preserve">include discrete pricing for individual tasks including, for example, the placement of underground or aerial fiber, directional boring, and fiber splicing, each based on a specific unit of measure. Contract revenue is recognized over time as services are performed and customers simultaneously receive and consume the benefits we provide. Output measures, such as units delivered, are utilized to assess progress against specific contractual performance obligations for the majority of our services. For certain contracts, we use the cost-to-cost measure of progress as more fully described within </w:t>
      </w:r>
      <w:r>
        <w:rPr>
          <w:rFonts w:ascii="Times New Roman" w:cs="Times New Roman" w:eastAsia="Times New Roman" w:hAnsi="Times New Roman"/>
          <w:sz w:val="14"/>
          <w:szCs w:val="14"/>
          <w:i w:val="1"/>
          <w:iCs w:val="1"/>
          <w:color w:val="auto"/>
        </w:rPr>
        <w:t>Critical Accounting Policies and Estimates</w:t>
      </w:r>
      <w:r>
        <w:rPr>
          <w:rFonts w:ascii="Times New Roman" w:cs="Times New Roman" w:eastAsia="Times New Roman" w:hAnsi="Times New Roman"/>
          <w:sz w:val="14"/>
          <w:szCs w:val="14"/>
          <w:color w:val="auto"/>
        </w:rPr>
        <w:t xml:space="preserve"> below.</w:t>
      </w:r>
    </w:p>
    <w:p>
      <w:pPr>
        <w:spacing w:after="0" w:line="161" w:lineRule="exact"/>
        <w:rPr>
          <w:sz w:val="20"/>
          <w:szCs w:val="20"/>
          <w:color w:val="auto"/>
        </w:rPr>
      </w:pPr>
    </w:p>
    <w:p>
      <w:pPr>
        <w:ind w:right="20" w:firstLine="255"/>
        <w:spacing w:after="0" w:line="265" w:lineRule="auto"/>
        <w:rPr>
          <w:sz w:val="20"/>
          <w:szCs w:val="20"/>
          <w:color w:val="auto"/>
        </w:rPr>
      </w:pPr>
      <w:r>
        <w:rPr>
          <w:rFonts w:ascii="Times New Roman" w:cs="Times New Roman" w:eastAsia="Times New Roman" w:hAnsi="Times New Roman"/>
          <w:sz w:val="14"/>
          <w:szCs w:val="14"/>
          <w:i w:val="1"/>
          <w:iCs w:val="1"/>
          <w:color w:val="auto"/>
        </w:rPr>
        <w:t xml:space="preserve">Costs of Earned Revenues. </w:t>
      </w:r>
      <w:r>
        <w:rPr>
          <w:rFonts w:ascii="Times New Roman" w:cs="Times New Roman" w:eastAsia="Times New Roman" w:hAnsi="Times New Roman"/>
          <w:sz w:val="14"/>
          <w:szCs w:val="14"/>
          <w:color w:val="auto"/>
        </w:rPr>
        <w:t>Costs of earned revenues includes all direct costs of providing services under our contracts, including costs for direct labor provided by employees, services by</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subcontractors, operation of capital equipment (excluding depreciation), direct materials, costs of insuring our risks, and other direct costs. Under our insurance program, we retain the risk of loss, up to certain limits, for matters related to automobile liability, general liability (including damages associated with underground facility locating services), workers’ compensation, and employee group health.</w:t>
      </w:r>
    </w:p>
    <w:p>
      <w:pPr>
        <w:spacing w:after="0" w:line="148" w:lineRule="exact"/>
        <w:rPr>
          <w:sz w:val="20"/>
          <w:szCs w:val="20"/>
          <w:color w:val="auto"/>
        </w:rPr>
      </w:pPr>
    </w:p>
    <w:p>
      <w:pPr>
        <w:ind w:right="40" w:firstLine="255"/>
        <w:spacing w:after="0" w:line="244" w:lineRule="auto"/>
        <w:rPr>
          <w:sz w:val="20"/>
          <w:szCs w:val="20"/>
          <w:color w:val="auto"/>
        </w:rPr>
      </w:pPr>
      <w:r>
        <w:rPr>
          <w:rFonts w:ascii="Times New Roman" w:cs="Times New Roman" w:eastAsia="Times New Roman" w:hAnsi="Times New Roman"/>
          <w:sz w:val="14"/>
          <w:szCs w:val="14"/>
          <w:i w:val="1"/>
          <w:iCs w:val="1"/>
          <w:color w:val="auto"/>
        </w:rPr>
        <w:t xml:space="preserve">General and Administrative Expenses. </w:t>
      </w:r>
      <w:r>
        <w:rPr>
          <w:rFonts w:ascii="Times New Roman" w:cs="Times New Roman" w:eastAsia="Times New Roman" w:hAnsi="Times New Roman"/>
          <w:sz w:val="14"/>
          <w:szCs w:val="14"/>
          <w:color w:val="auto"/>
        </w:rPr>
        <w:t>General and administrative expenses primarily consist of employee compensation and related expenses, including performance-based compensation and</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stock-based compensation, legal, consulting and professional fees, information technology and development costs, amortization of implementation costs associated with cloud computing arrangements, provision for or recoveries of bad debt expense, acquisition and integration costs of businesses acquired, and other costs not directly related to the provision of our services under customer contracts. Our provision for bad debt expense is determined by evaluating specific accounts receivable and contract asset balances based on historical collection trends, the age of outstanding receivables, and the creditworthiness of our customers. We incur information technology and development costs primarily to support and enhance our operating efficiency. Our executive management team and the senior management of our subsidiaries perform substantially all of our sales and marketing functions as part of their management responsibilities.</w:t>
      </w:r>
    </w:p>
    <w:p>
      <w:pPr>
        <w:spacing w:after="0" w:line="174" w:lineRule="exact"/>
        <w:rPr>
          <w:sz w:val="20"/>
          <w:szCs w:val="20"/>
          <w:color w:val="auto"/>
        </w:rPr>
      </w:pPr>
    </w:p>
    <w:p>
      <w:pPr>
        <w:ind w:right="240" w:firstLine="255"/>
        <w:spacing w:after="0" w:line="265" w:lineRule="auto"/>
        <w:rPr>
          <w:sz w:val="20"/>
          <w:szCs w:val="20"/>
          <w:color w:val="auto"/>
        </w:rPr>
      </w:pPr>
      <w:r>
        <w:rPr>
          <w:rFonts w:ascii="Times New Roman" w:cs="Times New Roman" w:eastAsia="Times New Roman" w:hAnsi="Times New Roman"/>
          <w:sz w:val="14"/>
          <w:szCs w:val="14"/>
          <w:i w:val="1"/>
          <w:iCs w:val="1"/>
          <w:color w:val="auto"/>
        </w:rPr>
        <w:t xml:space="preserve">Depreciation and Amortization. </w:t>
      </w:r>
      <w:r>
        <w:rPr>
          <w:rFonts w:ascii="Times New Roman" w:cs="Times New Roman" w:eastAsia="Times New Roman" w:hAnsi="Times New Roman"/>
          <w:sz w:val="14"/>
          <w:szCs w:val="14"/>
          <w:color w:val="auto"/>
        </w:rPr>
        <w:t>Our property and equipment primarily consist of vehicles, equipment and machinery, and computer hardware and software. We depreciate property and</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equipment on a straight-line basis over the estimated useful lives of the assets. In addition, we have intangible assets, including customer relationships, trade names, and non-compete intangibles, which we amortize over their estimated useful lives. We recognize amortization of customer relationship intangibles on an accelerated basis as a function of the expected economic benefit and amortization of other finite-lived intangibles on a straight-line basis over their estimated useful lives.</w:t>
      </w:r>
    </w:p>
    <w:p>
      <w:pPr>
        <w:spacing w:after="0" w:line="200" w:lineRule="exact"/>
        <w:rPr>
          <w:sz w:val="20"/>
          <w:szCs w:val="20"/>
          <w:color w:val="auto"/>
        </w:rPr>
      </w:pPr>
    </w:p>
    <w:p>
      <w:pPr>
        <w:spacing w:after="0" w:line="39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125" w:right="35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4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i w:val="1"/>
          <w:iCs w:val="1"/>
          <w:color w:val="auto"/>
        </w:rPr>
        <w:t xml:space="preserve">Interest Expense, Net. </w:t>
      </w:r>
      <w:r>
        <w:rPr>
          <w:rFonts w:ascii="Times New Roman" w:cs="Times New Roman" w:eastAsia="Times New Roman" w:hAnsi="Times New Roman"/>
          <w:sz w:val="14"/>
          <w:szCs w:val="14"/>
          <w:color w:val="auto"/>
        </w:rPr>
        <w:t>Interest expense, net, consists of interest incurred on outstanding variable rate and fixed rate debt and certain other obligations and the amortization of debt issuance costs.</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xml:space="preserve">See Note 14, </w:t>
      </w:r>
      <w:r>
        <w:rPr>
          <w:rFonts w:ascii="Times New Roman" w:cs="Times New Roman" w:eastAsia="Times New Roman" w:hAnsi="Times New Roman"/>
          <w:sz w:val="14"/>
          <w:szCs w:val="14"/>
          <w:i w:val="1"/>
          <w:iCs w:val="1"/>
          <w:color w:val="auto"/>
        </w:rPr>
        <w:t>Debt</w:t>
      </w:r>
      <w:r>
        <w:rPr>
          <w:rFonts w:ascii="Times New Roman" w:cs="Times New Roman" w:eastAsia="Times New Roman" w:hAnsi="Times New Roman"/>
          <w:sz w:val="14"/>
          <w:szCs w:val="14"/>
          <w:color w:val="auto"/>
        </w:rPr>
        <w:t>, in the notes to the consolidated financial statements in this Annual Report on Form 10-K for information on debt issuance costs.</w:t>
      </w:r>
    </w:p>
    <w:p>
      <w:pPr>
        <w:spacing w:after="0" w:line="183" w:lineRule="exact"/>
        <w:rPr>
          <w:sz w:val="20"/>
          <w:szCs w:val="20"/>
          <w:color w:val="auto"/>
        </w:rPr>
      </w:pPr>
    </w:p>
    <w:p>
      <w:pPr>
        <w:ind w:right="480" w:firstLine="255"/>
        <w:spacing w:after="0" w:line="290" w:lineRule="auto"/>
        <w:rPr>
          <w:sz w:val="20"/>
          <w:szCs w:val="20"/>
          <w:color w:val="auto"/>
        </w:rPr>
      </w:pPr>
      <w:r>
        <w:rPr>
          <w:rFonts w:ascii="Times New Roman" w:cs="Times New Roman" w:eastAsia="Times New Roman" w:hAnsi="Times New Roman"/>
          <w:sz w:val="14"/>
          <w:szCs w:val="14"/>
          <w:i w:val="1"/>
          <w:iCs w:val="1"/>
          <w:color w:val="auto"/>
        </w:rPr>
        <w:t xml:space="preserve">Loss on Debt Extinguishment. </w:t>
      </w:r>
      <w:r>
        <w:rPr>
          <w:rFonts w:ascii="Times New Roman" w:cs="Times New Roman" w:eastAsia="Times New Roman" w:hAnsi="Times New Roman"/>
          <w:sz w:val="14"/>
          <w:szCs w:val="14"/>
          <w:color w:val="auto"/>
        </w:rPr>
        <w:t>Loss on debt extinguishment for fiscal 2025 of $1.0 million includes the write-off of deferred debt issuance costs in connection with the Credit Agreement</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amendment.</w:t>
      </w:r>
    </w:p>
    <w:p>
      <w:pPr>
        <w:spacing w:after="0" w:line="141" w:lineRule="exact"/>
        <w:rPr>
          <w:sz w:val="20"/>
          <w:szCs w:val="20"/>
          <w:color w:val="auto"/>
        </w:rPr>
      </w:pPr>
    </w:p>
    <w:p>
      <w:pPr>
        <w:ind w:right="340" w:firstLine="255"/>
        <w:spacing w:after="0" w:line="290" w:lineRule="auto"/>
        <w:rPr>
          <w:sz w:val="20"/>
          <w:szCs w:val="20"/>
          <w:color w:val="auto"/>
        </w:rPr>
      </w:pPr>
      <w:r>
        <w:rPr>
          <w:rFonts w:ascii="Times New Roman" w:cs="Times New Roman" w:eastAsia="Times New Roman" w:hAnsi="Times New Roman"/>
          <w:sz w:val="14"/>
          <w:szCs w:val="14"/>
          <w:i w:val="1"/>
          <w:iCs w:val="1"/>
          <w:color w:val="auto"/>
        </w:rPr>
        <w:t xml:space="preserve">Other Income, Net. </w:t>
      </w:r>
      <w:r>
        <w:rPr>
          <w:rFonts w:ascii="Times New Roman" w:cs="Times New Roman" w:eastAsia="Times New Roman" w:hAnsi="Times New Roman"/>
          <w:sz w:val="14"/>
          <w:szCs w:val="14"/>
          <w:color w:val="auto"/>
        </w:rPr>
        <w:t>Other income, net, primarily consists of gains or losses from sales of fixed assets. Other income, net also includes discount fee expense associated with the collection of</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accounts receivable under a customer-sponsored vendor payment program.</w:t>
      </w:r>
    </w:p>
    <w:p>
      <w:pPr>
        <w:spacing w:after="0" w:line="141" w:lineRule="exact"/>
        <w:rPr>
          <w:sz w:val="20"/>
          <w:szCs w:val="20"/>
          <w:color w:val="auto"/>
        </w:rPr>
      </w:pPr>
    </w:p>
    <w:p>
      <w:pPr>
        <w:jc w:val="both"/>
        <w:ind w:firstLine="255"/>
        <w:spacing w:after="0" w:line="259" w:lineRule="auto"/>
        <w:rPr>
          <w:sz w:val="20"/>
          <w:szCs w:val="20"/>
          <w:color w:val="auto"/>
        </w:rPr>
      </w:pPr>
      <w:r>
        <w:rPr>
          <w:rFonts w:ascii="Times New Roman" w:cs="Times New Roman" w:eastAsia="Times New Roman" w:hAnsi="Times New Roman"/>
          <w:sz w:val="14"/>
          <w:szCs w:val="14"/>
          <w:i w:val="1"/>
          <w:iCs w:val="1"/>
          <w:color w:val="auto"/>
        </w:rPr>
        <w:t xml:space="preserve">Seasonality and Fluctuations in Operating Results. </w:t>
      </w:r>
      <w:r>
        <w:rPr>
          <w:rFonts w:ascii="Times New Roman" w:cs="Times New Roman" w:eastAsia="Times New Roman" w:hAnsi="Times New Roman"/>
          <w:sz w:val="14"/>
          <w:szCs w:val="14"/>
          <w:color w:val="auto"/>
        </w:rPr>
        <w:t>Our contract revenues and results of operations exhibit seasonality and are impacted by adverse weather changes as we perform a significant</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portion of our work outdoors. Consequently, adverse weather, which is more likely to occur with greater frequency, severity, and duration during the winter, as well as reduced daylight hours, impact our operations during the fiscal quarters ending in January and April. Additionally, extreme weather conditions such as major or extended winter storms, droughts and tornados, wildfires, and natural disasters, such as floods, hurricanes, tropical storms, whether as a result of climate change or otherwise, could also impact the demand for our services, or impact our ability to perform our services.</w:t>
      </w:r>
    </w:p>
    <w:p>
      <w:pPr>
        <w:ind w:right="520"/>
        <w:spacing w:after="0" w:line="266" w:lineRule="auto"/>
        <w:rPr>
          <w:sz w:val="20"/>
          <w:szCs w:val="20"/>
          <w:color w:val="auto"/>
        </w:rPr>
      </w:pPr>
      <w:r>
        <w:rPr>
          <w:rFonts w:ascii="Times New Roman" w:cs="Times New Roman" w:eastAsia="Times New Roman" w:hAnsi="Times New Roman"/>
          <w:sz w:val="14"/>
          <w:szCs w:val="14"/>
          <w:color w:val="auto"/>
        </w:rPr>
        <w:t>Also, several holidays fall within the fiscal quarter ending in January, which decreases the number of available workdays in this fiscal quarter. Because of these factors, we are most likely to experience reduced revenue and profitability or losses during the fiscal quarters ending in January and April compared to the fiscal quarters ending in July and October.</w:t>
      </w:r>
    </w:p>
    <w:p>
      <w:pPr>
        <w:spacing w:after="0" w:line="159" w:lineRule="exact"/>
        <w:rPr>
          <w:sz w:val="20"/>
          <w:szCs w:val="20"/>
          <w:color w:val="auto"/>
        </w:rPr>
      </w:pPr>
    </w:p>
    <w:p>
      <w:pPr>
        <w:ind w:right="60" w:firstLine="255"/>
        <w:spacing w:after="0" w:line="264" w:lineRule="auto"/>
        <w:rPr>
          <w:sz w:val="20"/>
          <w:szCs w:val="20"/>
          <w:color w:val="auto"/>
        </w:rPr>
      </w:pPr>
      <w:r>
        <w:rPr>
          <w:rFonts w:ascii="Times New Roman" w:cs="Times New Roman" w:eastAsia="Times New Roman" w:hAnsi="Times New Roman"/>
          <w:sz w:val="14"/>
          <w:szCs w:val="14"/>
          <w:color w:val="auto"/>
        </w:rPr>
        <w:t>We may also experience variations in our profitability driven by a number of factors. These factors include variations and fluctuations in contract revenues, job specific costs, insurance claims, the allowance for credit losses, accruals for contingencies, stock-based compensation expense for performance-based stock awards, the fair value of reporting units for the goodwill impairment analysis, the valuation of intangibles and other long-lived assets, gains or losses on the sale of fixed assets from the timing and levels of capital assets sold, the employer portion of payroll taxes as a result of reaching statutory limits, and our effective tax rate.</w:t>
      </w:r>
    </w:p>
    <w:p>
      <w:pPr>
        <w:spacing w:after="0" w:line="16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Accordingly, operating results for any fiscal period are not necessarily indicative of results we may achieve for any subsequent fiscal period.</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Critical Accounting Policies and Estimates</w:t>
      </w:r>
    </w:p>
    <w:p>
      <w:pPr>
        <w:spacing w:after="0" w:line="202" w:lineRule="exact"/>
        <w:rPr>
          <w:sz w:val="20"/>
          <w:szCs w:val="20"/>
          <w:color w:val="auto"/>
        </w:rPr>
      </w:pPr>
    </w:p>
    <w:p>
      <w:pPr>
        <w:ind w:right="60" w:firstLine="255"/>
        <w:spacing w:after="0" w:line="264" w:lineRule="auto"/>
        <w:rPr>
          <w:sz w:val="20"/>
          <w:szCs w:val="20"/>
          <w:color w:val="auto"/>
        </w:rPr>
      </w:pPr>
      <w:r>
        <w:rPr>
          <w:rFonts w:ascii="Times New Roman" w:cs="Times New Roman" w:eastAsia="Times New Roman" w:hAnsi="Times New Roman"/>
          <w:sz w:val="14"/>
          <w:szCs w:val="14"/>
          <w:color w:val="auto"/>
        </w:rPr>
        <w:t>The discussion and analysis of our financial condition and results of operations is based on our consolidated financial statements. These statements have been prepared in accordance with accounting principles generally accepted in the United States of America (“GAAP”). In conformity with GAAP, the preparation of financial statements requires management to make estimates and assumptions that affect the amounts reported in these consolidated financial statements and accompanying notes. These estimates and assumptions require the use of judgment as to the likelihood of various future outcomes and, as a result, actual results could differ materially from these estimates.</w:t>
      </w:r>
    </w:p>
    <w:p>
      <w:pPr>
        <w:spacing w:after="0" w:line="162" w:lineRule="exact"/>
        <w:rPr>
          <w:sz w:val="20"/>
          <w:szCs w:val="20"/>
          <w:color w:val="auto"/>
        </w:rPr>
      </w:pPr>
    </w:p>
    <w:p>
      <w:pPr>
        <w:ind w:right="60" w:firstLine="255"/>
        <w:spacing w:after="0" w:line="264" w:lineRule="auto"/>
        <w:rPr>
          <w:sz w:val="20"/>
          <w:szCs w:val="20"/>
          <w:color w:val="auto"/>
        </w:rPr>
      </w:pPr>
      <w:r>
        <w:rPr>
          <w:rFonts w:ascii="Times New Roman" w:cs="Times New Roman" w:eastAsia="Times New Roman" w:hAnsi="Times New Roman"/>
          <w:sz w:val="14"/>
          <w:szCs w:val="14"/>
          <w:color w:val="auto"/>
        </w:rPr>
        <w:t>Below, we have identified those accounting policies that are critical to the accounting of our business operations and the understanding of our results of operations. These accounting policies require making significant judgments and estimates that are used in the preparation of our consolidated financial statements. The impact of these policies affects our reported and expected financial results. We have discussed the development, selection and application of our critical accounting policies with the Audit Committee of our Board of Directors, and the Audit Committee has reviewed the disclosure relating to our critical accounting policies herein.</w:t>
      </w:r>
    </w:p>
    <w:p>
      <w:pPr>
        <w:spacing w:after="0" w:line="162" w:lineRule="exact"/>
        <w:rPr>
          <w:sz w:val="20"/>
          <w:szCs w:val="20"/>
          <w:color w:val="auto"/>
        </w:rPr>
      </w:pPr>
    </w:p>
    <w:p>
      <w:pPr>
        <w:ind w:right="40" w:firstLine="255"/>
        <w:spacing w:after="0" w:line="270" w:lineRule="auto"/>
        <w:rPr>
          <w:sz w:val="20"/>
          <w:szCs w:val="20"/>
          <w:color w:val="auto"/>
        </w:rPr>
      </w:pPr>
      <w:r>
        <w:rPr>
          <w:rFonts w:ascii="Times New Roman" w:cs="Times New Roman" w:eastAsia="Times New Roman" w:hAnsi="Times New Roman"/>
          <w:sz w:val="14"/>
          <w:szCs w:val="14"/>
          <w:color w:val="auto"/>
        </w:rPr>
        <w:t>Other significant accounting policies, primarily those with lower levels of uncertainty than those discussed below, are also important to understanding our consolidated financial statements. The notes to the consolidated financial statements in this Annual Report on Form 10-K contain additional information related to our accounting policies and should be read in conjunction with this discussion.</w:t>
      </w:r>
    </w:p>
    <w:p>
      <w:pPr>
        <w:spacing w:after="0" w:line="155" w:lineRule="exact"/>
        <w:rPr>
          <w:sz w:val="20"/>
          <w:szCs w:val="20"/>
          <w:color w:val="auto"/>
        </w:rPr>
      </w:pPr>
    </w:p>
    <w:p>
      <w:pPr>
        <w:ind w:right="80" w:firstLine="255"/>
        <w:spacing w:after="0" w:line="265" w:lineRule="auto"/>
        <w:rPr>
          <w:sz w:val="20"/>
          <w:szCs w:val="20"/>
          <w:color w:val="auto"/>
        </w:rPr>
      </w:pPr>
      <w:r>
        <w:rPr>
          <w:rFonts w:ascii="Times New Roman" w:cs="Times New Roman" w:eastAsia="Times New Roman" w:hAnsi="Times New Roman"/>
          <w:sz w:val="14"/>
          <w:szCs w:val="14"/>
          <w:i w:val="1"/>
          <w:iCs w:val="1"/>
          <w:color w:val="auto"/>
        </w:rPr>
        <w:t xml:space="preserve">Revenue Recognition. </w:t>
      </w:r>
      <w:r>
        <w:rPr>
          <w:rFonts w:ascii="Times New Roman" w:cs="Times New Roman" w:eastAsia="Times New Roman" w:hAnsi="Times New Roman"/>
          <w:sz w:val="14"/>
          <w:szCs w:val="14"/>
          <w:color w:val="auto"/>
        </w:rPr>
        <w:t>We perform a significant amount of our services under master service agreements and other contracts that contain customer-specified service requirements. These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agreements include discrete pricing for individual tasks including, for example, the placement of underground or aerial fiber, directional boring, and fiber splicing, each based on a specific unit of measure. A contractual agreement exists when each party involved approves and commits to the agreement, the rights of the parties and payment terms are identified, the agreement has commercial substance, and collectability of consideration is probable. Our services are performed for the sole benefit of our customers, whereby the assets being created or</w:t>
      </w:r>
    </w:p>
    <w:p>
      <w:pPr>
        <w:spacing w:after="0" w:line="200" w:lineRule="exact"/>
        <w:rPr>
          <w:sz w:val="20"/>
          <w:szCs w:val="20"/>
          <w:color w:val="auto"/>
        </w:rPr>
      </w:pPr>
    </w:p>
    <w:p>
      <w:pPr>
        <w:spacing w:after="0" w:line="20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20"/>
          </w:cols>
          <w:pgMar w:left="300" w:top="125" w:right="37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44" w:lineRule="exact"/>
        <w:rPr>
          <w:sz w:val="20"/>
          <w:szCs w:val="20"/>
          <w:color w:val="auto"/>
        </w:rPr>
      </w:pPr>
    </w:p>
    <w:p>
      <w:pPr>
        <w:ind w:right="100"/>
        <w:spacing w:after="0" w:line="257" w:lineRule="auto"/>
        <w:rPr>
          <w:sz w:val="20"/>
          <w:szCs w:val="20"/>
          <w:color w:val="auto"/>
        </w:rPr>
      </w:pPr>
      <w:r>
        <w:rPr>
          <w:rFonts w:ascii="Times New Roman" w:cs="Times New Roman" w:eastAsia="Times New Roman" w:hAnsi="Times New Roman"/>
          <w:sz w:val="14"/>
          <w:szCs w:val="14"/>
          <w:color w:val="auto"/>
        </w:rPr>
        <w:t>maintained are controlled by the customer and the services we perform do not have alternative benefits for us. Contract revenue is recognized over time as services are performed and customers simultaneously receive and consume the benefits we provide. Output measures, such as units, delivered are utilized to assess progress against specific contractual performance obligations for the majority of our services. The selection of the method to measure progress towards completion requires judgment and is based on the nature of the services to be provided. For us, the output method using units delivered best represents the measure of progress against the performance obligations incorporated within the contractual agreements. This method captures the amount of units delivered pursuant to contracts and is used only when our performance does not produce significant amounts of work in process prior to complete satisfaction of the performance obligation. For a portion of contract items, units to be completed consist of multiple tasks. For these items, the transaction price is allocated to each task based on relative standalone measurements, such as selling prices for similar tasks, or in the alternative, the cost to perform the tasks. Contract revenue is recognized as the tasks are completed as a measurement of progress in the satisfaction of the corresponding performance obligation.</w:t>
      </w:r>
    </w:p>
    <w:p>
      <w:pPr>
        <w:spacing w:after="0" w:line="170" w:lineRule="exact"/>
        <w:rPr>
          <w:sz w:val="20"/>
          <w:szCs w:val="20"/>
          <w:color w:val="auto"/>
        </w:rPr>
      </w:pPr>
    </w:p>
    <w:p>
      <w:pPr>
        <w:ind w:right="60" w:firstLine="255"/>
        <w:spacing w:after="0" w:line="261" w:lineRule="auto"/>
        <w:rPr>
          <w:sz w:val="20"/>
          <w:szCs w:val="20"/>
          <w:color w:val="auto"/>
        </w:rPr>
      </w:pPr>
      <w:r>
        <w:rPr>
          <w:rFonts w:ascii="Times New Roman" w:cs="Times New Roman" w:eastAsia="Times New Roman" w:hAnsi="Times New Roman"/>
          <w:sz w:val="14"/>
          <w:szCs w:val="14"/>
          <w:color w:val="auto"/>
        </w:rPr>
        <w:t>For certain contracts, representing less than 5% of contract revenues during fiscal 2025, fiscal 2024, and fiscal 2023, we use the cost-to-cost measure of progress. These contracts are generally projects that are completed over a period of less than 12 months and for which payment is received in a lump sum at the end of the project. Under the cost-to-cost measure of progress, the extent of progress toward completion is measured based on the ratio of costs incurred to date to the total estimated costs. Contract costs include direct labor, direct materials, and subcontractor costs, as well as an allocation of indirect costs. Contract revenues are recorded as costs are incurred. We accrue the entire amount of a contract loss, if any, at the time the loss is determined to be probable and can be reasonably estimated.</w:t>
      </w:r>
    </w:p>
    <w:p>
      <w:pPr>
        <w:spacing w:after="0" w:line="16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There were no material amounts of unapproved change orders or claims recognized during fiscal 2025, fiscal 2024, and fiscal 2023.</w:t>
      </w:r>
    </w:p>
    <w:p>
      <w:pPr>
        <w:spacing w:after="0" w:line="198" w:lineRule="exact"/>
        <w:rPr>
          <w:sz w:val="20"/>
          <w:szCs w:val="20"/>
          <w:color w:val="auto"/>
        </w:rPr>
      </w:pPr>
    </w:p>
    <w:p>
      <w:pPr>
        <w:ind w:firstLine="255"/>
        <w:spacing w:after="0" w:line="258" w:lineRule="auto"/>
        <w:rPr>
          <w:sz w:val="20"/>
          <w:szCs w:val="20"/>
          <w:color w:val="auto"/>
        </w:rPr>
      </w:pPr>
      <w:r>
        <w:rPr>
          <w:rFonts w:ascii="Times New Roman" w:cs="Times New Roman" w:eastAsia="Times New Roman" w:hAnsi="Times New Roman"/>
          <w:sz w:val="14"/>
          <w:szCs w:val="14"/>
          <w:i w:val="1"/>
          <w:iCs w:val="1"/>
          <w:color w:val="auto"/>
        </w:rPr>
        <w:t xml:space="preserve">Accounts Receivable, net. </w:t>
      </w:r>
      <w:r>
        <w:rPr>
          <w:rFonts w:ascii="Times New Roman" w:cs="Times New Roman" w:eastAsia="Times New Roman" w:hAnsi="Times New Roman"/>
          <w:sz w:val="14"/>
          <w:szCs w:val="14"/>
          <w:color w:val="auto"/>
        </w:rPr>
        <w:t>We grant credit to our customers, generally without collateral, under normal payment terms (typically 30 to 90 days after invoicing). Generally, invoicing occurs within</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45 days after the related services are performed. Accounts receivable represents an unconditional right to consideration arising from our performance under contracts with customers. Accounts receivable include billed accounts receivable, unbilled accounts receivable, and retainage. The carrying value of such receivables, net of the allowance for credit losses, represents their estimated realizable value. Unbilled accounts receivable represent amounts we have an unconditional right to receive payment for that will be billed at a later date due to administrative requirements in the billing processes specified by our customers. Certain of our contracts contain retainage provisions whereby a portion of the revenue earned is withheld from payment as a form of security until contractual provisions are satisfied. The collectability of retainage is included in our overall assessment of the collectability of accounts receivable. We expect to collect the outstanding balance of current accounts receivable, net (including trade accounts receivable, unbilled accounts receivable, and retainage) within the next 12 months. We estimate our allowance for credit losses by evaluating specific accounts receivable balances based on historical collection trends, the age of outstanding receivables, and the credit worthiness of our customers.</w:t>
      </w:r>
    </w:p>
    <w:p>
      <w:pPr>
        <w:spacing w:after="0" w:line="167" w:lineRule="exact"/>
        <w:rPr>
          <w:sz w:val="20"/>
          <w:szCs w:val="20"/>
          <w:color w:val="auto"/>
        </w:rPr>
      </w:pPr>
    </w:p>
    <w:p>
      <w:pPr>
        <w:ind w:right="280" w:firstLine="255"/>
        <w:spacing w:after="0" w:line="270" w:lineRule="auto"/>
        <w:rPr>
          <w:sz w:val="20"/>
          <w:szCs w:val="20"/>
          <w:color w:val="auto"/>
        </w:rPr>
      </w:pPr>
      <w:r>
        <w:rPr>
          <w:rFonts w:ascii="Times New Roman" w:cs="Times New Roman" w:eastAsia="Times New Roman" w:hAnsi="Times New Roman"/>
          <w:sz w:val="14"/>
          <w:szCs w:val="14"/>
          <w:color w:val="auto"/>
        </w:rPr>
        <w:t>We participate in a customer-sponsored vendor payment program for one of our customers. All eligible accounts receivable from this customer are included in the program and payment is received pursuant to a non-recourse sale to a bank partner of the customer. This program effectively reduces the time to collect these receivables as compared to that customer’s standard payment terms. We incur a discount fee to the bank on the payments received that is reflected as an expense component in other income, net, in the consolidated statements of operations.</w:t>
      </w:r>
    </w:p>
    <w:p>
      <w:pPr>
        <w:spacing w:after="0" w:line="155" w:lineRule="exact"/>
        <w:rPr>
          <w:sz w:val="20"/>
          <w:szCs w:val="20"/>
          <w:color w:val="auto"/>
        </w:rPr>
      </w:pPr>
    </w:p>
    <w:p>
      <w:pPr>
        <w:ind w:right="600" w:firstLine="255"/>
        <w:spacing w:after="0" w:line="290" w:lineRule="auto"/>
        <w:rPr>
          <w:sz w:val="20"/>
          <w:szCs w:val="20"/>
          <w:color w:val="auto"/>
        </w:rPr>
      </w:pPr>
      <w:r>
        <w:rPr>
          <w:rFonts w:ascii="Times New Roman" w:cs="Times New Roman" w:eastAsia="Times New Roman" w:hAnsi="Times New Roman"/>
          <w:sz w:val="14"/>
          <w:szCs w:val="14"/>
          <w:i w:val="1"/>
          <w:iCs w:val="1"/>
          <w:color w:val="auto"/>
        </w:rPr>
        <w:t xml:space="preserve">Contract assets. </w:t>
      </w:r>
      <w:r>
        <w:rPr>
          <w:rFonts w:ascii="Times New Roman" w:cs="Times New Roman" w:eastAsia="Times New Roman" w:hAnsi="Times New Roman"/>
          <w:sz w:val="14"/>
          <w:szCs w:val="14"/>
          <w:color w:val="auto"/>
        </w:rPr>
        <w:t>Contract assets include unbilled amounts typically resulting from arrangements whereby complete satisfaction of a performance obligation and the right to payment are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conditioned on completing additional tasks or services.</w:t>
      </w:r>
    </w:p>
    <w:p>
      <w:pPr>
        <w:spacing w:after="0" w:line="141" w:lineRule="exact"/>
        <w:rPr>
          <w:sz w:val="20"/>
          <w:szCs w:val="20"/>
          <w:color w:val="auto"/>
        </w:rPr>
      </w:pPr>
    </w:p>
    <w:p>
      <w:pPr>
        <w:ind w:right="60" w:firstLine="255"/>
        <w:spacing w:after="0" w:line="271" w:lineRule="auto"/>
        <w:rPr>
          <w:sz w:val="20"/>
          <w:szCs w:val="20"/>
          <w:color w:val="auto"/>
        </w:rPr>
      </w:pPr>
      <w:r>
        <w:rPr>
          <w:rFonts w:ascii="Times New Roman" w:cs="Times New Roman" w:eastAsia="Times New Roman" w:hAnsi="Times New Roman"/>
          <w:sz w:val="14"/>
          <w:szCs w:val="14"/>
          <w:i w:val="1"/>
          <w:iCs w:val="1"/>
          <w:color w:val="auto"/>
        </w:rPr>
        <w:t xml:space="preserve">Contract liabilities. </w:t>
      </w:r>
      <w:r>
        <w:rPr>
          <w:rFonts w:ascii="Times New Roman" w:cs="Times New Roman" w:eastAsia="Times New Roman" w:hAnsi="Times New Roman"/>
          <w:sz w:val="14"/>
          <w:szCs w:val="14"/>
          <w:color w:val="auto"/>
        </w:rPr>
        <w:t>Contract liabilities consist of amounts invoiced to customers in excess of revenue recognized. Our contract assets and liabilities are reported in a net position on a contract by</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contract basis at the end of each reporting period. As of January 25, 2025 and January 27, 2024, the contract liabilities balance is classified as current based on the timing of when we expect to complete the tasks required for the recognition of revenue.</w:t>
      </w:r>
    </w:p>
    <w:p>
      <w:pPr>
        <w:spacing w:after="0" w:line="155" w:lineRule="exact"/>
        <w:rPr>
          <w:sz w:val="20"/>
          <w:szCs w:val="20"/>
          <w:color w:val="auto"/>
        </w:rPr>
      </w:pPr>
    </w:p>
    <w:p>
      <w:pPr>
        <w:ind w:right="20" w:firstLine="255"/>
        <w:spacing w:after="0" w:line="262" w:lineRule="auto"/>
        <w:rPr>
          <w:sz w:val="20"/>
          <w:szCs w:val="20"/>
          <w:color w:val="auto"/>
        </w:rPr>
      </w:pPr>
      <w:r>
        <w:rPr>
          <w:rFonts w:ascii="Times New Roman" w:cs="Times New Roman" w:eastAsia="Times New Roman" w:hAnsi="Times New Roman"/>
          <w:sz w:val="14"/>
          <w:szCs w:val="14"/>
          <w:i w:val="1"/>
          <w:iCs w:val="1"/>
          <w:color w:val="auto"/>
        </w:rPr>
        <w:t xml:space="preserve">Leases. </w:t>
      </w:r>
      <w:r>
        <w:rPr>
          <w:rFonts w:ascii="Times New Roman" w:cs="Times New Roman" w:eastAsia="Times New Roman" w:hAnsi="Times New Roman"/>
          <w:sz w:val="14"/>
          <w:szCs w:val="14"/>
          <w:color w:val="auto"/>
        </w:rPr>
        <w:t>Our leases are accounted for as operating leases, with lease expense recognized on a straight-line basis over the lease term. The lease term may include options to extend or terminate the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lease when it is reasonably certain that we will exercise that option. For leases with initial terms greater than 12 months, we record operating lease right-of-use assets and corresponding operating lease liabilities. Operating lease right-of-use assets represent our right to use the underlying asset for the lease term and operating lease liabilities represent our obligation to make the related lease payments. These assets and liabilities are recognized at the commencement date based on the present value of lease payments over the lease term. As our leases do not provide an implicit rate, we use our incremental borrowing rate based on the information available at the</w:t>
      </w: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commencement date in determining the present value of lease payments. Leases with an initial term of 12 months or less are not recorded on our consolidated balance sheet.</w:t>
      </w:r>
    </w:p>
    <w:p>
      <w:pPr>
        <w:spacing w:after="0" w:line="198" w:lineRule="exact"/>
        <w:rPr>
          <w:sz w:val="20"/>
          <w:szCs w:val="20"/>
          <w:color w:val="auto"/>
        </w:rPr>
      </w:pPr>
    </w:p>
    <w:p>
      <w:pPr>
        <w:ind w:firstLine="255"/>
        <w:spacing w:after="0" w:line="265" w:lineRule="auto"/>
        <w:rPr>
          <w:sz w:val="20"/>
          <w:szCs w:val="20"/>
          <w:color w:val="auto"/>
        </w:rPr>
      </w:pPr>
      <w:r>
        <w:rPr>
          <w:rFonts w:ascii="Times New Roman" w:cs="Times New Roman" w:eastAsia="Times New Roman" w:hAnsi="Times New Roman"/>
          <w:sz w:val="14"/>
          <w:szCs w:val="14"/>
          <w:i w:val="1"/>
          <w:iCs w:val="1"/>
          <w:color w:val="auto"/>
        </w:rPr>
        <w:t xml:space="preserve">Goodwill and Intangible Assets. </w:t>
      </w:r>
      <w:r>
        <w:rPr>
          <w:rFonts w:ascii="Times New Roman" w:cs="Times New Roman" w:eastAsia="Times New Roman" w:hAnsi="Times New Roman"/>
          <w:sz w:val="14"/>
          <w:szCs w:val="14"/>
          <w:color w:val="auto"/>
        </w:rPr>
        <w:t>Goodwill and other indefinite-lived intangible assets are assessed for impairment annually, or more frequently, if events occur that would indicate a potential</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reduction in the fair value of a reporting unit below its carrying value. We perform our annual impairment review of goodwill at the reporting unit level. Each of our operating segments with goodwill represents a reporting unit for the purpose of assessing impairment. If we determine the fair value of the reporting unit’s goodwill or other indefinite-lived intangible assets is less than their carrying value as a result of an annual or interim test, an impairment loss is recognized and reflected in operating income or loss in the consolidated statements of operations during the period incurred.</w:t>
      </w:r>
    </w:p>
    <w:p>
      <w:pPr>
        <w:spacing w:after="0" w:line="161" w:lineRule="exact"/>
        <w:rPr>
          <w:sz w:val="20"/>
          <w:szCs w:val="20"/>
          <w:color w:val="auto"/>
        </w:rPr>
      </w:pPr>
    </w:p>
    <w:p>
      <w:pPr>
        <w:ind w:right="60" w:firstLine="255"/>
        <w:spacing w:after="0" w:line="264" w:lineRule="auto"/>
        <w:rPr>
          <w:sz w:val="20"/>
          <w:szCs w:val="20"/>
          <w:color w:val="auto"/>
        </w:rPr>
      </w:pPr>
      <w:r>
        <w:rPr>
          <w:rFonts w:ascii="Times New Roman" w:cs="Times New Roman" w:eastAsia="Times New Roman" w:hAnsi="Times New Roman"/>
          <w:sz w:val="14"/>
          <w:szCs w:val="14"/>
          <w:color w:val="auto"/>
        </w:rPr>
        <w:t>We review finite-lived intangible assets for impairment whenever an event occurs or circumstances change that indicate that the carrying amount of such assets may not be fully recoverable. Recoverability is determined based on an estimate of undiscounted future cash flows resulting from the use of an asset and its eventual disposition. Should an asset not be recoverable, an impairment loss is measured by comparing the fair value of the asset to its carrying value. If we determine the fair value of an asset is less than the carrying value, an impairment loss is recognized in operating income or loss in the consolidated statements of operations during the period incurred.</w:t>
      </w:r>
    </w:p>
    <w:p>
      <w:pPr>
        <w:spacing w:after="0" w:line="162" w:lineRule="exact"/>
        <w:rPr>
          <w:sz w:val="20"/>
          <w:szCs w:val="20"/>
          <w:color w:val="auto"/>
        </w:rPr>
      </w:pPr>
    </w:p>
    <w:p>
      <w:pPr>
        <w:ind w:right="80" w:firstLine="255"/>
        <w:spacing w:after="0" w:line="259" w:lineRule="auto"/>
        <w:rPr>
          <w:sz w:val="20"/>
          <w:szCs w:val="20"/>
          <w:color w:val="auto"/>
        </w:rPr>
      </w:pPr>
      <w:r>
        <w:rPr>
          <w:rFonts w:ascii="Times New Roman" w:cs="Times New Roman" w:eastAsia="Times New Roman" w:hAnsi="Times New Roman"/>
          <w:sz w:val="14"/>
          <w:szCs w:val="14"/>
          <w:color w:val="auto"/>
        </w:rPr>
        <w:t>We use judgment in assessing whether goodwill and intangible assets are impaired. Estimates of fair value are based on our projection of revenues, operating costs, and cash flows taking into consideration historical and anticipated future results, general economic and market conditions, as well as the impact of planned business or operational strategies. We determine the fair value of our reporting units using an equal weighting of fair values derived from the income approach and market approach valuation methodologies. The income approach uses the discounted cash flow method and the market approach uses the guideline company method. Changes in our judgments and projections could result in significantly different estimates of fair value, potentially resulting in impairments of goodwill and other intangible assets. The inputs used for fair value measurements of the reporting units and other related indefinite-lived intangible assets are the lowest level (Level 3) inputs.</w:t>
      </w:r>
    </w:p>
    <w:p>
      <w:pPr>
        <w:spacing w:after="0" w:line="167" w:lineRule="exact"/>
        <w:rPr>
          <w:sz w:val="20"/>
          <w:szCs w:val="20"/>
          <w:color w:val="auto"/>
        </w:rPr>
      </w:pPr>
    </w:p>
    <w:p>
      <w:pPr>
        <w:ind w:right="20" w:firstLine="255"/>
        <w:spacing w:after="0" w:line="256" w:lineRule="auto"/>
        <w:rPr>
          <w:sz w:val="20"/>
          <w:szCs w:val="20"/>
          <w:color w:val="auto"/>
        </w:rPr>
      </w:pPr>
      <w:r>
        <w:rPr>
          <w:rFonts w:ascii="Times New Roman" w:cs="Times New Roman" w:eastAsia="Times New Roman" w:hAnsi="Times New Roman"/>
          <w:sz w:val="14"/>
          <w:szCs w:val="14"/>
          <w:color w:val="auto"/>
        </w:rPr>
        <w:t>The Company’s goodwill arising from acquisitions resides in multiple reporting units and primarily relates to the value of expected synergies, anticipated expansion of its geographic presence, and the strengthening of the customer base. Goodwill and other indefinite-lived intangible assets are assessed for impairment annually, or more frequently if events occur that would indicate a potential reduction in the fair value of a reporting unit below its carrying value. The profitability of individual reporting units may suffer periodically due to downturns in customer demand, reduced revenues from the termination of contracts or the termination or delay of services under a contract or the loss of a customer, increased costs of providing services, and the level of overall economic activity. The individual reporting unit’s customers may also reduce capital expenditures and defer or cancel pending projects due to changes in technology, a slowing or uncertain economy, merger or acquisition activity, a decision to allocate resources to other areas of their business, or other reasons. The profitability of reporting units may also suffer if actual costs of providing services exceed the costs anticipated when the reporting unit enters into contracts. Additionally, adverse economic conditions and future volatility in the equity and credit markets could impact the valuation of the Company’s reporting units. The cyclical nature of the reporting unit’s business, the high level of competition existing within its industry, and the concentration of its revenues from a limited number of customers may also cause results to vary. These factors may affect individual reporting units disproportionately, relative to the Company as a whole. As a result, the performance of one or more of the reporting units could decline, resulting in an impairment of goodwill or intangible assets.</w:t>
      </w:r>
    </w:p>
    <w:p>
      <w:pPr>
        <w:spacing w:after="0" w:line="171" w:lineRule="exact"/>
        <w:rPr>
          <w:sz w:val="20"/>
          <w:szCs w:val="20"/>
          <w:color w:val="auto"/>
        </w:rPr>
      </w:pPr>
    </w:p>
    <w:p>
      <w:pPr>
        <w:ind w:right="180" w:firstLine="255"/>
        <w:spacing w:after="0" w:line="287" w:lineRule="auto"/>
        <w:rPr>
          <w:sz w:val="20"/>
          <w:szCs w:val="20"/>
          <w:color w:val="auto"/>
        </w:rPr>
      </w:pPr>
      <w:r>
        <w:rPr>
          <w:rFonts w:ascii="Times New Roman" w:cs="Times New Roman" w:eastAsia="Times New Roman" w:hAnsi="Times New Roman"/>
          <w:sz w:val="14"/>
          <w:szCs w:val="14"/>
          <w:color w:val="auto"/>
        </w:rPr>
        <w:t>The Company performs its annual goodwill assessment as of the first day of the fourth fiscal quarter of each fiscal year. Goodwill and indefinite lived intangible assets are required to be tested for impairment between annual tests if events occur that would indicate a potential reduction in the fair value of a reporting unit below its carrying value.</w:t>
      </w:r>
    </w:p>
    <w:p>
      <w:pPr>
        <w:spacing w:after="0" w:line="145" w:lineRule="exact"/>
        <w:rPr>
          <w:sz w:val="20"/>
          <w:szCs w:val="20"/>
          <w:color w:val="auto"/>
        </w:rPr>
      </w:pPr>
    </w:p>
    <w:p>
      <w:pPr>
        <w:ind w:right="20" w:firstLine="255"/>
        <w:spacing w:after="0" w:line="257" w:lineRule="auto"/>
        <w:rPr>
          <w:sz w:val="20"/>
          <w:szCs w:val="20"/>
          <w:color w:val="auto"/>
        </w:rPr>
      </w:pPr>
      <w:r>
        <w:rPr>
          <w:rFonts w:ascii="Times New Roman" w:cs="Times New Roman" w:eastAsia="Times New Roman" w:hAnsi="Times New Roman"/>
          <w:sz w:val="14"/>
          <w:szCs w:val="14"/>
          <w:color w:val="auto"/>
        </w:rPr>
        <w:t>We performed our annual impairment assessment for fiscal 2025, fiscal 2024, and fiscal 2023, and concluded that no impairment of goodwill or the indefinite-lived intangible asset was indicated at any reporting unit for any of the periods. In each of these periods, qualitative assessments were performed on reporting units that comprise a significant portion of our consolidated goodwill balance. For the Company’s indefinite-lived intangible asset we performed a qualitative assessment for fiscal 2025 and 2024 and a quantitative analysis for fiscal 2023. A qualitative assessment includes evaluating all identified events and circumstances that could affect the significant inputs used to determine the fair value of a reporting unit or indefinite-lived intangible asset for the purpose of determining whether it is more likely than not that these assets are impaired. We consider various factors while performing qualitative assessments, including macroeconomic conditions, industry and market conditions, financial performance of the reporting units, changes in market capitalization, and any other specific reporting unit considerations. These qualitative assessments indicated that it was more likely than not that the fair value exceeded carrying value for those reporting units. For the remaining reporting units, we performed the quantitative analysis described in ASC Topic 350 in each of these periods. When performing the quantitative analysis, we determine the fair value of</w:t>
      </w:r>
    </w:p>
    <w:p>
      <w:pPr>
        <w:spacing w:after="0" w:line="200" w:lineRule="exact"/>
        <w:rPr>
          <w:sz w:val="20"/>
          <w:szCs w:val="20"/>
          <w:color w:val="auto"/>
        </w:rPr>
      </w:pPr>
    </w:p>
    <w:p>
      <w:pPr>
        <w:spacing w:after="0" w:line="21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5"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44" w:lineRule="exact"/>
        <w:rPr>
          <w:sz w:val="20"/>
          <w:szCs w:val="20"/>
          <w:color w:val="auto"/>
        </w:rPr>
      </w:pPr>
    </w:p>
    <w:p>
      <w:pPr>
        <w:ind w:right="340"/>
        <w:spacing w:after="0" w:line="264" w:lineRule="auto"/>
        <w:rPr>
          <w:sz w:val="20"/>
          <w:szCs w:val="20"/>
          <w:color w:val="auto"/>
        </w:rPr>
      </w:pPr>
      <w:r>
        <w:rPr>
          <w:rFonts w:ascii="Times New Roman" w:cs="Times New Roman" w:eastAsia="Times New Roman" w:hAnsi="Times New Roman"/>
          <w:sz w:val="14"/>
          <w:szCs w:val="14"/>
          <w:color w:val="auto"/>
        </w:rPr>
        <w:t>our reporting units using an equal weighting of fair values derived from the income approach and market approach valuation methodologies. Under the income approach, the key valuation assumptions used in determining the fair value estimates of our reporting units for each annual test were: (a) expected cash flow for a period of seven years based on our best estimate of revenue growth rates and projected operating margins; (b) terminal value based upon terminal growth rates; and (c) a discount rate based on the Company’s best estimate of the weighted average cost of capital adjusted for certain risks for the reporting units.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9420" w:type="dxa"/>
            <w:vAlign w:val="bottom"/>
            <w:gridSpan w:val="5"/>
          </w:tcPr>
          <w:p>
            <w:pPr>
              <w:ind w:left="260"/>
              <w:spacing w:after="0"/>
              <w:rPr>
                <w:sz w:val="20"/>
                <w:szCs w:val="20"/>
                <w:color w:val="auto"/>
              </w:rPr>
            </w:pPr>
            <w:r>
              <w:rPr>
                <w:rFonts w:ascii="Times New Roman" w:cs="Times New Roman" w:eastAsia="Times New Roman" w:hAnsi="Times New Roman"/>
                <w:sz w:val="14"/>
                <w:szCs w:val="14"/>
                <w:color w:val="auto"/>
              </w:rPr>
              <w:t>The table below outlines certain assumptions used in our annual quantitative impairment analyses for fiscal 2025, fiscal 2024, and fiscal 2023;</w:t>
            </w:r>
          </w:p>
        </w:tc>
        <w:tc>
          <w:tcPr>
            <w:tcW w:w="17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03"/>
        </w:trPr>
        <w:tc>
          <w:tcPr>
            <w:tcW w:w="5720" w:type="dxa"/>
            <w:vAlign w:val="bottom"/>
          </w:tcPr>
          <w:p>
            <w:pPr>
              <w:spacing w:after="0"/>
              <w:rPr>
                <w:sz w:val="17"/>
                <w:szCs w:val="17"/>
                <w:color w:val="auto"/>
              </w:rPr>
            </w:pPr>
          </w:p>
        </w:tc>
        <w:tc>
          <w:tcPr>
            <w:tcW w:w="176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860" w:type="dxa"/>
            <w:vAlign w:val="bottom"/>
            <w:tcBorders>
              <w:bottom w:val="single" w:sz="8" w:color="auto"/>
            </w:tcBorders>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9"/>
              </w:rPr>
              <w:t>Fiscal Year Ended</w:t>
            </w:r>
          </w:p>
        </w:tc>
        <w:tc>
          <w:tcPr>
            <w:tcW w:w="17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182"/>
        </w:trPr>
        <w:tc>
          <w:tcPr>
            <w:tcW w:w="5720" w:type="dxa"/>
            <w:vAlign w:val="bottom"/>
          </w:tcPr>
          <w:p>
            <w:pPr>
              <w:spacing w:after="0"/>
              <w:rPr>
                <w:sz w:val="15"/>
                <w:szCs w:val="15"/>
                <w:color w:val="auto"/>
              </w:rPr>
            </w:pPr>
          </w:p>
        </w:tc>
        <w:tc>
          <w:tcPr>
            <w:tcW w:w="1840" w:type="dxa"/>
            <w:vAlign w:val="bottom"/>
            <w:gridSpan w:val="2"/>
          </w:tcPr>
          <w:p>
            <w:pPr>
              <w:ind w:left="360"/>
              <w:spacing w:after="0"/>
              <w:rPr>
                <w:sz w:val="20"/>
                <w:szCs w:val="20"/>
                <w:color w:val="auto"/>
              </w:rPr>
            </w:pPr>
            <w:r>
              <w:rPr>
                <w:rFonts w:ascii="Times New Roman" w:cs="Times New Roman" w:eastAsia="Times New Roman" w:hAnsi="Times New Roman"/>
                <w:sz w:val="14"/>
                <w:szCs w:val="14"/>
                <w:b w:val="1"/>
                <w:bCs w:val="1"/>
                <w:color w:val="auto"/>
              </w:rPr>
              <w:t>January 25, 2025</w:t>
            </w:r>
          </w:p>
        </w:tc>
        <w:tc>
          <w:tcPr>
            <w:tcW w:w="18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9"/>
              </w:rPr>
              <w:t>January 27, 2024</w:t>
            </w:r>
          </w:p>
        </w:tc>
        <w:tc>
          <w:tcPr>
            <w:tcW w:w="1760" w:type="dxa"/>
            <w:vAlign w:val="bottom"/>
          </w:tcPr>
          <w:p>
            <w:pPr>
              <w:ind w:left="380"/>
              <w:spacing w:after="0"/>
              <w:rPr>
                <w:sz w:val="20"/>
                <w:szCs w:val="20"/>
                <w:color w:val="auto"/>
              </w:rPr>
            </w:pPr>
            <w:r>
              <w:rPr>
                <w:rFonts w:ascii="Times New Roman" w:cs="Times New Roman" w:eastAsia="Times New Roman" w:hAnsi="Times New Roman"/>
                <w:sz w:val="14"/>
                <w:szCs w:val="14"/>
                <w:b w:val="1"/>
                <w:bCs w:val="1"/>
                <w:color w:val="auto"/>
              </w:rPr>
              <w:t>January 28, 2023</w:t>
            </w:r>
          </w:p>
        </w:tc>
        <w:tc>
          <w:tcPr>
            <w:tcW w:w="100" w:type="dxa"/>
            <w:vAlign w:val="bottom"/>
          </w:tcPr>
          <w:p>
            <w:pPr>
              <w:spacing w:after="0"/>
              <w:rPr>
                <w:sz w:val="15"/>
                <w:szCs w:val="15"/>
                <w:color w:val="auto"/>
              </w:rPr>
            </w:pPr>
          </w:p>
        </w:tc>
      </w:tr>
      <w:tr>
        <w:trPr>
          <w:trHeight w:val="180"/>
        </w:trPr>
        <w:tc>
          <w:tcPr>
            <w:tcW w:w="57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Terminal Growth Rate</w:t>
            </w:r>
          </w:p>
        </w:tc>
        <w:tc>
          <w:tcPr>
            <w:tcW w:w="1760" w:type="dxa"/>
            <w:vAlign w:val="bottom"/>
            <w:tcBorders>
              <w:top w:val="single" w:sz="8" w:color="auto"/>
            </w:tcBorders>
            <w:shd w:val="clear" w:color="auto" w:fill="CCEEFF"/>
          </w:tcPr>
          <w:p>
            <w:pPr>
              <w:jc w:val="right"/>
              <w:ind w:right="569"/>
              <w:spacing w:after="0"/>
              <w:rPr>
                <w:sz w:val="20"/>
                <w:szCs w:val="20"/>
                <w:color w:val="auto"/>
              </w:rPr>
            </w:pPr>
            <w:r>
              <w:rPr>
                <w:rFonts w:ascii="Times New Roman" w:cs="Times New Roman" w:eastAsia="Times New Roman" w:hAnsi="Times New Roman"/>
                <w:sz w:val="14"/>
                <w:szCs w:val="14"/>
                <w:color w:val="auto"/>
              </w:rPr>
              <w:t>2% - 3%</w:t>
            </w:r>
          </w:p>
        </w:tc>
        <w:tc>
          <w:tcPr>
            <w:tcW w:w="80" w:type="dxa"/>
            <w:vAlign w:val="bottom"/>
            <w:tcBorders>
              <w:top w:val="single" w:sz="8" w:color="CCEEFF"/>
            </w:tcBorders>
            <w:shd w:val="clear" w:color="auto" w:fill="CCEEFF"/>
          </w:tcPr>
          <w:p>
            <w:pPr>
              <w:spacing w:after="0"/>
              <w:rPr>
                <w:sz w:val="15"/>
                <w:szCs w:val="15"/>
                <w:color w:val="auto"/>
              </w:rPr>
            </w:pPr>
          </w:p>
        </w:tc>
        <w:tc>
          <w:tcPr>
            <w:tcW w:w="1780" w:type="dxa"/>
            <w:vAlign w:val="bottom"/>
            <w:tcBorders>
              <w:top w:val="single" w:sz="8" w:color="auto"/>
            </w:tcBorders>
            <w:shd w:val="clear" w:color="auto" w:fill="CCEEFF"/>
          </w:tcPr>
          <w:p>
            <w:pPr>
              <w:jc w:val="right"/>
              <w:ind w:right="669"/>
              <w:spacing w:after="0"/>
              <w:rPr>
                <w:sz w:val="20"/>
                <w:szCs w:val="20"/>
                <w:color w:val="auto"/>
              </w:rPr>
            </w:pPr>
            <w:r>
              <w:rPr>
                <w:rFonts w:ascii="Times New Roman" w:cs="Times New Roman" w:eastAsia="Times New Roman" w:hAnsi="Times New Roman"/>
                <w:sz w:val="14"/>
                <w:szCs w:val="14"/>
                <w:color w:val="auto"/>
              </w:rPr>
              <w:t>2.5%</w:t>
            </w:r>
          </w:p>
        </w:tc>
        <w:tc>
          <w:tcPr>
            <w:tcW w:w="80" w:type="dxa"/>
            <w:vAlign w:val="bottom"/>
            <w:tcBorders>
              <w:top w:val="single" w:sz="8" w:color="CCEEFF"/>
            </w:tcBorders>
            <w:shd w:val="clear" w:color="auto" w:fill="CCEEFF"/>
          </w:tcPr>
          <w:p>
            <w:pPr>
              <w:spacing w:after="0"/>
              <w:rPr>
                <w:sz w:val="15"/>
                <w:szCs w:val="15"/>
                <w:color w:val="auto"/>
              </w:rPr>
            </w:pPr>
          </w:p>
        </w:tc>
        <w:tc>
          <w:tcPr>
            <w:tcW w:w="1760" w:type="dxa"/>
            <w:vAlign w:val="bottom"/>
            <w:tcBorders>
              <w:top w:val="single" w:sz="8" w:color="auto"/>
            </w:tcBorders>
            <w:shd w:val="clear" w:color="auto" w:fill="CCEEFF"/>
          </w:tcPr>
          <w:p>
            <w:pPr>
              <w:jc w:val="right"/>
              <w:ind w:right="549"/>
              <w:spacing w:after="0"/>
              <w:rPr>
                <w:sz w:val="20"/>
                <w:szCs w:val="20"/>
                <w:color w:val="auto"/>
              </w:rPr>
            </w:pPr>
            <w:r>
              <w:rPr>
                <w:rFonts w:ascii="Times New Roman" w:cs="Times New Roman" w:eastAsia="Times New Roman" w:hAnsi="Times New Roman"/>
                <w:sz w:val="14"/>
                <w:szCs w:val="14"/>
                <w:color w:val="auto"/>
              </w:rPr>
              <w:t>2% - 3%</w:t>
            </w:r>
          </w:p>
        </w:tc>
        <w:tc>
          <w:tcPr>
            <w:tcW w:w="100" w:type="dxa"/>
            <w:vAlign w:val="bottom"/>
            <w:tcBorders>
              <w:top w:val="single" w:sz="8" w:color="CCEEFF"/>
            </w:tcBorders>
            <w:shd w:val="clear" w:color="auto" w:fill="CCEEFF"/>
          </w:tcPr>
          <w:p>
            <w:pPr>
              <w:spacing w:after="0"/>
              <w:rPr>
                <w:sz w:val="15"/>
                <w:szCs w:val="15"/>
                <w:color w:val="auto"/>
              </w:rPr>
            </w:pPr>
          </w:p>
        </w:tc>
      </w:tr>
      <w:tr>
        <w:trPr>
          <w:trHeight w:val="184"/>
        </w:trPr>
        <w:tc>
          <w:tcPr>
            <w:tcW w:w="5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Discount Rate</w:t>
            </w:r>
          </w:p>
        </w:tc>
        <w:tc>
          <w:tcPr>
            <w:tcW w:w="1760" w:type="dxa"/>
            <w:vAlign w:val="bottom"/>
          </w:tcPr>
          <w:p>
            <w:pPr>
              <w:jc w:val="right"/>
              <w:ind w:right="629"/>
              <w:spacing w:after="0"/>
              <w:rPr>
                <w:sz w:val="20"/>
                <w:szCs w:val="20"/>
                <w:color w:val="auto"/>
              </w:rPr>
            </w:pPr>
            <w:r>
              <w:rPr>
                <w:rFonts w:ascii="Times New Roman" w:cs="Times New Roman" w:eastAsia="Times New Roman" w:hAnsi="Times New Roman"/>
                <w:sz w:val="14"/>
                <w:szCs w:val="14"/>
                <w:color w:val="auto"/>
              </w:rPr>
              <w:t>10.5%</w:t>
            </w:r>
          </w:p>
        </w:tc>
        <w:tc>
          <w:tcPr>
            <w:tcW w:w="80" w:type="dxa"/>
            <w:vAlign w:val="bottom"/>
          </w:tcPr>
          <w:p>
            <w:pPr>
              <w:spacing w:after="0"/>
              <w:rPr>
                <w:sz w:val="16"/>
                <w:szCs w:val="16"/>
                <w:color w:val="auto"/>
              </w:rPr>
            </w:pPr>
          </w:p>
        </w:tc>
        <w:tc>
          <w:tcPr>
            <w:tcW w:w="1780" w:type="dxa"/>
            <w:vAlign w:val="bottom"/>
          </w:tcPr>
          <w:p>
            <w:pPr>
              <w:jc w:val="right"/>
              <w:ind w:right="629"/>
              <w:spacing w:after="0"/>
              <w:rPr>
                <w:sz w:val="20"/>
                <w:szCs w:val="20"/>
                <w:color w:val="auto"/>
              </w:rPr>
            </w:pPr>
            <w:r>
              <w:rPr>
                <w:rFonts w:ascii="Times New Roman" w:cs="Times New Roman" w:eastAsia="Times New Roman" w:hAnsi="Times New Roman"/>
                <w:sz w:val="14"/>
                <w:szCs w:val="14"/>
                <w:color w:val="auto"/>
              </w:rPr>
              <w:t>10.5%</w:t>
            </w:r>
          </w:p>
        </w:tc>
        <w:tc>
          <w:tcPr>
            <w:tcW w:w="80" w:type="dxa"/>
            <w:vAlign w:val="bottom"/>
          </w:tcPr>
          <w:p>
            <w:pPr>
              <w:spacing w:after="0"/>
              <w:rPr>
                <w:sz w:val="16"/>
                <w:szCs w:val="16"/>
                <w:color w:val="auto"/>
              </w:rPr>
            </w:pPr>
          </w:p>
        </w:tc>
        <w:tc>
          <w:tcPr>
            <w:tcW w:w="1760" w:type="dxa"/>
            <w:vAlign w:val="bottom"/>
          </w:tcPr>
          <w:p>
            <w:pPr>
              <w:jc w:val="right"/>
              <w:ind w:right="629"/>
              <w:spacing w:after="0"/>
              <w:rPr>
                <w:sz w:val="20"/>
                <w:szCs w:val="20"/>
                <w:color w:val="auto"/>
              </w:rPr>
            </w:pPr>
            <w:r>
              <w:rPr>
                <w:rFonts w:ascii="Times New Roman" w:cs="Times New Roman" w:eastAsia="Times New Roman" w:hAnsi="Times New Roman"/>
                <w:sz w:val="14"/>
                <w:szCs w:val="14"/>
                <w:color w:val="auto"/>
              </w:rPr>
              <w:t>11.5%</w:t>
            </w:r>
          </w:p>
        </w:tc>
        <w:tc>
          <w:tcPr>
            <w:tcW w:w="100" w:type="dxa"/>
            <w:vAlign w:val="bottom"/>
          </w:tcPr>
          <w:p>
            <w:pPr>
              <w:spacing w:after="0"/>
              <w:rPr>
                <w:sz w:val="16"/>
                <w:szCs w:val="16"/>
                <w:color w:val="auto"/>
              </w:rPr>
            </w:pPr>
          </w:p>
        </w:tc>
      </w:tr>
    </w:tbl>
    <w:p>
      <w:pPr>
        <w:spacing w:after="0" w:line="268" w:lineRule="exact"/>
        <w:rPr>
          <w:sz w:val="20"/>
          <w:szCs w:val="20"/>
          <w:color w:val="auto"/>
        </w:rPr>
      </w:pPr>
    </w:p>
    <w:p>
      <w:pPr>
        <w:ind w:right="100" w:firstLine="255"/>
        <w:spacing w:after="0" w:line="257" w:lineRule="auto"/>
        <w:rPr>
          <w:sz w:val="20"/>
          <w:szCs w:val="20"/>
          <w:color w:val="auto"/>
        </w:rPr>
      </w:pPr>
      <w:r>
        <w:rPr>
          <w:rFonts w:ascii="Times New Roman" w:cs="Times New Roman" w:eastAsia="Times New Roman" w:hAnsi="Times New Roman"/>
          <w:sz w:val="14"/>
          <w:szCs w:val="14"/>
          <w:color w:val="auto"/>
        </w:rPr>
        <w:t>The discount rate reflects risks inherent within each reporting unit operating individually. These risks are greater than the risks inherent in the Company as a whole. Determination of discount rates included consideration of market inputs such as the risk-free rate, equity risk premium, industry premium, and cost of debt, among other assumptions. The discount rate for fiscal 2025 is consistent with the rate used in fiscal 2024. While the cost of debt decreased, there was a decrease in the market participant debt-to-capital ratios which resulted in the same weighted average cost of capital as prior year. The decrease in the discount rate for fiscal 2024 from fiscal 2023 was largely due to lower cost of equity capital and an increase in the market participant debt-to-capital ratios which results in more allocation to the cost of debt, which is lower than the cost of equity. We believe the assumptions used in the impairment analysis each year are reflective of the risks inherent in the business models of our reporting units and our industry. Under the market approach, the guideline company method develops valuation multiples by comparing our reporting units to similar publicly traded companies. Key valuation assumptions used in determining the fair value estimates of our reporting units rely on: (a) the selection of similar companies and (b) the selection of valuation multiples as they apply to the reporting unit characteristics.</w:t>
      </w:r>
    </w:p>
    <w:p>
      <w:pPr>
        <w:spacing w:after="0" w:line="170" w:lineRule="exact"/>
        <w:rPr>
          <w:sz w:val="20"/>
          <w:szCs w:val="20"/>
          <w:color w:val="auto"/>
        </w:rPr>
      </w:pPr>
    </w:p>
    <w:p>
      <w:pPr>
        <w:ind w:right="100" w:firstLine="255"/>
        <w:spacing w:after="0" w:line="257" w:lineRule="auto"/>
        <w:rPr>
          <w:sz w:val="20"/>
          <w:szCs w:val="20"/>
          <w:color w:val="auto"/>
        </w:rPr>
      </w:pPr>
      <w:r>
        <w:rPr>
          <w:rFonts w:ascii="Times New Roman" w:cs="Times New Roman" w:eastAsia="Times New Roman" w:hAnsi="Times New Roman"/>
          <w:sz w:val="14"/>
          <w:szCs w:val="14"/>
          <w:color w:val="auto"/>
        </w:rPr>
        <w:t>We determined that the fair values of each of the reporting units were in excess of their carrying values in the fiscal 2025 assessment. Management determined that significant changes were not likely in the factors considered to estimate fair value, and analyzed the impact of such changes were they to occur. Specifically, if the discount rate applied in the fiscal 2025 impairment analysis had been 100 basis points higher than estimated for each of the reporting units, and all other assumptions were held constant, the conclusion of the assessment would remain unchanged and there would be no impairment of goodwill. Additionally, if there was a 25% decrease in the fair value of any of the reporting units due to a decline in their discounted cash flows resulting from lower operating performance, the conclusion of the assessment would remain unchanged for all reporting units. Recent operating performance, along with assumptions for specific customer and industry opportunities, were considered in the key assumptions used during the fiscal 2025 impairment analysis. Management has determined the goodwill of the Company may have an increased likelihood of impairment if a prolonged downturn in customer demand were to occur, or if the reporting units were not able to execute against customer opportunities, and the long-term outlook for their cash flows were adversely impacted. Furthermore, changes in the long-term outlook may result in a change to other valuation assumptions. Factors monitored by management which could result in a change to the reporting units’ estimates include the outcome of customer requests for proposals and subsequent awards, strategies of competitors, labor market conditions and levels of overall economic activity.</w:t>
      </w:r>
    </w:p>
    <w:p>
      <w:pPr>
        <w:spacing w:after="0" w:line="337" w:lineRule="exact"/>
        <w:rPr>
          <w:sz w:val="20"/>
          <w:szCs w:val="20"/>
          <w:color w:val="auto"/>
        </w:rPr>
      </w:pPr>
    </w:p>
    <w:p>
      <w:pPr>
        <w:ind w:right="40" w:firstLine="255"/>
        <w:spacing w:after="0" w:line="264" w:lineRule="auto"/>
        <w:rPr>
          <w:sz w:val="20"/>
          <w:szCs w:val="20"/>
          <w:color w:val="auto"/>
        </w:rPr>
      </w:pPr>
      <w:r>
        <w:rPr>
          <w:rFonts w:ascii="Times New Roman" w:cs="Times New Roman" w:eastAsia="Times New Roman" w:hAnsi="Times New Roman"/>
          <w:sz w:val="14"/>
          <w:szCs w:val="14"/>
          <w:color w:val="auto"/>
        </w:rPr>
        <w:t>The Company determined that there were no events or changes in circumstances for the other reporting units or indefinite lived intangible assets during fiscal 2025 that would indicate a potential reduction in their fair value below their carrying amounts. As of January 25, 2025, the Company continues to believe the remaining goodwill and the indefinite-lived intangible asset are recoverable for all of its reporting units</w:t>
      </w:r>
      <w:r>
        <w:rPr>
          <w:rFonts w:ascii="Arial" w:cs="Arial" w:eastAsia="Arial" w:hAnsi="Arial"/>
          <w:sz w:val="14"/>
          <w:szCs w:val="14"/>
          <w:color w:val="auto"/>
        </w:rPr>
        <w:t>.</w:t>
      </w:r>
      <w:r>
        <w:rPr>
          <w:rFonts w:ascii="Times New Roman" w:cs="Times New Roman" w:eastAsia="Times New Roman" w:hAnsi="Times New Roman"/>
          <w:sz w:val="14"/>
          <w:szCs w:val="14"/>
          <w:color w:val="auto"/>
        </w:rPr>
        <w:t xml:space="preserve"> However, if adverse events were to occur or circumstances were to change indicating that the carrying amount of such assets may not be fully recoverable, the assets would be reviewed for impairment and could be impaired. There can be no assurances that goodwill or the indefinite-lived intangible asset may not be impaired in future periods.</w:t>
      </w:r>
    </w:p>
    <w:p>
      <w:pPr>
        <w:spacing w:after="0" w:line="159" w:lineRule="exact"/>
        <w:rPr>
          <w:sz w:val="20"/>
          <w:szCs w:val="20"/>
          <w:color w:val="auto"/>
        </w:rPr>
      </w:pPr>
    </w:p>
    <w:p>
      <w:pPr>
        <w:ind w:firstLine="255"/>
        <w:spacing w:after="0" w:line="265" w:lineRule="auto"/>
        <w:rPr>
          <w:sz w:val="20"/>
          <w:szCs w:val="20"/>
          <w:color w:val="auto"/>
        </w:rPr>
      </w:pPr>
      <w:r>
        <w:rPr>
          <w:rFonts w:ascii="Times New Roman" w:cs="Times New Roman" w:eastAsia="Times New Roman" w:hAnsi="Times New Roman"/>
          <w:sz w:val="14"/>
          <w:szCs w:val="14"/>
          <w:i w:val="1"/>
          <w:iCs w:val="1"/>
          <w:color w:val="auto"/>
        </w:rPr>
        <w:t xml:space="preserve">Implementation Costs – Cloud Computing Arrangements. </w:t>
      </w:r>
      <w:r>
        <w:rPr>
          <w:rFonts w:ascii="Times New Roman" w:cs="Times New Roman" w:eastAsia="Times New Roman" w:hAnsi="Times New Roman"/>
          <w:sz w:val="14"/>
          <w:szCs w:val="14"/>
          <w:color w:val="auto"/>
        </w:rPr>
        <w:t>In accordance with ASU 2018-15, Customer’s Accounting for Implementation Costs Incurred in a Cloud Computing Arrangement That</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Is a Service Contract, which amends ASC 350-40, Internal-Use Software, to the extent costs incurred in a cloud computing arrangement are capitalizable, the corresponding costs are recorded in other assets and the related amortization is included in general and administrative expense in the consolidated statements of operations. The amount of capitalized cloud computing implementation costs included in other non-current assets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44" w:lineRule="exact"/>
        <w:rPr>
          <w:sz w:val="20"/>
          <w:szCs w:val="20"/>
          <w:color w:val="auto"/>
        </w:rPr>
      </w:pPr>
    </w:p>
    <w:p>
      <w:pPr>
        <w:ind w:right="60"/>
        <w:spacing w:after="0" w:line="287" w:lineRule="auto"/>
        <w:rPr>
          <w:sz w:val="20"/>
          <w:szCs w:val="20"/>
          <w:color w:val="auto"/>
        </w:rPr>
      </w:pPr>
      <w:r>
        <w:rPr>
          <w:rFonts w:ascii="Times New Roman" w:cs="Times New Roman" w:eastAsia="Times New Roman" w:hAnsi="Times New Roman"/>
          <w:sz w:val="14"/>
          <w:szCs w:val="14"/>
          <w:color w:val="auto"/>
        </w:rPr>
        <w:t>was $29.8 million and $7.2 million as of January 25, 2025 and January 27, 2024, respectively. The amortization of capitalized implementation costs related to cloud computing arrangements was not material during fiscal 2025, fiscal 2024, or fiscal 2023.</w:t>
      </w:r>
    </w:p>
    <w:p>
      <w:pPr>
        <w:spacing w:after="0" w:line="143" w:lineRule="exact"/>
        <w:rPr>
          <w:sz w:val="20"/>
          <w:szCs w:val="20"/>
          <w:color w:val="auto"/>
        </w:rPr>
      </w:pPr>
    </w:p>
    <w:p>
      <w:pPr>
        <w:jc w:val="both"/>
        <w:ind w:right="220" w:firstLine="255"/>
        <w:spacing w:after="0" w:line="271" w:lineRule="auto"/>
        <w:rPr>
          <w:sz w:val="20"/>
          <w:szCs w:val="20"/>
          <w:color w:val="auto"/>
        </w:rPr>
      </w:pPr>
      <w:r>
        <w:rPr>
          <w:rFonts w:ascii="Times New Roman" w:cs="Times New Roman" w:eastAsia="Times New Roman" w:hAnsi="Times New Roman"/>
          <w:sz w:val="14"/>
          <w:szCs w:val="14"/>
          <w:i w:val="1"/>
          <w:iCs w:val="1"/>
          <w:color w:val="auto"/>
        </w:rPr>
        <w:t xml:space="preserve">Accrued Insurance Claims. </w:t>
      </w:r>
      <w:r>
        <w:rPr>
          <w:rFonts w:ascii="Times New Roman" w:cs="Times New Roman" w:eastAsia="Times New Roman" w:hAnsi="Times New Roman"/>
          <w:sz w:val="14"/>
          <w:szCs w:val="14"/>
          <w:color w:val="auto"/>
        </w:rPr>
        <w:t>For claims within our insurance program, we retain the risk of loss, up to certain annual stop-loss limits, for matters related to automobile liability, general liability</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(including damages associated with underground facility locating services), workers’ compensation, and employee group health. Losses for claims beyond our retained risk of loss are covered by insurance up to our coverage limits.</w:t>
      </w:r>
    </w:p>
    <w:p>
      <w:pPr>
        <w:spacing w:after="0" w:line="157" w:lineRule="exact"/>
        <w:rPr>
          <w:sz w:val="20"/>
          <w:szCs w:val="20"/>
          <w:color w:val="auto"/>
        </w:rPr>
      </w:pPr>
    </w:p>
    <w:p>
      <w:pPr>
        <w:jc w:val="both"/>
        <w:ind w:right="200" w:firstLine="255"/>
        <w:spacing w:after="0" w:line="287" w:lineRule="auto"/>
        <w:rPr>
          <w:sz w:val="20"/>
          <w:szCs w:val="20"/>
          <w:color w:val="auto"/>
        </w:rPr>
      </w:pPr>
      <w:r>
        <w:rPr>
          <w:rFonts w:ascii="Times New Roman" w:cs="Times New Roman" w:eastAsia="Times New Roman" w:hAnsi="Times New Roman"/>
          <w:sz w:val="14"/>
          <w:szCs w:val="14"/>
          <w:color w:val="auto"/>
        </w:rPr>
        <w:t>For workers’ compensation losses during fiscal 2025, 2024, and 2023, we retained the risk of loss up to $1.0 million on a per occurrence basis. This retention amount is applicable to all of the states in which we operate, except with respect to workers’ compensation insurance in two states in which we participate in state-sponsored insurance funds.</w:t>
      </w:r>
    </w:p>
    <w:p>
      <w:pPr>
        <w:spacing w:after="0" w:line="145" w:lineRule="exact"/>
        <w:rPr>
          <w:sz w:val="20"/>
          <w:szCs w:val="20"/>
          <w:color w:val="auto"/>
        </w:rPr>
      </w:pPr>
    </w:p>
    <w:p>
      <w:pPr>
        <w:ind w:right="120" w:firstLine="255"/>
        <w:spacing w:after="0" w:line="270" w:lineRule="auto"/>
        <w:rPr>
          <w:sz w:val="20"/>
          <w:szCs w:val="20"/>
          <w:color w:val="auto"/>
        </w:rPr>
      </w:pPr>
      <w:r>
        <w:rPr>
          <w:rFonts w:ascii="Times New Roman" w:cs="Times New Roman" w:eastAsia="Times New Roman" w:hAnsi="Times New Roman"/>
          <w:sz w:val="14"/>
          <w:szCs w:val="14"/>
          <w:color w:val="auto"/>
        </w:rPr>
        <w:t>For automobile liability and general liability losses during fiscal 2025 and 2024, we retained the risk of loss up to $1.0 million on a per-occurrence basis for the first $5.0 million of insurance coverage. We also retained the risk of loss for the next $10.0 million on a per-occurrence basis for losses between $5.0 million and $15.0 million, if any. Additionally, during fiscal 2024 we retained $10.0 million risk of loss on a per occurrence basis for losses between $30.0 million and $40.0 million, if any.</w:t>
      </w:r>
    </w:p>
    <w:p>
      <w:pPr>
        <w:spacing w:after="0" w:line="157" w:lineRule="exact"/>
        <w:rPr>
          <w:sz w:val="20"/>
          <w:szCs w:val="20"/>
          <w:color w:val="auto"/>
        </w:rPr>
      </w:pPr>
    </w:p>
    <w:p>
      <w:pPr>
        <w:jc w:val="both"/>
        <w:ind w:firstLine="255"/>
        <w:spacing w:after="0" w:line="264" w:lineRule="auto"/>
        <w:rPr>
          <w:sz w:val="20"/>
          <w:szCs w:val="20"/>
          <w:color w:val="auto"/>
        </w:rPr>
      </w:pPr>
      <w:r>
        <w:rPr>
          <w:rFonts w:ascii="Times New Roman" w:cs="Times New Roman" w:eastAsia="Times New Roman" w:hAnsi="Times New Roman"/>
          <w:sz w:val="14"/>
          <w:szCs w:val="14"/>
          <w:color w:val="auto"/>
        </w:rPr>
        <w:t>For automobile liability and general liability losses during fiscal 2023, we retained the risk of loss up to $1.0 million on a per-occurrence basis for the first $5.0 million of insurance coverage. We also retained the risk of loss for the next $5.0 million on a per-occurrence basis with aggregate stop loss limits of $11.5 million within this layer of retention for the period of fiscal 2023. Additionally, we retained $5.0 million risk of loss on a per occurrence basis for losses between $5.0 million and $15.0 million, if any, and we retained $10.0 million risk of loss on a per occurrence basis for losses between $30.0 million and $40.0 million, if any.</w:t>
      </w:r>
    </w:p>
    <w:p>
      <w:pPr>
        <w:spacing w:after="0" w:line="162" w:lineRule="exact"/>
        <w:rPr>
          <w:sz w:val="20"/>
          <w:szCs w:val="20"/>
          <w:color w:val="auto"/>
        </w:rPr>
      </w:pPr>
    </w:p>
    <w:p>
      <w:pPr>
        <w:ind w:right="40" w:firstLine="255"/>
        <w:spacing w:after="0" w:line="287" w:lineRule="auto"/>
        <w:rPr>
          <w:sz w:val="20"/>
          <w:szCs w:val="20"/>
          <w:color w:val="auto"/>
        </w:rPr>
      </w:pPr>
      <w:r>
        <w:rPr>
          <w:rFonts w:ascii="Times New Roman" w:cs="Times New Roman" w:eastAsia="Times New Roman" w:hAnsi="Times New Roman"/>
          <w:sz w:val="14"/>
          <w:szCs w:val="14"/>
          <w:color w:val="auto"/>
        </w:rPr>
        <w:t>We are party to a stop-loss agreement for losses under our employee group health plan. For calendar year 2025, we retain the risk of loss on an annual basis, up to the first $750,000 of claims per participant. In calendar years 2024 and 2023, we retained the risk of loss on an annual basis, up to the first $700,000 and $600,000, respectively, of claims per participant.</w:t>
      </w:r>
    </w:p>
    <w:p>
      <w:pPr>
        <w:spacing w:after="0" w:line="145" w:lineRule="exact"/>
        <w:rPr>
          <w:sz w:val="20"/>
          <w:szCs w:val="20"/>
          <w:color w:val="auto"/>
        </w:rPr>
      </w:pPr>
    </w:p>
    <w:p>
      <w:pPr>
        <w:ind w:right="120" w:firstLine="255"/>
        <w:spacing w:after="0" w:line="264" w:lineRule="auto"/>
        <w:rPr>
          <w:sz w:val="20"/>
          <w:szCs w:val="20"/>
          <w:color w:val="auto"/>
        </w:rPr>
      </w:pPr>
      <w:r>
        <w:rPr>
          <w:rFonts w:ascii="Times New Roman" w:cs="Times New Roman" w:eastAsia="Times New Roman" w:hAnsi="Times New Roman"/>
          <w:sz w:val="14"/>
          <w:szCs w:val="14"/>
          <w:color w:val="auto"/>
        </w:rPr>
        <w:t>We have established reserves that we believe to be adequate based on current evaluations and our experience with these types of claims. A liability for unpaid claims and the associated claim expenses, including incurred but not reported losses, is determined with the assistance of an actuary and reflected in the consolidated financial statements as accrued insurance claims. The effect on our financial statements is generally limited to the amount needed to satisfy our insurance deductibles or retentions. Amounts for total accrued insurance claims and insurance recoveries/receivables are as follows (dollars in millions):</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7280" w:type="dxa"/>
            <w:vAlign w:val="bottom"/>
            <w:tcBorders>
              <w:bottom w:val="single" w:sz="8" w:color="CCEEFF"/>
            </w:tcBorders>
          </w:tcPr>
          <w:p>
            <w:pPr>
              <w:spacing w:after="0"/>
              <w:rPr>
                <w:sz w:val="16"/>
                <w:szCs w:val="16"/>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January 25, 2025</w:t>
            </w:r>
          </w:p>
        </w:tc>
        <w:tc>
          <w:tcPr>
            <w:tcW w:w="46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tcPr>
          <w:p>
            <w:pPr>
              <w:jc w:val="right"/>
              <w:ind w:right="369"/>
              <w:spacing w:after="0"/>
              <w:rPr>
                <w:sz w:val="20"/>
                <w:szCs w:val="20"/>
                <w:color w:val="auto"/>
              </w:rPr>
            </w:pPr>
            <w:r>
              <w:rPr>
                <w:rFonts w:ascii="Times New Roman" w:cs="Times New Roman" w:eastAsia="Times New Roman" w:hAnsi="Times New Roman"/>
                <w:sz w:val="14"/>
                <w:szCs w:val="14"/>
                <w:b w:val="1"/>
                <w:bCs w:val="1"/>
                <w:color w:val="auto"/>
              </w:rPr>
              <w:t>January 27, 2024</w:t>
            </w:r>
          </w:p>
        </w:tc>
        <w:tc>
          <w:tcPr>
            <w:tcW w:w="0" w:type="dxa"/>
            <w:vAlign w:val="bottom"/>
          </w:tcPr>
          <w:p>
            <w:pPr>
              <w:spacing w:after="0"/>
              <w:rPr>
                <w:sz w:val="1"/>
                <w:szCs w:val="1"/>
                <w:color w:val="auto"/>
              </w:rPr>
            </w:pPr>
          </w:p>
        </w:tc>
      </w:tr>
      <w:tr>
        <w:trPr>
          <w:trHeight w:val="180"/>
        </w:trPr>
        <w:tc>
          <w:tcPr>
            <w:tcW w:w="7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Accrued insurance claims - current</w:t>
            </w:r>
          </w:p>
        </w:tc>
        <w:tc>
          <w:tcPr>
            <w:tcW w:w="1480" w:type="dxa"/>
            <w:vAlign w:val="bottom"/>
            <w:shd w:val="clear" w:color="auto" w:fill="CCEEFF"/>
          </w:tcPr>
          <w:p>
            <w:pPr>
              <w:jc w:val="right"/>
              <w:ind w:right="1329"/>
              <w:spacing w:after="0"/>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8"/>
              </w:rPr>
              <w:t>46,686</w:t>
            </w: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44,466</w:t>
            </w:r>
          </w:p>
        </w:tc>
        <w:tc>
          <w:tcPr>
            <w:tcW w:w="0" w:type="dxa"/>
            <w:vAlign w:val="bottom"/>
          </w:tcPr>
          <w:p>
            <w:pPr>
              <w:spacing w:after="0"/>
              <w:rPr>
                <w:sz w:val="1"/>
                <w:szCs w:val="1"/>
                <w:color w:val="auto"/>
              </w:rPr>
            </w:pPr>
          </w:p>
        </w:tc>
      </w:tr>
      <w:tr>
        <w:trPr>
          <w:trHeight w:val="180"/>
        </w:trPr>
        <w:tc>
          <w:tcPr>
            <w:tcW w:w="7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Accrued insurance claims - non-current</w:t>
            </w:r>
          </w:p>
        </w:tc>
        <w:tc>
          <w:tcPr>
            <w:tcW w:w="148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98"/>
              </w:rPr>
              <w:t>49,836</w:t>
            </w:r>
          </w:p>
        </w:tc>
        <w:tc>
          <w:tcPr>
            <w:tcW w:w="8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49,447</w:t>
            </w:r>
          </w:p>
        </w:tc>
        <w:tc>
          <w:tcPr>
            <w:tcW w:w="0" w:type="dxa"/>
            <w:vAlign w:val="bottom"/>
          </w:tcPr>
          <w:p>
            <w:pPr>
              <w:spacing w:after="0"/>
              <w:rPr>
                <w:sz w:val="1"/>
                <w:szCs w:val="1"/>
                <w:color w:val="auto"/>
              </w:rPr>
            </w:pPr>
          </w:p>
        </w:tc>
      </w:tr>
      <w:tr>
        <w:trPr>
          <w:trHeight w:val="196"/>
        </w:trPr>
        <w:tc>
          <w:tcPr>
            <w:tcW w:w="728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Accrued insurance claims</w:t>
            </w:r>
          </w:p>
        </w:tc>
        <w:tc>
          <w:tcPr>
            <w:tcW w:w="1480" w:type="dxa"/>
            <w:vAlign w:val="bottom"/>
            <w:tcBorders>
              <w:bottom w:val="single" w:sz="8" w:color="auto"/>
            </w:tcBorders>
            <w:shd w:val="clear" w:color="auto" w:fill="CCEEFF"/>
          </w:tcPr>
          <w:p>
            <w:pPr>
              <w:jc w:val="right"/>
              <w:ind w:right="1329"/>
              <w:spacing w:after="0"/>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8"/>
              </w:rPr>
              <w:t>96,522</w:t>
            </w:r>
          </w:p>
        </w:tc>
        <w:tc>
          <w:tcPr>
            <w:tcW w:w="8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93,913</w:t>
            </w:r>
          </w:p>
        </w:tc>
        <w:tc>
          <w:tcPr>
            <w:tcW w:w="0" w:type="dxa"/>
            <w:vAlign w:val="bottom"/>
          </w:tcPr>
          <w:p>
            <w:pPr>
              <w:spacing w:after="0"/>
              <w:rPr>
                <w:sz w:val="1"/>
                <w:szCs w:val="1"/>
                <w:color w:val="auto"/>
              </w:rPr>
            </w:pPr>
          </w:p>
        </w:tc>
      </w:tr>
      <w:tr>
        <w:trPr>
          <w:trHeight w:val="20"/>
        </w:trPr>
        <w:tc>
          <w:tcPr>
            <w:tcW w:w="72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Insurance recoveries/receivables:</w:t>
            </w: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4"/>
        </w:trPr>
        <w:tc>
          <w:tcPr>
            <w:tcW w:w="7280" w:type="dxa"/>
            <w:vAlign w:val="bottom"/>
            <w:vMerge w:val="continue"/>
          </w:tcPr>
          <w:p>
            <w:pPr>
              <w:spacing w:after="0"/>
              <w:rPr>
                <w:sz w:val="24"/>
                <w:szCs w:val="24"/>
                <w:color w:val="auto"/>
              </w:rPr>
            </w:pPr>
          </w:p>
        </w:tc>
        <w:tc>
          <w:tcPr>
            <w:tcW w:w="14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1"/>
        </w:trPr>
        <w:tc>
          <w:tcPr>
            <w:tcW w:w="72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Non-current (included in Other assets)</w:t>
            </w:r>
          </w:p>
        </w:tc>
        <w:tc>
          <w:tcPr>
            <w:tcW w:w="1480" w:type="dxa"/>
            <w:vAlign w:val="bottom"/>
            <w:tcBorders>
              <w:bottom w:val="single" w:sz="8" w:color="auto"/>
            </w:tcBorders>
            <w:shd w:val="clear" w:color="auto" w:fill="CCEEFF"/>
          </w:tcPr>
          <w:p>
            <w:pPr>
              <w:spacing w:after="0"/>
              <w:rPr>
                <w:sz w:val="15"/>
                <w:szCs w:val="15"/>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3,343</w:t>
            </w:r>
          </w:p>
        </w:tc>
        <w:tc>
          <w:tcPr>
            <w:tcW w:w="8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4,760</w:t>
            </w:r>
          </w:p>
        </w:tc>
        <w:tc>
          <w:tcPr>
            <w:tcW w:w="0" w:type="dxa"/>
            <w:vAlign w:val="bottom"/>
          </w:tcPr>
          <w:p>
            <w:pPr>
              <w:spacing w:after="0"/>
              <w:rPr>
                <w:sz w:val="1"/>
                <w:szCs w:val="1"/>
                <w:color w:val="auto"/>
              </w:rPr>
            </w:pPr>
          </w:p>
        </w:tc>
      </w:tr>
      <w:tr>
        <w:trPr>
          <w:trHeight w:val="171"/>
        </w:trPr>
        <w:tc>
          <w:tcPr>
            <w:tcW w:w="7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Insurance recoveries/receivables</w:t>
            </w:r>
          </w:p>
        </w:tc>
        <w:tc>
          <w:tcPr>
            <w:tcW w:w="1480" w:type="dxa"/>
            <w:vAlign w:val="bottom"/>
            <w:tcBorders>
              <w:bottom w:val="single" w:sz="8" w:color="auto"/>
            </w:tcBorders>
          </w:tcPr>
          <w:p>
            <w:pPr>
              <w:jc w:val="right"/>
              <w:ind w:right="1329"/>
              <w:spacing w:after="0"/>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3,343</w:t>
            </w:r>
          </w:p>
        </w:tc>
        <w:tc>
          <w:tcPr>
            <w:tcW w:w="80" w:type="dxa"/>
            <w:vAlign w:val="bottom"/>
          </w:tcPr>
          <w:p>
            <w:pPr>
              <w:spacing w:after="0"/>
              <w:rPr>
                <w:sz w:val="14"/>
                <w:szCs w:val="14"/>
                <w:color w:val="auto"/>
              </w:rPr>
            </w:pPr>
          </w:p>
        </w:tc>
        <w:tc>
          <w:tcPr>
            <w:tcW w:w="28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4,760</w:t>
            </w:r>
          </w:p>
        </w:tc>
        <w:tc>
          <w:tcPr>
            <w:tcW w:w="0" w:type="dxa"/>
            <w:vAlign w:val="bottom"/>
          </w:tcPr>
          <w:p>
            <w:pPr>
              <w:spacing w:after="0"/>
              <w:rPr>
                <w:sz w:val="1"/>
                <w:szCs w:val="1"/>
                <w:color w:val="auto"/>
              </w:rPr>
            </w:pPr>
          </w:p>
        </w:tc>
      </w:tr>
      <w:tr>
        <w:trPr>
          <w:trHeight w:val="20"/>
        </w:trPr>
        <w:tc>
          <w:tcPr>
            <w:tcW w:w="728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1" w:lineRule="exact"/>
        <w:rPr>
          <w:sz w:val="20"/>
          <w:szCs w:val="20"/>
          <w:color w:val="auto"/>
        </w:rPr>
      </w:pPr>
    </w:p>
    <w:p>
      <w:pPr>
        <w:ind w:right="580" w:firstLine="255"/>
        <w:spacing w:after="0" w:line="287" w:lineRule="auto"/>
        <w:rPr>
          <w:sz w:val="20"/>
          <w:szCs w:val="20"/>
          <w:color w:val="auto"/>
        </w:rPr>
      </w:pPr>
      <w:r>
        <w:rPr>
          <w:rFonts w:ascii="Times New Roman" w:cs="Times New Roman" w:eastAsia="Times New Roman" w:hAnsi="Times New Roman"/>
          <w:sz w:val="14"/>
          <w:szCs w:val="14"/>
          <w:color w:val="auto"/>
        </w:rPr>
        <w:t>The liability for total accrued insurance claims included incurred but not reported losses of approximately $47.9 million and $47.2 million as of January 25, 2025 and January 27, 2024, respectively.</w:t>
      </w:r>
    </w:p>
    <w:p>
      <w:pPr>
        <w:spacing w:after="0" w:line="145" w:lineRule="exact"/>
        <w:rPr>
          <w:sz w:val="20"/>
          <w:szCs w:val="20"/>
          <w:color w:val="auto"/>
        </w:rPr>
      </w:pPr>
    </w:p>
    <w:p>
      <w:pPr>
        <w:ind w:right="140" w:firstLine="255"/>
        <w:spacing w:after="0" w:line="270" w:lineRule="auto"/>
        <w:rPr>
          <w:sz w:val="20"/>
          <w:szCs w:val="20"/>
          <w:color w:val="auto"/>
        </w:rPr>
      </w:pPr>
      <w:r>
        <w:rPr>
          <w:rFonts w:ascii="Times New Roman" w:cs="Times New Roman" w:eastAsia="Times New Roman" w:hAnsi="Times New Roman"/>
          <w:sz w:val="14"/>
          <w:szCs w:val="14"/>
          <w:color w:val="auto"/>
        </w:rPr>
        <w:t>We estimate the liability for claims based on facts, circumstances, and historical experience. Recorded loss reserves are settled over time and are not discounted. Factors affecting the determination of the expected cost for existing and incurred but not reported claims include, but are not limited to, the magnitude and quantity of future claims, the payment pattern of claims which have been incurred, changes in the medical condition of claimants, and other factors such as inflation, tort reform or other legislative changes, unfavorable jury decisions, and court interpretations.</w:t>
      </w:r>
    </w:p>
    <w:p>
      <w:pPr>
        <w:spacing w:after="0" w:line="155" w:lineRule="exact"/>
        <w:rPr>
          <w:sz w:val="20"/>
          <w:szCs w:val="20"/>
          <w:color w:val="auto"/>
        </w:rPr>
      </w:pPr>
    </w:p>
    <w:p>
      <w:pPr>
        <w:ind w:right="660" w:firstLine="255"/>
        <w:spacing w:after="0" w:line="290" w:lineRule="auto"/>
        <w:rPr>
          <w:sz w:val="20"/>
          <w:szCs w:val="20"/>
          <w:color w:val="auto"/>
        </w:rPr>
      </w:pPr>
      <w:r>
        <w:rPr>
          <w:rFonts w:ascii="Times New Roman" w:cs="Times New Roman" w:eastAsia="Times New Roman" w:hAnsi="Times New Roman"/>
          <w:sz w:val="14"/>
          <w:szCs w:val="14"/>
          <w:i w:val="1"/>
          <w:iCs w:val="1"/>
          <w:color w:val="auto"/>
        </w:rPr>
        <w:t xml:space="preserve">Income Taxes. </w:t>
      </w:r>
      <w:r>
        <w:rPr>
          <w:rFonts w:ascii="Times New Roman" w:cs="Times New Roman" w:eastAsia="Times New Roman" w:hAnsi="Times New Roman"/>
          <w:sz w:val="14"/>
          <w:szCs w:val="14"/>
          <w:color w:val="auto"/>
        </w:rPr>
        <w:t>We account for income taxes under the asset and liability method. This approach requires the recognition of deferred tax assets and liabilities for the expected future tax</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consequences of temporary differences between the carrying amounts and the tax bases of assets and liabilities.</w:t>
      </w:r>
    </w:p>
    <w:p>
      <w:pPr>
        <w:spacing w:after="0" w:line="38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5"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firstLine="255"/>
        <w:spacing w:after="0" w:line="261" w:lineRule="auto"/>
        <w:rPr>
          <w:sz w:val="20"/>
          <w:szCs w:val="20"/>
          <w:color w:val="auto"/>
        </w:rPr>
      </w:pPr>
      <w:r>
        <w:rPr>
          <w:rFonts w:ascii="Times New Roman" w:cs="Times New Roman" w:eastAsia="Times New Roman" w:hAnsi="Times New Roman"/>
          <w:sz w:val="14"/>
          <w:szCs w:val="14"/>
          <w:color w:val="auto"/>
        </w:rPr>
        <w:t>Measurement of our tax position is based on the applicable statutes, federal and state case law, and our interpretations of tax regulations. The effect of a change in tax rates on deferred tax assets and liabilities is recognized in income during the period that includes the enactment date. We record net deferred tax assets to the extent we believe these assets will more likely than not be realized. In making such determination, we consider all relevant factors, including future reversals of existing taxable temporary differences, projected future taxable income, tax planning strategies, and recent financial operations. In the event we determine that we would be able to realize deferred income tax assets in excess of their net recorded amount, we would adjust the valuation allowance, which would reduce the provision for income taxes.</w:t>
      </w:r>
    </w:p>
    <w:p>
      <w:pPr>
        <w:spacing w:after="0" w:line="164" w:lineRule="exact"/>
        <w:rPr>
          <w:sz w:val="20"/>
          <w:szCs w:val="20"/>
          <w:color w:val="auto"/>
        </w:rPr>
      </w:pPr>
    </w:p>
    <w:p>
      <w:pPr>
        <w:jc w:val="both"/>
        <w:ind w:right="160" w:firstLine="255"/>
        <w:spacing w:after="0" w:line="270" w:lineRule="auto"/>
        <w:rPr>
          <w:sz w:val="20"/>
          <w:szCs w:val="20"/>
          <w:color w:val="auto"/>
        </w:rPr>
      </w:pPr>
      <w:r>
        <w:rPr>
          <w:rFonts w:ascii="Times New Roman" w:cs="Times New Roman" w:eastAsia="Times New Roman" w:hAnsi="Times New Roman"/>
          <w:sz w:val="14"/>
          <w:szCs w:val="14"/>
          <w:color w:val="auto"/>
        </w:rPr>
        <w:t>We recognize tax benefits in the amount that we deem more likely than not will be realized upon ultimate settlement of any tax uncertainty. Tax positions that fail to qualify for recognition are recognized during the period in which the more-likely-than-not standard has been reached, when the tax positions are resolved with the respective taxing authority, or when the statute of limitations for tax examination has expired. We recognize applicable interest related to tax amounts in interest expense and penalties within general and administrative expenses.</w:t>
      </w:r>
    </w:p>
    <w:p>
      <w:pPr>
        <w:spacing w:after="0" w:line="157" w:lineRule="exact"/>
        <w:rPr>
          <w:sz w:val="20"/>
          <w:szCs w:val="20"/>
          <w:color w:val="auto"/>
        </w:rPr>
      </w:pPr>
    </w:p>
    <w:p>
      <w:pPr>
        <w:ind w:right="380" w:firstLine="255"/>
        <w:spacing w:after="0" w:line="287" w:lineRule="auto"/>
        <w:rPr>
          <w:sz w:val="20"/>
          <w:szCs w:val="20"/>
          <w:color w:val="auto"/>
        </w:rPr>
      </w:pPr>
      <w:r>
        <w:rPr>
          <w:rFonts w:ascii="Times New Roman" w:cs="Times New Roman" w:eastAsia="Times New Roman" w:hAnsi="Times New Roman"/>
          <w:sz w:val="14"/>
          <w:szCs w:val="14"/>
          <w:color w:val="auto"/>
        </w:rPr>
        <w:t>Fluctuations in our effective income tax rate were attributable to the difference in income tax rates from state to state where work was performed, non-deductible and non-taxable items, tax credits recognized, the tax effects of the vesting and exercise of share-based awards, impacts of tax filings for prior years, and changes in unrecognized tax benefits.</w:t>
      </w:r>
    </w:p>
    <w:p>
      <w:pPr>
        <w:spacing w:after="0" w:line="143" w:lineRule="exact"/>
        <w:rPr>
          <w:sz w:val="20"/>
          <w:szCs w:val="20"/>
          <w:color w:val="auto"/>
        </w:rPr>
      </w:pPr>
    </w:p>
    <w:p>
      <w:pPr>
        <w:ind w:firstLine="255"/>
        <w:spacing w:after="0" w:line="262" w:lineRule="auto"/>
        <w:rPr>
          <w:sz w:val="20"/>
          <w:szCs w:val="20"/>
          <w:color w:val="auto"/>
        </w:rPr>
      </w:pPr>
      <w:r>
        <w:rPr>
          <w:rFonts w:ascii="Times New Roman" w:cs="Times New Roman" w:eastAsia="Times New Roman" w:hAnsi="Times New Roman"/>
          <w:sz w:val="14"/>
          <w:szCs w:val="14"/>
          <w:i w:val="1"/>
          <w:iCs w:val="1"/>
          <w:color w:val="auto"/>
        </w:rPr>
        <w:t xml:space="preserve">Stock-Based Compensation. </w:t>
      </w:r>
      <w:r>
        <w:rPr>
          <w:rFonts w:ascii="Times New Roman" w:cs="Times New Roman" w:eastAsia="Times New Roman" w:hAnsi="Times New Roman"/>
          <w:sz w:val="14"/>
          <w:szCs w:val="14"/>
          <w:color w:val="auto"/>
        </w:rPr>
        <w:t>We have stock-based compensation plans under which we grant stock-based awards, including stock options, time-based restricted share units (“RSUs”), and</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performance-based restricted share units (“Performance RSUs”) to attract, retain, and reward talented employees, officers, and directors, and to align stockholder and employee interests. The resulting compensation expense is recognized on a straight-line basis over the vesting period, net of actual forfeitures, and is included in general and administrative expenses in the consolidated statements of operations. This expense fluctuates over time as a function of the duration of vesting periods of the stock-based awards and the Company’s performance, as measured by criteria set forth in performance-based awards.</w:t>
      </w:r>
    </w:p>
    <w:p>
      <w:pPr>
        <w:spacing w:after="0" w:line="163" w:lineRule="exact"/>
        <w:rPr>
          <w:sz w:val="20"/>
          <w:szCs w:val="20"/>
          <w:color w:val="auto"/>
        </w:rPr>
      </w:pPr>
    </w:p>
    <w:p>
      <w:pPr>
        <w:ind w:right="80" w:firstLine="255"/>
        <w:spacing w:after="0" w:line="259" w:lineRule="auto"/>
        <w:rPr>
          <w:sz w:val="20"/>
          <w:szCs w:val="20"/>
          <w:color w:val="auto"/>
        </w:rPr>
      </w:pPr>
      <w:r>
        <w:rPr>
          <w:rFonts w:ascii="Times New Roman" w:cs="Times New Roman" w:eastAsia="Times New Roman" w:hAnsi="Times New Roman"/>
          <w:sz w:val="14"/>
          <w:szCs w:val="14"/>
          <w:color w:val="auto"/>
        </w:rPr>
        <w:t>Compensation expense for stock-based awards is based on fair value at the measurement date. The fair value of RSUs and Performance RSUs is estimated on the date of grant and is equal to the closing market price per share of our common stock on that date. RSUs generally vest ratably over a four-year period. Performance RSUs vest ratably over a three-year period, if certain performance measures are achieved. Each RSU and Performance RSU is settled in one share of our common stock upon vesting. The fair value of stock options is estimated on the date of grant using the Black-Scholes option pricing model. This valuation is affected by the Company’s stock price as well as other inputs, including the expected common stock price volatility over the expected life of the options, the expected term of the stock option, risk-free interest rates, and expected dividends, if any. Our outstanding stock options generally vest ratably over a four-year period and are generally exercisable over a period of up to ten years.</w:t>
      </w:r>
    </w:p>
    <w:p>
      <w:pPr>
        <w:spacing w:after="0" w:line="167" w:lineRule="exact"/>
        <w:rPr>
          <w:sz w:val="20"/>
          <w:szCs w:val="20"/>
          <w:color w:val="auto"/>
        </w:rPr>
      </w:pPr>
    </w:p>
    <w:p>
      <w:pPr>
        <w:ind w:right="40" w:firstLine="255"/>
        <w:spacing w:after="0" w:line="257" w:lineRule="auto"/>
        <w:rPr>
          <w:sz w:val="20"/>
          <w:szCs w:val="20"/>
          <w:color w:val="auto"/>
        </w:rPr>
      </w:pPr>
      <w:r>
        <w:rPr>
          <w:rFonts w:ascii="Times New Roman" w:cs="Times New Roman" w:eastAsia="Times New Roman" w:hAnsi="Times New Roman"/>
          <w:sz w:val="14"/>
          <w:szCs w:val="14"/>
          <w:color w:val="auto"/>
        </w:rPr>
        <w:t xml:space="preserve">For Performance RSUs, we evaluate compensation expense quarterly and recognize expense only if we determine it is probable that the performance measures for the awards will be met. The performance measures for target awards are based on our operating earnings (adjusted for certain amounts) as a percentage of contract revenues and our operating cash flow level (adjusted for certain amounts) for the applicable four-quarter performance period. Additionally, certain awards include three-year performance measures that are more difficult to achieve than those required to earn target awards and, if met, result in supplemental shares awarded. The performance measures for supplemental awards are based on three-year cumulative operating earnings (adjusted for certain amounts) as a percentage of contract revenues and three-year cumulative operating cash flow level (adjusted for certain amounts). If we determine it is no longer probable that we will achieve certain performance measures for the awards, we reverse the stock-based compensation expense that we had previously recognized associated with the portion of Performance RSUs that are no longer expected to vest. The amount of the expense ultimately recognized depends on the number of awards that actually vest. Accordingly, stock-based compensation expense may vary from period to period. For additional information on our stock-based compensation plans, stock options, RSUs, and Performance RSUs, see Note 19, </w:t>
      </w:r>
      <w:r>
        <w:rPr>
          <w:rFonts w:ascii="Times New Roman" w:cs="Times New Roman" w:eastAsia="Times New Roman" w:hAnsi="Times New Roman"/>
          <w:sz w:val="14"/>
          <w:szCs w:val="14"/>
          <w:i w:val="1"/>
          <w:iCs w:val="1"/>
          <w:color w:val="auto"/>
        </w:rPr>
        <w:t>Stock-Based Awards</w:t>
      </w:r>
      <w:r>
        <w:rPr>
          <w:rFonts w:ascii="Times New Roman" w:cs="Times New Roman" w:eastAsia="Times New Roman" w:hAnsi="Times New Roman"/>
          <w:sz w:val="14"/>
          <w:szCs w:val="14"/>
          <w:color w:val="auto"/>
        </w:rPr>
        <w:t>, in the notes to the consolidated financial statements in this Annual Report on Form 10-K.</w:t>
      </w:r>
    </w:p>
    <w:p>
      <w:pPr>
        <w:spacing w:after="0" w:line="165" w:lineRule="exact"/>
        <w:rPr>
          <w:sz w:val="20"/>
          <w:szCs w:val="20"/>
          <w:color w:val="auto"/>
        </w:rPr>
      </w:pPr>
    </w:p>
    <w:p>
      <w:pPr>
        <w:ind w:right="40" w:firstLine="255"/>
        <w:spacing w:after="0" w:line="262" w:lineRule="auto"/>
        <w:rPr>
          <w:sz w:val="20"/>
          <w:szCs w:val="20"/>
          <w:color w:val="auto"/>
        </w:rPr>
      </w:pPr>
      <w:r>
        <w:rPr>
          <w:rFonts w:ascii="Times New Roman" w:cs="Times New Roman" w:eastAsia="Times New Roman" w:hAnsi="Times New Roman"/>
          <w:sz w:val="14"/>
          <w:szCs w:val="14"/>
          <w:i w:val="1"/>
          <w:iCs w:val="1"/>
          <w:color w:val="auto"/>
        </w:rPr>
        <w:t xml:space="preserve">Contingencies and Litigation. </w:t>
      </w:r>
      <w:r>
        <w:rPr>
          <w:rFonts w:ascii="Times New Roman" w:cs="Times New Roman" w:eastAsia="Times New Roman" w:hAnsi="Times New Roman"/>
          <w:sz w:val="14"/>
          <w:szCs w:val="14"/>
          <w:color w:val="auto"/>
        </w:rPr>
        <w:t>In the ordinary course of our business, we are involved in certain legal proceedings and other claims, including claims for indemnification by our customers. In</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determining whether a loss should be accrued, we evaluate, among other factors, the probability of an unfavorable outcome and the ability to make a reasonable estimate of the amount of loss. If only a range of probable loss can be determined, we accrue for our best estimate within the range for the contingency. In those cases where none of the estimates within the range is better than another, we accrue for the amount representing the low end of the range. As additional information becomes available, we reassess the potential liability related to our pending litigation and other contingencies and revise our estimates as applicable. Revisions of our estimates of the potential liability</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44" w:lineRule="exact"/>
        <w:rPr>
          <w:sz w:val="20"/>
          <w:szCs w:val="20"/>
          <w:color w:val="auto"/>
        </w:rPr>
      </w:pPr>
    </w:p>
    <w:p>
      <w:pPr>
        <w:ind w:right="200"/>
        <w:spacing w:after="0" w:line="287" w:lineRule="auto"/>
        <w:rPr>
          <w:sz w:val="20"/>
          <w:szCs w:val="20"/>
          <w:color w:val="auto"/>
        </w:rPr>
      </w:pPr>
      <w:r>
        <w:rPr>
          <w:rFonts w:ascii="Times New Roman" w:cs="Times New Roman" w:eastAsia="Times New Roman" w:hAnsi="Times New Roman"/>
          <w:sz w:val="14"/>
          <w:szCs w:val="14"/>
          <w:color w:val="auto"/>
        </w:rPr>
        <w:t>could materially impact our results of operations. Additionally, if the final outcome of such litigation and contingencies differs adversely from that currently expected, it would result in a charge to operating results when determined.</w:t>
      </w:r>
    </w:p>
    <w:p>
      <w:pPr>
        <w:spacing w:after="0" w:line="143" w:lineRule="exact"/>
        <w:rPr>
          <w:sz w:val="20"/>
          <w:szCs w:val="20"/>
          <w:color w:val="auto"/>
        </w:rPr>
      </w:pPr>
    </w:p>
    <w:p>
      <w:pPr>
        <w:ind w:firstLine="255"/>
        <w:spacing w:after="0" w:line="257" w:lineRule="auto"/>
        <w:rPr>
          <w:sz w:val="20"/>
          <w:szCs w:val="20"/>
          <w:color w:val="auto"/>
        </w:rPr>
      </w:pPr>
      <w:r>
        <w:rPr>
          <w:rFonts w:ascii="Times New Roman" w:cs="Times New Roman" w:eastAsia="Times New Roman" w:hAnsi="Times New Roman"/>
          <w:sz w:val="14"/>
          <w:szCs w:val="14"/>
          <w:i w:val="1"/>
          <w:iCs w:val="1"/>
          <w:color w:val="auto"/>
        </w:rPr>
        <w:t>Business Combinations</w:t>
      </w:r>
      <w:r>
        <w:rPr>
          <w:rFonts w:ascii="Times New Roman" w:cs="Times New Roman" w:eastAsia="Times New Roman" w:hAnsi="Times New Roman"/>
          <w:sz w:val="14"/>
          <w:szCs w:val="14"/>
          <w:color w:val="auto"/>
        </w:rPr>
        <w:t>. We account for business combinations under the acquisition method of accounting. The purchase price of each business acquired is allocated to the tangible and</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intangible assets acquired and the liabilities assumed based on information regarding their respective fair values on the date of acquisition. Any excess of the purchase price over the fair value of the separately identifiable assets acquired and liabilities assumed is allocated to goodwill. We determine the fair values used in purchase price allocations for intangible assets based on historical data, estimated discounted future cash flows, expected royalty rates for trademarks and trade names, as well as other information. The valuation of assets acquired and liabilities assumed requires a number of judgments and is subject to revision as additional information about the fair value of assets and liabilities becomes available. Additional information, which existed as of the acquisition date but unknown to us at that time, may become known during the remainder of the measurement period. This measurement period may not exceed 12 months from the acquisition date. The Company will recognize any adjustments to provisional amounts that are identified during the measurement period in the reporting period in which the adjustments are determined. Additionally, in the same period in which adjustments are recognized, the Company will record the effect on earnings of changes in depreciation, amortization, or other income effects, if any, as a result of any change to the provisional amounts, calculated as if the accounting adjustment had been completed at the acquisition date. Acquisition costs are expensed as incurred. The results of operations of businesses acquired are included in the consolidated financial statements from their dates of acquisition.</w:t>
      </w: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Results of Operations</w:t>
      </w:r>
    </w:p>
    <w:p>
      <w:pPr>
        <w:spacing w:after="0" w:line="20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following table sets forth our consolidated statements of operations for the periods indicated and the amounts as a percentage of contract revenues (totals may not add due to rounding)</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(dollars in millions):</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596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3"/>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Fiscal Year Ended</w:t>
            </w:r>
          </w:p>
        </w:tc>
        <w:tc>
          <w:tcPr>
            <w:tcW w:w="5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r>
      <w:tr>
        <w:trPr>
          <w:trHeight w:val="182"/>
        </w:trPr>
        <w:tc>
          <w:tcPr>
            <w:tcW w:w="5960" w:type="dxa"/>
            <w:vAlign w:val="bottom"/>
            <w:tcBorders>
              <w:bottom w:val="single" w:sz="8" w:color="CCEEFF"/>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gridSpan w:val="3"/>
          </w:tcPr>
          <w:p>
            <w:pPr>
              <w:ind w:left="360"/>
              <w:spacing w:after="0"/>
              <w:rPr>
                <w:sz w:val="20"/>
                <w:szCs w:val="20"/>
                <w:color w:val="auto"/>
              </w:rPr>
            </w:pPr>
            <w:r>
              <w:rPr>
                <w:rFonts w:ascii="Times New Roman" w:cs="Times New Roman" w:eastAsia="Times New Roman" w:hAnsi="Times New Roman"/>
                <w:sz w:val="14"/>
                <w:szCs w:val="14"/>
                <w:b w:val="1"/>
                <w:bCs w:val="1"/>
                <w:color w:val="auto"/>
              </w:rPr>
              <w:t>January 25, 2025</w:t>
            </w:r>
          </w:p>
        </w:tc>
        <w:tc>
          <w:tcPr>
            <w:tcW w:w="64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gridSpan w:val="3"/>
          </w:tcPr>
          <w:p>
            <w:pPr>
              <w:ind w:left="160"/>
              <w:spacing w:after="0"/>
              <w:rPr>
                <w:sz w:val="20"/>
                <w:szCs w:val="20"/>
                <w:color w:val="auto"/>
              </w:rPr>
            </w:pPr>
            <w:r>
              <w:rPr>
                <w:rFonts w:ascii="Times New Roman" w:cs="Times New Roman" w:eastAsia="Times New Roman" w:hAnsi="Times New Roman"/>
                <w:sz w:val="14"/>
                <w:szCs w:val="14"/>
                <w:b w:val="1"/>
                <w:bCs w:val="1"/>
                <w:color w:val="auto"/>
              </w:rPr>
              <w:t>January 27, 2024</w:t>
            </w:r>
          </w:p>
        </w:tc>
        <w:tc>
          <w:tcPr>
            <w:tcW w:w="620" w:type="dxa"/>
            <w:vAlign w:val="bottom"/>
            <w:tcBorders>
              <w:bottom w:val="single" w:sz="8" w:color="auto"/>
            </w:tcBorders>
          </w:tcPr>
          <w:p>
            <w:pPr>
              <w:spacing w:after="0"/>
              <w:rPr>
                <w:sz w:val="15"/>
                <w:szCs w:val="15"/>
                <w:color w:val="auto"/>
              </w:rPr>
            </w:pPr>
          </w:p>
        </w:tc>
      </w:tr>
      <w:tr>
        <w:trPr>
          <w:trHeight w:val="180"/>
        </w:trPr>
        <w:tc>
          <w:tcPr>
            <w:tcW w:w="5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Contract revenues</w:t>
            </w:r>
          </w:p>
        </w:tc>
        <w:tc>
          <w:tcPr>
            <w:tcW w:w="400" w:type="dxa"/>
            <w:vAlign w:val="bottom"/>
            <w:tcBorders>
              <w:bottom w:val="single" w:sz="8" w:color="auto"/>
            </w:tcBorders>
            <w:shd w:val="clear" w:color="auto" w:fill="CCEEFF"/>
          </w:tcPr>
          <w:p>
            <w:pPr>
              <w:jc w:val="right"/>
              <w:ind w:right="249"/>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4,702.0</w:t>
            </w:r>
          </w:p>
        </w:tc>
        <w:tc>
          <w:tcPr>
            <w:tcW w:w="100" w:type="dxa"/>
            <w:vAlign w:val="bottom"/>
            <w:shd w:val="clear" w:color="auto" w:fill="CCEEFF"/>
          </w:tcPr>
          <w:p>
            <w:pPr>
              <w:spacing w:after="0"/>
              <w:rPr>
                <w:sz w:val="15"/>
                <w:szCs w:val="15"/>
                <w:color w:val="auto"/>
              </w:rPr>
            </w:pPr>
          </w:p>
        </w:tc>
        <w:tc>
          <w:tcPr>
            <w:tcW w:w="660" w:type="dxa"/>
            <w:vAlign w:val="bottom"/>
            <w:tcBorders>
              <w:bottom w:val="single" w:sz="8" w:color="auto"/>
            </w:tcBorders>
            <w:shd w:val="clear" w:color="auto" w:fill="CCEEFF"/>
          </w:tcPr>
          <w:p>
            <w:pPr>
              <w:spacing w:after="0"/>
              <w:rPr>
                <w:sz w:val="15"/>
                <w:szCs w:val="15"/>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100.0 %</w:t>
            </w:r>
          </w:p>
        </w:tc>
        <w:tc>
          <w:tcPr>
            <w:tcW w:w="100" w:type="dxa"/>
            <w:vAlign w:val="bottom"/>
            <w:shd w:val="clear" w:color="auto" w:fill="CCEEFF"/>
          </w:tcPr>
          <w:p>
            <w:pPr>
              <w:spacing w:after="0"/>
              <w:rPr>
                <w:sz w:val="15"/>
                <w:szCs w:val="15"/>
                <w:color w:val="auto"/>
              </w:rPr>
            </w:pPr>
          </w:p>
        </w:tc>
        <w:tc>
          <w:tcPr>
            <w:tcW w:w="600" w:type="dxa"/>
            <w:vAlign w:val="bottom"/>
            <w:tcBorders>
              <w:bottom w:val="single" w:sz="8" w:color="auto"/>
            </w:tcBorders>
            <w:shd w:val="clear" w:color="auto" w:fill="CCEEFF"/>
          </w:tcPr>
          <w:p>
            <w:pPr>
              <w:jc w:val="right"/>
              <w:ind w:right="449"/>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4,175.6</w:t>
            </w:r>
          </w:p>
        </w:tc>
        <w:tc>
          <w:tcPr>
            <w:tcW w:w="100" w:type="dxa"/>
            <w:vAlign w:val="bottom"/>
            <w:shd w:val="clear" w:color="auto" w:fill="CCEEFF"/>
          </w:tcPr>
          <w:p>
            <w:pPr>
              <w:spacing w:after="0"/>
              <w:rPr>
                <w:sz w:val="15"/>
                <w:szCs w:val="15"/>
                <w:color w:val="auto"/>
              </w:rPr>
            </w:pPr>
          </w:p>
        </w:tc>
        <w:tc>
          <w:tcPr>
            <w:tcW w:w="660" w:type="dxa"/>
            <w:vAlign w:val="bottom"/>
            <w:tcBorders>
              <w:bottom w:val="single" w:sz="8" w:color="auto"/>
            </w:tcBorders>
            <w:shd w:val="clear" w:color="auto" w:fill="CCEEFF"/>
          </w:tcPr>
          <w:p>
            <w:pPr>
              <w:spacing w:after="0"/>
              <w:rPr>
                <w:sz w:val="15"/>
                <w:szCs w:val="15"/>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100.0 %</w:t>
            </w:r>
          </w:p>
        </w:tc>
      </w:tr>
      <w:tr>
        <w:trPr>
          <w:trHeight w:val="160"/>
        </w:trPr>
        <w:tc>
          <w:tcPr>
            <w:tcW w:w="59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Expenses:</w:t>
            </w:r>
          </w:p>
        </w:tc>
        <w:tc>
          <w:tcPr>
            <w:tcW w:w="4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20" w:type="dxa"/>
            <w:vAlign w:val="bottom"/>
          </w:tcPr>
          <w:p>
            <w:pPr>
              <w:spacing w:after="0"/>
              <w:rPr>
                <w:sz w:val="13"/>
                <w:szCs w:val="13"/>
                <w:color w:val="auto"/>
              </w:rPr>
            </w:pPr>
          </w:p>
        </w:tc>
      </w:tr>
      <w:tr>
        <w:trPr>
          <w:trHeight w:val="180"/>
        </w:trPr>
        <w:tc>
          <w:tcPr>
            <w:tcW w:w="59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Costs of earned revenues, excluding depreciation and amortization</w:t>
            </w:r>
          </w:p>
        </w:tc>
        <w:tc>
          <w:tcPr>
            <w:tcW w:w="40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3,769.9</w:t>
            </w: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64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80.2</w:t>
            </w: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3,361.8</w:t>
            </w: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62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80.5</w:t>
            </w:r>
          </w:p>
        </w:tc>
      </w:tr>
      <w:tr>
        <w:trPr>
          <w:trHeight w:val="180"/>
        </w:trPr>
        <w:tc>
          <w:tcPr>
            <w:tcW w:w="59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General and administrative</w:t>
            </w:r>
          </w:p>
        </w:tc>
        <w:tc>
          <w:tcPr>
            <w:tcW w:w="4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393.0</w:t>
            </w: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4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8.4</w:t>
            </w: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327.7</w:t>
            </w: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2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7.8</w:t>
            </w:r>
          </w:p>
        </w:tc>
      </w:tr>
      <w:tr>
        <w:trPr>
          <w:trHeight w:val="180"/>
        </w:trPr>
        <w:tc>
          <w:tcPr>
            <w:tcW w:w="59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400" w:type="dxa"/>
            <w:vAlign w:val="bottom"/>
            <w:tcBorders>
              <w:bottom w:val="single" w:sz="8" w:color="auto"/>
            </w:tcBorders>
            <w:shd w:val="clear" w:color="auto" w:fill="CCEEFF"/>
          </w:tcPr>
          <w:p>
            <w:pPr>
              <w:spacing w:after="0"/>
              <w:rPr>
                <w:sz w:val="15"/>
                <w:szCs w:val="15"/>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198.6</w:t>
            </w:r>
          </w:p>
        </w:tc>
        <w:tc>
          <w:tcPr>
            <w:tcW w:w="100" w:type="dxa"/>
            <w:vAlign w:val="bottom"/>
            <w:shd w:val="clear" w:color="auto" w:fill="CCEEFF"/>
          </w:tcPr>
          <w:p>
            <w:pPr>
              <w:spacing w:after="0"/>
              <w:rPr>
                <w:sz w:val="15"/>
                <w:szCs w:val="15"/>
                <w:color w:val="auto"/>
              </w:rPr>
            </w:pPr>
          </w:p>
        </w:tc>
        <w:tc>
          <w:tcPr>
            <w:tcW w:w="660" w:type="dxa"/>
            <w:vAlign w:val="bottom"/>
            <w:tcBorders>
              <w:bottom w:val="single" w:sz="8" w:color="auto"/>
            </w:tcBorders>
            <w:shd w:val="clear" w:color="auto" w:fill="CCEEFF"/>
          </w:tcPr>
          <w:p>
            <w:pPr>
              <w:spacing w:after="0"/>
              <w:rPr>
                <w:sz w:val="15"/>
                <w:szCs w:val="15"/>
                <w:color w:val="auto"/>
              </w:rPr>
            </w:pPr>
          </w:p>
        </w:tc>
        <w:tc>
          <w:tcPr>
            <w:tcW w:w="640" w:type="dxa"/>
            <w:vAlign w:val="bottom"/>
            <w:tcBorders>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4.2</w:t>
            </w:r>
          </w:p>
        </w:tc>
        <w:tc>
          <w:tcPr>
            <w:tcW w:w="100" w:type="dxa"/>
            <w:vAlign w:val="bottom"/>
            <w:shd w:val="clear" w:color="auto" w:fill="CCEEFF"/>
          </w:tcPr>
          <w:p>
            <w:pPr>
              <w:spacing w:after="0"/>
              <w:rPr>
                <w:sz w:val="15"/>
                <w:szCs w:val="15"/>
                <w:color w:val="auto"/>
              </w:rPr>
            </w:pPr>
          </w:p>
        </w:tc>
        <w:tc>
          <w:tcPr>
            <w:tcW w:w="600" w:type="dxa"/>
            <w:vAlign w:val="bottom"/>
            <w:tcBorders>
              <w:bottom w:val="single" w:sz="8" w:color="auto"/>
            </w:tcBorders>
            <w:shd w:val="clear" w:color="auto" w:fill="CCEEFF"/>
          </w:tcPr>
          <w:p>
            <w:pPr>
              <w:spacing w:after="0"/>
              <w:rPr>
                <w:sz w:val="15"/>
                <w:szCs w:val="15"/>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163.1</w:t>
            </w:r>
          </w:p>
        </w:tc>
        <w:tc>
          <w:tcPr>
            <w:tcW w:w="100" w:type="dxa"/>
            <w:vAlign w:val="bottom"/>
            <w:shd w:val="clear" w:color="auto" w:fill="CCEEFF"/>
          </w:tcPr>
          <w:p>
            <w:pPr>
              <w:spacing w:after="0"/>
              <w:rPr>
                <w:sz w:val="15"/>
                <w:szCs w:val="15"/>
                <w:color w:val="auto"/>
              </w:rPr>
            </w:pPr>
          </w:p>
        </w:tc>
        <w:tc>
          <w:tcPr>
            <w:tcW w:w="660" w:type="dxa"/>
            <w:vAlign w:val="bottom"/>
            <w:tcBorders>
              <w:bottom w:val="single" w:sz="8" w:color="auto"/>
            </w:tcBorders>
            <w:shd w:val="clear" w:color="auto" w:fill="CCEEFF"/>
          </w:tcPr>
          <w:p>
            <w:pPr>
              <w:spacing w:after="0"/>
              <w:rPr>
                <w:sz w:val="15"/>
                <w:szCs w:val="15"/>
                <w:color w:val="auto"/>
              </w:rPr>
            </w:pPr>
          </w:p>
        </w:tc>
        <w:tc>
          <w:tcPr>
            <w:tcW w:w="620" w:type="dxa"/>
            <w:vAlign w:val="bottom"/>
            <w:tcBorders>
              <w:bottom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3.9</w:t>
            </w:r>
          </w:p>
        </w:tc>
      </w:tr>
      <w:tr>
        <w:trPr>
          <w:trHeight w:val="171"/>
        </w:trPr>
        <w:tc>
          <w:tcPr>
            <w:tcW w:w="5960" w:type="dxa"/>
            <w:vAlign w:val="bottom"/>
            <w:tcBorders>
              <w:bottom w:val="single" w:sz="8" w:color="CCEEFF"/>
            </w:tcBorders>
          </w:tcPr>
          <w:p>
            <w:pPr>
              <w:ind w:left="280"/>
              <w:spacing w:after="0"/>
              <w:rPr>
                <w:sz w:val="20"/>
                <w:szCs w:val="20"/>
                <w:color w:val="auto"/>
              </w:rPr>
            </w:pPr>
            <w:r>
              <w:rPr>
                <w:rFonts w:ascii="Times New Roman" w:cs="Times New Roman" w:eastAsia="Times New Roman" w:hAnsi="Times New Roman"/>
                <w:sz w:val="14"/>
                <w:szCs w:val="14"/>
                <w:color w:val="auto"/>
              </w:rPr>
              <w:t>Total</w:t>
            </w:r>
          </w:p>
        </w:tc>
        <w:tc>
          <w:tcPr>
            <w:tcW w:w="4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4,361.5</w:t>
            </w:r>
          </w:p>
        </w:tc>
        <w:tc>
          <w:tcPr>
            <w:tcW w:w="100" w:type="dxa"/>
            <w:vAlign w:val="bottom"/>
            <w:tcBorders>
              <w:bottom w:val="single" w:sz="8" w:color="CCEEFF"/>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rPr>
              <w:t>92.8</w:t>
            </w:r>
          </w:p>
        </w:tc>
        <w:tc>
          <w:tcPr>
            <w:tcW w:w="100" w:type="dxa"/>
            <w:vAlign w:val="bottom"/>
            <w:tcBorders>
              <w:bottom w:val="single" w:sz="8" w:color="CCEEFF"/>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3,852.6</w:t>
            </w:r>
          </w:p>
        </w:tc>
        <w:tc>
          <w:tcPr>
            <w:tcW w:w="100" w:type="dxa"/>
            <w:vAlign w:val="bottom"/>
            <w:tcBorders>
              <w:bottom w:val="single" w:sz="8" w:color="CCEEFF"/>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rPr>
              <w:t>92.3</w:t>
            </w:r>
          </w:p>
        </w:tc>
      </w:tr>
      <w:tr>
        <w:trPr>
          <w:trHeight w:val="171"/>
        </w:trPr>
        <w:tc>
          <w:tcPr>
            <w:tcW w:w="5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 expense, net</w:t>
            </w:r>
          </w:p>
        </w:tc>
        <w:tc>
          <w:tcPr>
            <w:tcW w:w="40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(61.0)</w:t>
            </w:r>
          </w:p>
        </w:tc>
        <w:tc>
          <w:tcPr>
            <w:tcW w:w="1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64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(1.3)</w:t>
            </w: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(52.6)</w:t>
            </w:r>
          </w:p>
        </w:tc>
        <w:tc>
          <w:tcPr>
            <w:tcW w:w="1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62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(1.3)</w:t>
            </w:r>
          </w:p>
        </w:tc>
      </w:tr>
      <w:tr>
        <w:trPr>
          <w:trHeight w:val="180"/>
        </w:trPr>
        <w:tc>
          <w:tcPr>
            <w:tcW w:w="59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Loss on debt extinguishment</w:t>
            </w:r>
          </w:p>
        </w:tc>
        <w:tc>
          <w:tcPr>
            <w:tcW w:w="4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4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spacing w:after="0"/>
              <w:rPr>
                <w:sz w:val="15"/>
                <w:szCs w:val="15"/>
                <w:color w:val="auto"/>
              </w:rPr>
            </w:pPr>
          </w:p>
        </w:tc>
        <w:tc>
          <w:tcPr>
            <w:tcW w:w="1340" w:type="dxa"/>
            <w:vAlign w:val="bottom"/>
            <w:gridSpan w:val="3"/>
          </w:tcPr>
          <w:p>
            <w:pPr>
              <w:jc w:val="right"/>
              <w:ind w:right="82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5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income, net</w:t>
            </w:r>
          </w:p>
        </w:tc>
        <w:tc>
          <w:tcPr>
            <w:tcW w:w="400" w:type="dxa"/>
            <w:vAlign w:val="bottom"/>
            <w:tcBorders>
              <w:bottom w:val="single" w:sz="8" w:color="auto"/>
            </w:tcBorders>
            <w:shd w:val="clear" w:color="auto" w:fill="CCEEFF"/>
          </w:tcPr>
          <w:p>
            <w:pPr>
              <w:spacing w:after="0"/>
              <w:rPr>
                <w:sz w:val="15"/>
                <w:szCs w:val="15"/>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29.2</w:t>
            </w:r>
          </w:p>
        </w:tc>
        <w:tc>
          <w:tcPr>
            <w:tcW w:w="100" w:type="dxa"/>
            <w:vAlign w:val="bottom"/>
            <w:shd w:val="clear" w:color="auto" w:fill="CCEEFF"/>
          </w:tcPr>
          <w:p>
            <w:pPr>
              <w:spacing w:after="0"/>
              <w:rPr>
                <w:sz w:val="15"/>
                <w:szCs w:val="15"/>
                <w:color w:val="auto"/>
              </w:rPr>
            </w:pPr>
          </w:p>
        </w:tc>
        <w:tc>
          <w:tcPr>
            <w:tcW w:w="660" w:type="dxa"/>
            <w:vAlign w:val="bottom"/>
            <w:tcBorders>
              <w:bottom w:val="single" w:sz="8" w:color="auto"/>
            </w:tcBorders>
            <w:shd w:val="clear" w:color="auto" w:fill="CCEEFF"/>
          </w:tcPr>
          <w:p>
            <w:pPr>
              <w:spacing w:after="0"/>
              <w:rPr>
                <w:sz w:val="15"/>
                <w:szCs w:val="15"/>
                <w:color w:val="auto"/>
              </w:rPr>
            </w:pPr>
          </w:p>
        </w:tc>
        <w:tc>
          <w:tcPr>
            <w:tcW w:w="640" w:type="dxa"/>
            <w:vAlign w:val="bottom"/>
            <w:tcBorders>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0.6</w:t>
            </w:r>
          </w:p>
        </w:tc>
        <w:tc>
          <w:tcPr>
            <w:tcW w:w="100" w:type="dxa"/>
            <w:vAlign w:val="bottom"/>
            <w:shd w:val="clear" w:color="auto" w:fill="CCEEFF"/>
          </w:tcPr>
          <w:p>
            <w:pPr>
              <w:spacing w:after="0"/>
              <w:rPr>
                <w:sz w:val="15"/>
                <w:szCs w:val="15"/>
                <w:color w:val="auto"/>
              </w:rPr>
            </w:pPr>
          </w:p>
        </w:tc>
        <w:tc>
          <w:tcPr>
            <w:tcW w:w="600" w:type="dxa"/>
            <w:vAlign w:val="bottom"/>
            <w:tcBorders>
              <w:bottom w:val="single" w:sz="8" w:color="auto"/>
            </w:tcBorders>
            <w:shd w:val="clear" w:color="auto" w:fill="CCEEFF"/>
          </w:tcPr>
          <w:p>
            <w:pPr>
              <w:spacing w:after="0"/>
              <w:rPr>
                <w:sz w:val="15"/>
                <w:szCs w:val="15"/>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21.6</w:t>
            </w:r>
          </w:p>
        </w:tc>
        <w:tc>
          <w:tcPr>
            <w:tcW w:w="100" w:type="dxa"/>
            <w:vAlign w:val="bottom"/>
            <w:shd w:val="clear" w:color="auto" w:fill="CCEEFF"/>
          </w:tcPr>
          <w:p>
            <w:pPr>
              <w:spacing w:after="0"/>
              <w:rPr>
                <w:sz w:val="15"/>
                <w:szCs w:val="15"/>
                <w:color w:val="auto"/>
              </w:rPr>
            </w:pPr>
          </w:p>
        </w:tc>
        <w:tc>
          <w:tcPr>
            <w:tcW w:w="660" w:type="dxa"/>
            <w:vAlign w:val="bottom"/>
            <w:tcBorders>
              <w:bottom w:val="single" w:sz="8" w:color="auto"/>
            </w:tcBorders>
            <w:shd w:val="clear" w:color="auto" w:fill="CCEEFF"/>
          </w:tcPr>
          <w:p>
            <w:pPr>
              <w:spacing w:after="0"/>
              <w:rPr>
                <w:sz w:val="15"/>
                <w:szCs w:val="15"/>
                <w:color w:val="auto"/>
              </w:rPr>
            </w:pPr>
          </w:p>
        </w:tc>
        <w:tc>
          <w:tcPr>
            <w:tcW w:w="620" w:type="dxa"/>
            <w:vAlign w:val="bottom"/>
            <w:tcBorders>
              <w:bottom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0.5</w:t>
            </w:r>
          </w:p>
        </w:tc>
      </w:tr>
      <w:tr>
        <w:trPr>
          <w:trHeight w:val="171"/>
        </w:trPr>
        <w:tc>
          <w:tcPr>
            <w:tcW w:w="59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Income before income taxes</w:t>
            </w:r>
          </w:p>
        </w:tc>
        <w:tc>
          <w:tcPr>
            <w:tcW w:w="4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307.8</w:t>
            </w: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4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6.5</w:t>
            </w: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292.0</w:t>
            </w: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2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7.0</w:t>
            </w:r>
          </w:p>
        </w:tc>
      </w:tr>
      <w:tr>
        <w:trPr>
          <w:trHeight w:val="180"/>
        </w:trPr>
        <w:tc>
          <w:tcPr>
            <w:tcW w:w="5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Provision for income taxes</w:t>
            </w:r>
          </w:p>
        </w:tc>
        <w:tc>
          <w:tcPr>
            <w:tcW w:w="400" w:type="dxa"/>
            <w:vAlign w:val="bottom"/>
            <w:tcBorders>
              <w:bottom w:val="single" w:sz="8" w:color="auto"/>
            </w:tcBorders>
            <w:shd w:val="clear" w:color="auto" w:fill="CCEEFF"/>
          </w:tcPr>
          <w:p>
            <w:pPr>
              <w:spacing w:after="0"/>
              <w:rPr>
                <w:sz w:val="15"/>
                <w:szCs w:val="15"/>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74.4</w:t>
            </w:r>
          </w:p>
        </w:tc>
        <w:tc>
          <w:tcPr>
            <w:tcW w:w="100" w:type="dxa"/>
            <w:vAlign w:val="bottom"/>
            <w:shd w:val="clear" w:color="auto" w:fill="CCEEFF"/>
          </w:tcPr>
          <w:p>
            <w:pPr>
              <w:spacing w:after="0"/>
              <w:rPr>
                <w:sz w:val="15"/>
                <w:szCs w:val="15"/>
                <w:color w:val="auto"/>
              </w:rPr>
            </w:pPr>
          </w:p>
        </w:tc>
        <w:tc>
          <w:tcPr>
            <w:tcW w:w="660" w:type="dxa"/>
            <w:vAlign w:val="bottom"/>
            <w:tcBorders>
              <w:bottom w:val="single" w:sz="8" w:color="auto"/>
            </w:tcBorders>
            <w:shd w:val="clear" w:color="auto" w:fill="CCEEFF"/>
          </w:tcPr>
          <w:p>
            <w:pPr>
              <w:spacing w:after="0"/>
              <w:rPr>
                <w:sz w:val="15"/>
                <w:szCs w:val="15"/>
                <w:color w:val="auto"/>
              </w:rPr>
            </w:pPr>
          </w:p>
        </w:tc>
        <w:tc>
          <w:tcPr>
            <w:tcW w:w="640" w:type="dxa"/>
            <w:vAlign w:val="bottom"/>
            <w:tcBorders>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1.6</w:t>
            </w:r>
          </w:p>
        </w:tc>
        <w:tc>
          <w:tcPr>
            <w:tcW w:w="100" w:type="dxa"/>
            <w:vAlign w:val="bottom"/>
            <w:shd w:val="clear" w:color="auto" w:fill="CCEEFF"/>
          </w:tcPr>
          <w:p>
            <w:pPr>
              <w:spacing w:after="0"/>
              <w:rPr>
                <w:sz w:val="15"/>
                <w:szCs w:val="15"/>
                <w:color w:val="auto"/>
              </w:rPr>
            </w:pPr>
          </w:p>
        </w:tc>
        <w:tc>
          <w:tcPr>
            <w:tcW w:w="600" w:type="dxa"/>
            <w:vAlign w:val="bottom"/>
            <w:tcBorders>
              <w:bottom w:val="single" w:sz="8" w:color="auto"/>
            </w:tcBorders>
            <w:shd w:val="clear" w:color="auto" w:fill="CCEEFF"/>
          </w:tcPr>
          <w:p>
            <w:pPr>
              <w:spacing w:after="0"/>
              <w:rPr>
                <w:sz w:val="15"/>
                <w:szCs w:val="15"/>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73.1</w:t>
            </w:r>
          </w:p>
        </w:tc>
        <w:tc>
          <w:tcPr>
            <w:tcW w:w="100" w:type="dxa"/>
            <w:vAlign w:val="bottom"/>
            <w:shd w:val="clear" w:color="auto" w:fill="CCEEFF"/>
          </w:tcPr>
          <w:p>
            <w:pPr>
              <w:spacing w:after="0"/>
              <w:rPr>
                <w:sz w:val="15"/>
                <w:szCs w:val="15"/>
                <w:color w:val="auto"/>
              </w:rPr>
            </w:pPr>
          </w:p>
        </w:tc>
        <w:tc>
          <w:tcPr>
            <w:tcW w:w="660" w:type="dxa"/>
            <w:vAlign w:val="bottom"/>
            <w:tcBorders>
              <w:bottom w:val="single" w:sz="8" w:color="auto"/>
            </w:tcBorders>
            <w:shd w:val="clear" w:color="auto" w:fill="CCEEFF"/>
          </w:tcPr>
          <w:p>
            <w:pPr>
              <w:spacing w:after="0"/>
              <w:rPr>
                <w:sz w:val="15"/>
                <w:szCs w:val="15"/>
                <w:color w:val="auto"/>
              </w:rPr>
            </w:pPr>
          </w:p>
        </w:tc>
        <w:tc>
          <w:tcPr>
            <w:tcW w:w="620" w:type="dxa"/>
            <w:vAlign w:val="bottom"/>
            <w:tcBorders>
              <w:bottom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1.8</w:t>
            </w:r>
          </w:p>
        </w:tc>
      </w:tr>
      <w:tr>
        <w:trPr>
          <w:trHeight w:val="171"/>
        </w:trPr>
        <w:tc>
          <w:tcPr>
            <w:tcW w:w="59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400" w:type="dxa"/>
            <w:vAlign w:val="bottom"/>
            <w:tcBorders>
              <w:bottom w:val="single" w:sz="8" w:color="auto"/>
            </w:tcBorders>
          </w:tcPr>
          <w:p>
            <w:pPr>
              <w:jc w:val="right"/>
              <w:ind w:right="249"/>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233.4</w:t>
            </w:r>
          </w:p>
        </w:tc>
        <w:tc>
          <w:tcPr>
            <w:tcW w:w="100" w:type="dxa"/>
            <w:vAlign w:val="bottom"/>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5.0 %</w:t>
            </w:r>
          </w:p>
        </w:tc>
        <w:tc>
          <w:tcPr>
            <w:tcW w:w="100" w:type="dxa"/>
            <w:vAlign w:val="bottom"/>
          </w:tcPr>
          <w:p>
            <w:pPr>
              <w:spacing w:after="0"/>
              <w:rPr>
                <w:sz w:val="14"/>
                <w:szCs w:val="14"/>
                <w:color w:val="auto"/>
              </w:rPr>
            </w:pPr>
          </w:p>
        </w:tc>
        <w:tc>
          <w:tcPr>
            <w:tcW w:w="600" w:type="dxa"/>
            <w:vAlign w:val="bottom"/>
            <w:tcBorders>
              <w:bottom w:val="single" w:sz="8" w:color="auto"/>
            </w:tcBorders>
          </w:tcPr>
          <w:p>
            <w:pPr>
              <w:jc w:val="right"/>
              <w:ind w:right="449"/>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218.9</w:t>
            </w:r>
          </w:p>
        </w:tc>
        <w:tc>
          <w:tcPr>
            <w:tcW w:w="100" w:type="dxa"/>
            <w:vAlign w:val="bottom"/>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5.2 %</w:t>
            </w:r>
          </w:p>
        </w:tc>
      </w:tr>
      <w:tr>
        <w:trPr>
          <w:trHeight w:val="20"/>
        </w:trPr>
        <w:tc>
          <w:tcPr>
            <w:tcW w:w="59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bl>
    <w:p>
      <w:pPr>
        <w:spacing w:after="0" w:line="259" w:lineRule="exact"/>
        <w:rPr>
          <w:sz w:val="20"/>
          <w:szCs w:val="20"/>
          <w:color w:val="auto"/>
        </w:rPr>
      </w:pPr>
    </w:p>
    <w:p>
      <w:pPr>
        <w:ind w:right="260" w:firstLine="255"/>
        <w:spacing w:after="0" w:line="271" w:lineRule="auto"/>
        <w:rPr>
          <w:sz w:val="20"/>
          <w:szCs w:val="20"/>
          <w:color w:val="auto"/>
        </w:rPr>
      </w:pPr>
      <w:r>
        <w:rPr>
          <w:rFonts w:ascii="Times New Roman" w:cs="Times New Roman" w:eastAsia="Times New Roman" w:hAnsi="Times New Roman"/>
          <w:sz w:val="14"/>
          <w:szCs w:val="14"/>
          <w:i w:val="1"/>
          <w:iCs w:val="1"/>
          <w:color w:val="auto"/>
        </w:rPr>
        <w:t xml:space="preserve">Contract Revenues. </w:t>
      </w:r>
      <w:r>
        <w:rPr>
          <w:rFonts w:ascii="Times New Roman" w:cs="Times New Roman" w:eastAsia="Times New Roman" w:hAnsi="Times New Roman"/>
          <w:sz w:val="14"/>
          <w:szCs w:val="14"/>
          <w:color w:val="auto"/>
        </w:rPr>
        <w:t>Contract revenues were $4.702 billion during fiscal 2025 compared to $4.176 billion during fiscal 2024. Contract revenues from acquired businesses were $379.7 million</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during fiscal 2025 and $102.7 million during fiscal 2024. Acquired revenues represent contract revenues from acquired businesses that were not owned for the full period in both the current and comparable prior periods.</w:t>
      </w:r>
    </w:p>
    <w:p>
      <w:pPr>
        <w:spacing w:after="0" w:line="157" w:lineRule="exact"/>
        <w:rPr>
          <w:sz w:val="20"/>
          <w:szCs w:val="20"/>
          <w:color w:val="auto"/>
        </w:rPr>
      </w:pPr>
    </w:p>
    <w:p>
      <w:pPr>
        <w:ind w:right="140" w:firstLine="255"/>
        <w:spacing w:after="0" w:line="264" w:lineRule="auto"/>
        <w:rPr>
          <w:sz w:val="20"/>
          <w:szCs w:val="20"/>
          <w:color w:val="auto"/>
        </w:rPr>
      </w:pPr>
      <w:r>
        <w:rPr>
          <w:rFonts w:ascii="Times New Roman" w:cs="Times New Roman" w:eastAsia="Times New Roman" w:hAnsi="Times New Roman"/>
          <w:sz w:val="14"/>
          <w:szCs w:val="14"/>
          <w:color w:val="auto"/>
        </w:rPr>
        <w:t>Excluding amounts generated by the acquired businesses, contract revenues increased by $249.4 million during fiscal 2025 compared to fiscal 2024. Contract revenues increased by $163.5 million for a large telecommunications customer improving its network, by $118.8 million for another customer deploying fiber, by $114.8 million for a telecommunication customer primarily for fiber deployments, and $56.8 million for another telecommunications customer. Contracts revenue decreased by $86.7 million and $80.2 million for two large telecommunication customers, and by $63.9 million for a rural telecommunications customer. All other customers had net increases in contract revenues of $26.3 million on a combined basis during fiscal 2025 compared to fiscal 2024.</w:t>
      </w:r>
    </w:p>
    <w:p>
      <w:pPr>
        <w:spacing w:after="0" w:line="162" w:lineRule="exact"/>
        <w:rPr>
          <w:sz w:val="20"/>
          <w:szCs w:val="20"/>
          <w:color w:val="auto"/>
        </w:rPr>
      </w:pPr>
    </w:p>
    <w:p>
      <w:pPr>
        <w:ind w:firstLine="255"/>
        <w:spacing w:after="0" w:line="287" w:lineRule="auto"/>
        <w:rPr>
          <w:sz w:val="20"/>
          <w:szCs w:val="20"/>
          <w:color w:val="auto"/>
        </w:rPr>
      </w:pPr>
      <w:r>
        <w:rPr>
          <w:rFonts w:ascii="Times New Roman" w:cs="Times New Roman" w:eastAsia="Times New Roman" w:hAnsi="Times New Roman"/>
          <w:sz w:val="14"/>
          <w:szCs w:val="14"/>
          <w:color w:val="auto"/>
        </w:rPr>
        <w:t>The percentage of our contract revenues by customer type from telecommunications, underground facility locating, and electric and gas utilities and other customers, was 90.4%, 6.7%, and 2.9%, respectively, for fiscal 2025 compared to 89.6%, 7.1%, and 3.3%, respectively, for fiscal 2024.</w:t>
      </w:r>
    </w:p>
    <w:p>
      <w:pPr>
        <w:spacing w:after="0" w:line="3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5"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right="40" w:firstLine="255"/>
        <w:spacing w:after="0" w:line="271" w:lineRule="auto"/>
        <w:rPr>
          <w:sz w:val="20"/>
          <w:szCs w:val="20"/>
          <w:color w:val="auto"/>
        </w:rPr>
      </w:pPr>
      <w:r>
        <w:rPr>
          <w:rFonts w:ascii="Times New Roman" w:cs="Times New Roman" w:eastAsia="Times New Roman" w:hAnsi="Times New Roman"/>
          <w:sz w:val="14"/>
          <w:szCs w:val="14"/>
          <w:i w:val="1"/>
          <w:iCs w:val="1"/>
          <w:color w:val="auto"/>
        </w:rPr>
        <w:t xml:space="preserve">Costs of Earned Revenues. </w:t>
      </w:r>
      <w:r>
        <w:rPr>
          <w:rFonts w:ascii="Times New Roman" w:cs="Times New Roman" w:eastAsia="Times New Roman" w:hAnsi="Times New Roman"/>
          <w:sz w:val="14"/>
          <w:szCs w:val="14"/>
          <w:color w:val="auto"/>
        </w:rPr>
        <w:t>Costs of earned revenues increased to $3.770 billion, or 80.2% of contract revenues, during fiscal 2025 compared to $3.362 billion, or 80.5% of contract revenues,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during fiscal 2024. The primary component of the increase was a $403.0 million aggregate increase in direct labor and subcontractor costs. The increase was further due to a $21.0 million increase in other direct costs and a $1.4 million increase in equipment maintenance and fuel costs combined, partially offset by a $17.3 million decrease in direct materials.</w:t>
      </w:r>
    </w:p>
    <w:p>
      <w:pPr>
        <w:spacing w:after="0" w:line="157" w:lineRule="exact"/>
        <w:rPr>
          <w:sz w:val="20"/>
          <w:szCs w:val="20"/>
          <w:color w:val="auto"/>
        </w:rPr>
      </w:pPr>
    </w:p>
    <w:p>
      <w:pPr>
        <w:ind w:right="100" w:firstLine="255"/>
        <w:spacing w:after="0" w:line="270" w:lineRule="auto"/>
        <w:rPr>
          <w:sz w:val="20"/>
          <w:szCs w:val="20"/>
          <w:color w:val="auto"/>
        </w:rPr>
      </w:pPr>
      <w:r>
        <w:rPr>
          <w:rFonts w:ascii="Times New Roman" w:cs="Times New Roman" w:eastAsia="Times New Roman" w:hAnsi="Times New Roman"/>
          <w:sz w:val="14"/>
          <w:szCs w:val="14"/>
          <w:color w:val="auto"/>
        </w:rPr>
        <w:t>Costs of earned revenues as a percentage of contract revenues decreased 0.3% during fiscal 2025 compared to fiscal 2024. As a percentage of contract revenues, direct materials decreased 1.1% primarily as a result of our mix of work in which we provide materials for our customers and other direct costs decreased 0.2% as a percentage of contract revenues during fiscal 2025. Equipment maintenance and fuel costs combined decreased 0.4% as a percentage of contract revenues. Labor and subcontracted labor costs increased 1.4% primarily due to the mix of work performed.</w:t>
      </w:r>
    </w:p>
    <w:p>
      <w:pPr>
        <w:spacing w:after="0" w:line="155" w:lineRule="exact"/>
        <w:rPr>
          <w:sz w:val="20"/>
          <w:szCs w:val="20"/>
          <w:color w:val="auto"/>
        </w:rPr>
      </w:pPr>
    </w:p>
    <w:p>
      <w:pPr>
        <w:ind w:right="60" w:firstLine="255"/>
        <w:spacing w:after="0" w:line="265" w:lineRule="auto"/>
        <w:rPr>
          <w:sz w:val="20"/>
          <w:szCs w:val="20"/>
          <w:color w:val="auto"/>
        </w:rPr>
      </w:pPr>
      <w:r>
        <w:rPr>
          <w:rFonts w:ascii="Times New Roman" w:cs="Times New Roman" w:eastAsia="Times New Roman" w:hAnsi="Times New Roman"/>
          <w:sz w:val="14"/>
          <w:szCs w:val="14"/>
          <w:i w:val="1"/>
          <w:iCs w:val="1"/>
          <w:color w:val="auto"/>
        </w:rPr>
        <w:t xml:space="preserve">General and Administrative Expenses. </w:t>
      </w:r>
      <w:r>
        <w:rPr>
          <w:rFonts w:ascii="Times New Roman" w:cs="Times New Roman" w:eastAsia="Times New Roman" w:hAnsi="Times New Roman"/>
          <w:sz w:val="14"/>
          <w:szCs w:val="14"/>
          <w:color w:val="auto"/>
        </w:rPr>
        <w:t>General and administrative expenses increased to $393.0 million, or 8.4% of contract revenues, during fiscal 2025 compared to $327.7 million, or 7.8% of</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contract revenues, during fiscal 2024. The increase in total general and administrative expenses primarily resulted from increased administrative, payroll, performance based compensation,</w:t>
      </w:r>
    </w:p>
    <w:p>
      <w:pPr>
        <w:ind w:right="280"/>
        <w:spacing w:after="0" w:line="266" w:lineRule="auto"/>
        <w:rPr>
          <w:sz w:val="20"/>
          <w:szCs w:val="20"/>
          <w:color w:val="auto"/>
        </w:rPr>
      </w:pPr>
      <w:r>
        <w:rPr>
          <w:rFonts w:ascii="Times New Roman" w:cs="Times New Roman" w:eastAsia="Times New Roman" w:hAnsi="Times New Roman"/>
          <w:sz w:val="14"/>
          <w:szCs w:val="14"/>
          <w:color w:val="auto"/>
        </w:rPr>
        <w:t xml:space="preserve">$11.4 million incremental stock based compensation expense resulting from the CEO transition, acquisition costs, $4.2 million acquisition integration costs and other costs, including incremental general administrative expenses from acquired businesses. See Note 19, </w:t>
      </w:r>
      <w:r>
        <w:rPr>
          <w:rFonts w:ascii="Times New Roman" w:cs="Times New Roman" w:eastAsia="Times New Roman" w:hAnsi="Times New Roman"/>
          <w:sz w:val="14"/>
          <w:szCs w:val="14"/>
          <w:i w:val="1"/>
          <w:iCs w:val="1"/>
          <w:color w:val="auto"/>
        </w:rPr>
        <w:t>Stock-Based Awards,</w:t>
      </w:r>
      <w:r>
        <w:rPr>
          <w:rFonts w:ascii="Times New Roman" w:cs="Times New Roman" w:eastAsia="Times New Roman" w:hAnsi="Times New Roman"/>
          <w:sz w:val="14"/>
          <w:szCs w:val="14"/>
          <w:color w:val="auto"/>
        </w:rPr>
        <w:t xml:space="preserve"> for additional information regarding the CEO transition.</w:t>
      </w:r>
    </w:p>
    <w:p>
      <w:pPr>
        <w:spacing w:after="0" w:line="157" w:lineRule="exact"/>
        <w:rPr>
          <w:sz w:val="20"/>
          <w:szCs w:val="20"/>
          <w:color w:val="auto"/>
        </w:rPr>
      </w:pPr>
    </w:p>
    <w:p>
      <w:pPr>
        <w:ind w:firstLine="255"/>
        <w:spacing w:after="0" w:line="265" w:lineRule="auto"/>
        <w:rPr>
          <w:sz w:val="20"/>
          <w:szCs w:val="20"/>
          <w:color w:val="auto"/>
        </w:rPr>
      </w:pPr>
      <w:r>
        <w:rPr>
          <w:rFonts w:ascii="Times New Roman" w:cs="Times New Roman" w:eastAsia="Times New Roman" w:hAnsi="Times New Roman"/>
          <w:sz w:val="14"/>
          <w:szCs w:val="14"/>
          <w:i w:val="1"/>
          <w:iCs w:val="1"/>
          <w:color w:val="auto"/>
        </w:rPr>
        <w:t xml:space="preserve">Depreciation and Amortization. </w:t>
      </w:r>
      <w:r>
        <w:rPr>
          <w:rFonts w:ascii="Times New Roman" w:cs="Times New Roman" w:eastAsia="Times New Roman" w:hAnsi="Times New Roman"/>
          <w:sz w:val="14"/>
          <w:szCs w:val="14"/>
          <w:color w:val="auto"/>
        </w:rPr>
        <w:t>Depreciation expense was $167.2 million, or 3.6% of contract revenues, during fiscal 2025, compared to $143.3 million, or 3.4% of contract revenues, during</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fiscal 2024. The increase in depreciation expense during fiscal 2025 was primarily due to higher capital expenditures to support our growth in operations, normal replacement cycle of fleet assets, and depreciation from acquired businesses. Amortization expense was $31.4 million and $19.8 million during fiscal 2025 and fiscal 2024, respectively. The increase in amortization expense during fiscal 2025 is due to the increase in amortizing intangibles from acquired businesses.</w:t>
      </w:r>
    </w:p>
    <w:p>
      <w:pPr>
        <w:spacing w:after="0" w:line="159" w:lineRule="exact"/>
        <w:rPr>
          <w:sz w:val="20"/>
          <w:szCs w:val="20"/>
          <w:color w:val="auto"/>
        </w:rPr>
      </w:pPr>
    </w:p>
    <w:p>
      <w:pPr>
        <w:ind w:right="240" w:firstLine="255"/>
        <w:spacing w:after="0" w:line="290" w:lineRule="auto"/>
        <w:rPr>
          <w:sz w:val="20"/>
          <w:szCs w:val="20"/>
          <w:color w:val="auto"/>
        </w:rPr>
      </w:pPr>
      <w:r>
        <w:rPr>
          <w:rFonts w:ascii="Times New Roman" w:cs="Times New Roman" w:eastAsia="Times New Roman" w:hAnsi="Times New Roman"/>
          <w:sz w:val="14"/>
          <w:szCs w:val="14"/>
          <w:i w:val="1"/>
          <w:iCs w:val="1"/>
          <w:color w:val="auto"/>
        </w:rPr>
        <w:t xml:space="preserve">Interest Expense, Net. </w:t>
      </w:r>
      <w:r>
        <w:rPr>
          <w:rFonts w:ascii="Times New Roman" w:cs="Times New Roman" w:eastAsia="Times New Roman" w:hAnsi="Times New Roman"/>
          <w:sz w:val="14"/>
          <w:szCs w:val="14"/>
          <w:color w:val="auto"/>
        </w:rPr>
        <w:t>Interest expense, net increased to $61.0 million during fiscal 2025 from $52.6 million during fiscal 2024 as a result of higher outstanding borrowings during the current</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period and lower interest income on invested cash balances.</w:t>
      </w:r>
    </w:p>
    <w:p>
      <w:pPr>
        <w:spacing w:after="0" w:line="141" w:lineRule="exact"/>
        <w:rPr>
          <w:sz w:val="20"/>
          <w:szCs w:val="20"/>
          <w:color w:val="auto"/>
        </w:rPr>
      </w:pPr>
    </w:p>
    <w:p>
      <w:pPr>
        <w:ind w:right="320" w:firstLine="255"/>
        <w:spacing w:after="0" w:line="290" w:lineRule="auto"/>
        <w:rPr>
          <w:sz w:val="20"/>
          <w:szCs w:val="20"/>
          <w:color w:val="auto"/>
        </w:rPr>
      </w:pPr>
      <w:r>
        <w:rPr>
          <w:rFonts w:ascii="Times New Roman" w:cs="Times New Roman" w:eastAsia="Times New Roman" w:hAnsi="Times New Roman"/>
          <w:sz w:val="14"/>
          <w:szCs w:val="14"/>
          <w:i w:val="1"/>
          <w:iCs w:val="1"/>
          <w:color w:val="auto"/>
        </w:rPr>
        <w:t xml:space="preserve">Loss on Debt Extinguishment. </w:t>
      </w:r>
      <w:r>
        <w:rPr>
          <w:rFonts w:ascii="Times New Roman" w:cs="Times New Roman" w:eastAsia="Times New Roman" w:hAnsi="Times New Roman"/>
          <w:sz w:val="14"/>
          <w:szCs w:val="14"/>
          <w:color w:val="auto"/>
        </w:rPr>
        <w:t>Loss on debt extinguishment during fiscal 2025 of $1.0 million includes the write-off of deferred debt issuance costs in connection with the Credit Agreement</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amendment. See “</w:t>
      </w:r>
      <w:r>
        <w:rPr>
          <w:rFonts w:ascii="Times New Roman" w:cs="Times New Roman" w:eastAsia="Times New Roman" w:hAnsi="Times New Roman"/>
          <w:sz w:val="14"/>
          <w:szCs w:val="14"/>
          <w:i w:val="1"/>
          <w:iCs w:val="1"/>
          <w:color w:val="auto"/>
        </w:rPr>
        <w:t>Liquidity and Capital Resources - Compliance with Credit Agreement</w:t>
      </w:r>
      <w:r>
        <w:rPr>
          <w:rFonts w:ascii="Times New Roman" w:cs="Times New Roman" w:eastAsia="Times New Roman" w:hAnsi="Times New Roman"/>
          <w:sz w:val="14"/>
          <w:szCs w:val="14"/>
          <w:color w:val="auto"/>
        </w:rPr>
        <w:t>” for more information.</w:t>
      </w:r>
    </w:p>
    <w:p>
      <w:pPr>
        <w:spacing w:after="0" w:line="141" w:lineRule="exact"/>
        <w:rPr>
          <w:sz w:val="20"/>
          <w:szCs w:val="20"/>
          <w:color w:val="auto"/>
        </w:rPr>
      </w:pPr>
    </w:p>
    <w:p>
      <w:pPr>
        <w:ind w:right="400" w:firstLine="255"/>
        <w:spacing w:after="0" w:line="271" w:lineRule="auto"/>
        <w:rPr>
          <w:sz w:val="20"/>
          <w:szCs w:val="20"/>
          <w:color w:val="auto"/>
        </w:rPr>
      </w:pPr>
      <w:r>
        <w:rPr>
          <w:rFonts w:ascii="Times New Roman" w:cs="Times New Roman" w:eastAsia="Times New Roman" w:hAnsi="Times New Roman"/>
          <w:sz w:val="14"/>
          <w:szCs w:val="14"/>
          <w:i w:val="1"/>
          <w:iCs w:val="1"/>
          <w:color w:val="auto"/>
        </w:rPr>
        <w:t xml:space="preserve">Other Income, Net. </w:t>
      </w:r>
      <w:r>
        <w:rPr>
          <w:rFonts w:ascii="Times New Roman" w:cs="Times New Roman" w:eastAsia="Times New Roman" w:hAnsi="Times New Roman"/>
          <w:sz w:val="14"/>
          <w:szCs w:val="14"/>
          <w:color w:val="auto"/>
        </w:rPr>
        <w:t>Other income, net was $29.2 million and $21.6 million during fiscal 2025 and fiscal 2024, respectively. The change in other income, net was primarily a function of the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number of assets sold and prices obtained for those assets during each respective period. Gain on sale of fixed assets was $36.5 million and $28.3 million during fiscal 2025 and fiscal 2024, respectively. Other income, net also includes expense associated with the non-recourse sale of accounts receivable under a customer-sponsored vendor payment program.</w:t>
      </w:r>
    </w:p>
    <w:p>
      <w:pPr>
        <w:spacing w:after="0" w:line="15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i w:val="1"/>
          <w:iCs w:val="1"/>
          <w:color w:val="auto"/>
        </w:rPr>
        <w:t xml:space="preserve">Income Taxes. </w:t>
      </w:r>
      <w:r>
        <w:rPr>
          <w:rFonts w:ascii="Times New Roman" w:cs="Times New Roman" w:eastAsia="Times New Roman" w:hAnsi="Times New Roman"/>
          <w:sz w:val="14"/>
          <w:szCs w:val="14"/>
          <w:color w:val="auto"/>
        </w:rPr>
        <w:t>The following table presents our income tax provision and effective income tax rate for fiscal 2025 and fiscal 2024 (dollars in millions):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6500" w:type="dxa"/>
            <w:vAlign w:val="bottom"/>
          </w:tcPr>
          <w:p>
            <w:pPr>
              <w:spacing w:after="0"/>
              <w:rPr>
                <w:sz w:val="16"/>
                <w:szCs w:val="16"/>
                <w:color w:val="auto"/>
              </w:rPr>
            </w:pPr>
          </w:p>
        </w:tc>
        <w:tc>
          <w:tcPr>
            <w:tcW w:w="17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Fiscal Year Ended</w:t>
            </w:r>
          </w:p>
        </w:tc>
        <w:tc>
          <w:tcPr>
            <w:tcW w:w="1740" w:type="dxa"/>
            <w:vAlign w:val="bottom"/>
            <w:tcBorders>
              <w:bottom w:val="single" w:sz="8" w:color="auto"/>
            </w:tcBorders>
          </w:tcPr>
          <w:p>
            <w:pPr>
              <w:spacing w:after="0"/>
              <w:rPr>
                <w:sz w:val="16"/>
                <w:szCs w:val="16"/>
                <w:color w:val="auto"/>
              </w:rPr>
            </w:pPr>
          </w:p>
        </w:tc>
      </w:tr>
      <w:tr>
        <w:trPr>
          <w:trHeight w:val="182"/>
        </w:trPr>
        <w:tc>
          <w:tcPr>
            <w:tcW w:w="6500" w:type="dxa"/>
            <w:vAlign w:val="bottom"/>
            <w:tcBorders>
              <w:bottom w:val="single" w:sz="8" w:color="CCEEFF"/>
            </w:tcBorders>
          </w:tcPr>
          <w:p>
            <w:pPr>
              <w:spacing w:after="0"/>
              <w:rPr>
                <w:sz w:val="15"/>
                <w:szCs w:val="15"/>
                <w:color w:val="auto"/>
              </w:rPr>
            </w:pPr>
          </w:p>
        </w:tc>
        <w:tc>
          <w:tcPr>
            <w:tcW w:w="176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January 25, 2025</w:t>
            </w:r>
          </w:p>
        </w:tc>
        <w:tc>
          <w:tcPr>
            <w:tcW w:w="56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7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4"/>
                <w:szCs w:val="14"/>
                <w:b w:val="1"/>
                <w:bCs w:val="1"/>
                <w:color w:val="auto"/>
              </w:rPr>
              <w:t>January 27, 2024</w:t>
            </w:r>
          </w:p>
        </w:tc>
      </w:tr>
      <w:tr>
        <w:trPr>
          <w:trHeight w:val="180"/>
        </w:trPr>
        <w:tc>
          <w:tcPr>
            <w:tcW w:w="6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Income tax provision</w:t>
            </w:r>
          </w:p>
        </w:tc>
        <w:tc>
          <w:tcPr>
            <w:tcW w:w="1760" w:type="dxa"/>
            <w:vAlign w:val="bottom"/>
            <w:shd w:val="clear" w:color="auto" w:fill="CCEEFF"/>
          </w:tcPr>
          <w:p>
            <w:pPr>
              <w:jc w:val="right"/>
              <w:ind w:right="1589"/>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74.4</w:t>
            </w: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jc w:val="right"/>
              <w:ind w:right="429"/>
              <w:spacing w:after="0"/>
              <w:rPr>
                <w:sz w:val="20"/>
                <w:szCs w:val="20"/>
                <w:color w:val="auto"/>
              </w:rPr>
            </w:pPr>
            <w:r>
              <w:rPr>
                <w:rFonts w:ascii="Times New Roman" w:cs="Times New Roman" w:eastAsia="Times New Roman" w:hAnsi="Times New Roman"/>
                <w:sz w:val="14"/>
                <w:szCs w:val="14"/>
                <w:color w:val="auto"/>
                <w:w w:val="85"/>
              </w:rPr>
              <w:t>$</w:t>
            </w:r>
          </w:p>
        </w:tc>
        <w:tc>
          <w:tcPr>
            <w:tcW w:w="1740" w:type="dxa"/>
            <w:vAlign w:val="bottom"/>
            <w:shd w:val="clear" w:color="auto" w:fill="CCEEFF"/>
          </w:tcPr>
          <w:p>
            <w:pPr>
              <w:ind w:left="1320"/>
              <w:spacing w:after="0"/>
              <w:rPr>
                <w:sz w:val="20"/>
                <w:szCs w:val="20"/>
                <w:color w:val="auto"/>
              </w:rPr>
            </w:pPr>
            <w:r>
              <w:rPr>
                <w:rFonts w:ascii="Times New Roman" w:cs="Times New Roman" w:eastAsia="Times New Roman" w:hAnsi="Times New Roman"/>
                <w:sz w:val="14"/>
                <w:szCs w:val="14"/>
                <w:color w:val="auto"/>
              </w:rPr>
              <w:t>73.1</w:t>
            </w:r>
          </w:p>
        </w:tc>
      </w:tr>
      <w:tr>
        <w:trPr>
          <w:trHeight w:val="184"/>
        </w:trPr>
        <w:tc>
          <w:tcPr>
            <w:tcW w:w="6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Effective income tax rate</w:t>
            </w:r>
          </w:p>
        </w:tc>
        <w:tc>
          <w:tcPr>
            <w:tcW w:w="1760" w:type="dxa"/>
            <w:vAlign w:val="bottom"/>
          </w:tcPr>
          <w:p>
            <w:pPr>
              <w:spacing w:after="0"/>
              <w:rPr>
                <w:sz w:val="16"/>
                <w:szCs w:val="16"/>
                <w:color w:val="auto"/>
              </w:rPr>
            </w:pPr>
          </w:p>
        </w:tc>
        <w:tc>
          <w:tcPr>
            <w:tcW w:w="5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24.2 %</w:t>
            </w: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740" w:type="dxa"/>
            <w:vAlign w:val="bottom"/>
          </w:tcPr>
          <w:p>
            <w:pPr>
              <w:ind w:left="1320"/>
              <w:spacing w:after="0"/>
              <w:rPr>
                <w:sz w:val="20"/>
                <w:szCs w:val="20"/>
                <w:color w:val="auto"/>
              </w:rPr>
            </w:pPr>
            <w:r>
              <w:rPr>
                <w:rFonts w:ascii="Times New Roman" w:cs="Times New Roman" w:eastAsia="Times New Roman" w:hAnsi="Times New Roman"/>
                <w:sz w:val="14"/>
                <w:szCs w:val="14"/>
                <w:color w:val="auto"/>
              </w:rPr>
              <w:t>25.0 %</w:t>
            </w:r>
          </w:p>
        </w:tc>
      </w:tr>
    </w:tbl>
    <w:p>
      <w:pPr>
        <w:spacing w:after="0" w:line="258" w:lineRule="exact"/>
        <w:rPr>
          <w:sz w:val="20"/>
          <w:szCs w:val="20"/>
          <w:color w:val="auto"/>
        </w:rPr>
      </w:pPr>
    </w:p>
    <w:p>
      <w:pPr>
        <w:ind w:right="280" w:firstLine="255"/>
        <w:spacing w:after="0" w:line="287" w:lineRule="auto"/>
        <w:rPr>
          <w:sz w:val="20"/>
          <w:szCs w:val="20"/>
          <w:color w:val="auto"/>
        </w:rPr>
      </w:pPr>
      <w:r>
        <w:rPr>
          <w:rFonts w:ascii="Times New Roman" w:cs="Times New Roman" w:eastAsia="Times New Roman" w:hAnsi="Times New Roman"/>
          <w:sz w:val="14"/>
          <w:szCs w:val="14"/>
          <w:color w:val="auto"/>
        </w:rPr>
        <w:t>Our effective income tax rate differs from the statutory rate primarily due to the difference in income tax rates from state to state where work was performed, non-deductible and non-taxable items, tax credits recognized, the tax effects of the vesting and exercise of share-based awards, and changes in unrecognized tax benefits.</w:t>
      </w:r>
    </w:p>
    <w:p>
      <w:pPr>
        <w:spacing w:after="0" w:line="14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i w:val="1"/>
          <w:iCs w:val="1"/>
          <w:color w:val="auto"/>
        </w:rPr>
        <w:t xml:space="preserve">Net Income. </w:t>
      </w:r>
      <w:r>
        <w:rPr>
          <w:rFonts w:ascii="Times New Roman" w:cs="Times New Roman" w:eastAsia="Times New Roman" w:hAnsi="Times New Roman"/>
          <w:sz w:val="14"/>
          <w:szCs w:val="14"/>
          <w:color w:val="auto"/>
        </w:rPr>
        <w:t>Net income was $233.4 million for fiscal 2025 compared to $218.9 million for fiscal 2024.</w:t>
      </w:r>
    </w:p>
    <w:p>
      <w:pPr>
        <w:spacing w:after="0" w:line="200" w:lineRule="exact"/>
        <w:rPr>
          <w:sz w:val="20"/>
          <w:szCs w:val="20"/>
          <w:color w:val="auto"/>
        </w:rPr>
      </w:pPr>
    </w:p>
    <w:p>
      <w:pPr>
        <w:ind w:right="500" w:firstLine="255"/>
        <w:spacing w:after="0" w:line="290" w:lineRule="auto"/>
        <w:rPr>
          <w:sz w:val="20"/>
          <w:szCs w:val="20"/>
          <w:color w:val="auto"/>
        </w:rPr>
      </w:pPr>
      <w:r>
        <w:rPr>
          <w:rFonts w:ascii="Times New Roman" w:cs="Times New Roman" w:eastAsia="Times New Roman" w:hAnsi="Times New Roman"/>
          <w:sz w:val="14"/>
          <w:szCs w:val="14"/>
          <w:i w:val="1"/>
          <w:iCs w:val="1"/>
          <w:color w:val="auto"/>
        </w:rPr>
        <w:t xml:space="preserve">Non-GAAP Adjusted EBITDA. </w:t>
      </w:r>
      <w:r>
        <w:rPr>
          <w:rFonts w:ascii="Times New Roman" w:cs="Times New Roman" w:eastAsia="Times New Roman" w:hAnsi="Times New Roman"/>
          <w:sz w:val="14"/>
          <w:szCs w:val="14"/>
          <w:color w:val="auto"/>
        </w:rPr>
        <w:t>Adjusted EBITDA is a Non-GAAP measure, as defined by Regulation G of the SEC. We define Adjusted EBITDA as net income before interest, taxes,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depreciation and amortization, gain on sale of fixed assets, stock-based compensation expense, and certain non-recurring items. Management believes Adjusted EBITDA is a helpful measure</w:t>
      </w:r>
    </w:p>
    <w:p>
      <w:pPr>
        <w:spacing w:after="0" w:line="3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5"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44" w:lineRule="exact"/>
        <w:rPr>
          <w:sz w:val="20"/>
          <w:szCs w:val="20"/>
          <w:color w:val="auto"/>
        </w:rPr>
      </w:pPr>
    </w:p>
    <w:p>
      <w:pPr>
        <w:ind w:right="80"/>
        <w:spacing w:after="0" w:line="275" w:lineRule="auto"/>
        <w:rPr>
          <w:sz w:val="20"/>
          <w:szCs w:val="20"/>
          <w:color w:val="auto"/>
        </w:rPr>
      </w:pPr>
      <w:r>
        <w:rPr>
          <w:rFonts w:ascii="Times New Roman" w:cs="Times New Roman" w:eastAsia="Times New Roman" w:hAnsi="Times New Roman"/>
          <w:sz w:val="14"/>
          <w:szCs w:val="14"/>
          <w:color w:val="auto"/>
        </w:rPr>
        <w:t>for comparing the Company’s operating performance with prior periods as well as with the performance of other companies with different capital structures or tax rates. The following table provides a reconciliation of net income to Non-GAAP Adjusted EBITDA (dollars in thousands):</w:t>
      </w:r>
    </w:p>
    <w:tbl>
      <w:tblPr>
        <w:tblLayout w:type="fixed"/>
        <w:tblInd w:w="20" w:type="dxa"/>
        <w:tblCellMar>
          <w:top w:w="0" w:type="dxa"/>
          <w:left w:w="0" w:type="dxa"/>
          <w:bottom w:w="0" w:type="dxa"/>
          <w:right w:w="0" w:type="dxa"/>
        </w:tblCellMar>
      </w:tblPr>
      <w:tr>
        <w:trPr>
          <w:trHeight w:val="188"/>
        </w:trPr>
        <w:tc>
          <w:tcPr>
            <w:tcW w:w="6520" w:type="dxa"/>
            <w:vAlign w:val="bottom"/>
          </w:tcPr>
          <w:p>
            <w:pPr>
              <w:spacing w:after="0"/>
              <w:rPr>
                <w:sz w:val="16"/>
                <w:szCs w:val="16"/>
                <w:color w:val="auto"/>
              </w:rPr>
            </w:pPr>
          </w:p>
        </w:tc>
        <w:tc>
          <w:tcPr>
            <w:tcW w:w="16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Fiscal Year Ended</w:t>
            </w:r>
          </w:p>
        </w:tc>
        <w:tc>
          <w:tcPr>
            <w:tcW w:w="1740" w:type="dxa"/>
            <w:vAlign w:val="bottom"/>
            <w:tcBorders>
              <w:bottom w:val="single" w:sz="8" w:color="auto"/>
            </w:tcBorders>
          </w:tcPr>
          <w:p>
            <w:pPr>
              <w:spacing w:after="0"/>
              <w:rPr>
                <w:sz w:val="16"/>
                <w:szCs w:val="16"/>
                <w:color w:val="auto"/>
              </w:rPr>
            </w:pPr>
          </w:p>
        </w:tc>
      </w:tr>
      <w:tr>
        <w:trPr>
          <w:trHeight w:val="182"/>
        </w:trPr>
        <w:tc>
          <w:tcPr>
            <w:tcW w:w="6520" w:type="dxa"/>
            <w:vAlign w:val="bottom"/>
            <w:tcBorders>
              <w:bottom w:val="single" w:sz="8" w:color="CCEEFF"/>
            </w:tcBorders>
          </w:tcPr>
          <w:p>
            <w:pPr>
              <w:spacing w:after="0"/>
              <w:rPr>
                <w:sz w:val="15"/>
                <w:szCs w:val="15"/>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January 25, 2025</w:t>
            </w:r>
          </w:p>
        </w:tc>
        <w:tc>
          <w:tcPr>
            <w:tcW w:w="64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740" w:type="dxa"/>
            <w:vAlign w:val="bottom"/>
            <w:tcBorders>
              <w:bottom w:val="single" w:sz="8" w:color="auto"/>
            </w:tcBorders>
          </w:tcPr>
          <w:p>
            <w:pPr>
              <w:jc w:val="right"/>
              <w:ind w:right="569"/>
              <w:spacing w:after="0"/>
              <w:rPr>
                <w:sz w:val="20"/>
                <w:szCs w:val="20"/>
                <w:color w:val="auto"/>
              </w:rPr>
            </w:pPr>
            <w:r>
              <w:rPr>
                <w:rFonts w:ascii="Times New Roman" w:cs="Times New Roman" w:eastAsia="Times New Roman" w:hAnsi="Times New Roman"/>
                <w:sz w:val="14"/>
                <w:szCs w:val="14"/>
                <w:b w:val="1"/>
                <w:bCs w:val="1"/>
                <w:color w:val="auto"/>
              </w:rPr>
              <w:t>January 27, 2024</w:t>
            </w:r>
          </w:p>
        </w:tc>
      </w:tr>
      <w:tr>
        <w:trPr>
          <w:trHeight w:val="180"/>
        </w:trPr>
        <w:tc>
          <w:tcPr>
            <w:tcW w:w="65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Net income</w:t>
            </w:r>
          </w:p>
        </w:tc>
        <w:tc>
          <w:tcPr>
            <w:tcW w:w="1680" w:type="dxa"/>
            <w:vAlign w:val="bottom"/>
            <w:shd w:val="clear" w:color="auto" w:fill="CCEEFF"/>
          </w:tcPr>
          <w:p>
            <w:pPr>
              <w:jc w:val="right"/>
              <w:ind w:right="1529"/>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96"/>
              </w:rPr>
              <w:t>233,413</w:t>
            </w:r>
          </w:p>
        </w:tc>
        <w:tc>
          <w:tcPr>
            <w:tcW w:w="80" w:type="dxa"/>
            <w:vAlign w:val="bottom"/>
            <w:shd w:val="clear" w:color="auto" w:fill="CCEEFF"/>
          </w:tcPr>
          <w:p>
            <w:pPr>
              <w:spacing w:after="0"/>
              <w:rPr>
                <w:sz w:val="15"/>
                <w:szCs w:val="15"/>
                <w:color w:val="auto"/>
              </w:rPr>
            </w:pPr>
          </w:p>
        </w:tc>
        <w:tc>
          <w:tcPr>
            <w:tcW w:w="580" w:type="dxa"/>
            <w:vAlign w:val="bottom"/>
            <w:shd w:val="clear" w:color="auto" w:fill="CCEEFF"/>
          </w:tcPr>
          <w:p>
            <w:pPr>
              <w:jc w:val="right"/>
              <w:ind w:right="409"/>
              <w:spacing w:after="0"/>
              <w:rPr>
                <w:sz w:val="20"/>
                <w:szCs w:val="20"/>
                <w:color w:val="auto"/>
              </w:rPr>
            </w:pPr>
            <w:r>
              <w:rPr>
                <w:rFonts w:ascii="Times New Roman" w:cs="Times New Roman" w:eastAsia="Times New Roman" w:hAnsi="Times New Roman"/>
                <w:sz w:val="14"/>
                <w:szCs w:val="14"/>
                <w:color w:val="auto"/>
              </w:rPr>
              <w:t>$</w:t>
            </w:r>
          </w:p>
        </w:tc>
        <w:tc>
          <w:tcPr>
            <w:tcW w:w="174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218,923</w:t>
            </w:r>
          </w:p>
        </w:tc>
      </w:tr>
      <w:tr>
        <w:trPr>
          <w:trHeight w:val="180"/>
        </w:trPr>
        <w:tc>
          <w:tcPr>
            <w:tcW w:w="65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Interest expense, net</w:t>
            </w:r>
          </w:p>
        </w:tc>
        <w:tc>
          <w:tcPr>
            <w:tcW w:w="1680" w:type="dxa"/>
            <w:vAlign w:val="bottom"/>
          </w:tcPr>
          <w:p>
            <w:pPr>
              <w:spacing w:after="0"/>
              <w:rPr>
                <w:sz w:val="15"/>
                <w:szCs w:val="15"/>
                <w:color w:val="auto"/>
              </w:rPr>
            </w:pPr>
          </w:p>
        </w:tc>
        <w:tc>
          <w:tcPr>
            <w:tcW w:w="64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60,994</w:t>
            </w: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74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52,603</w:t>
            </w:r>
          </w:p>
        </w:tc>
      </w:tr>
      <w:tr>
        <w:trPr>
          <w:trHeight w:val="180"/>
        </w:trPr>
        <w:tc>
          <w:tcPr>
            <w:tcW w:w="65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Provision for income taxes</w:t>
            </w:r>
          </w:p>
        </w:tc>
        <w:tc>
          <w:tcPr>
            <w:tcW w:w="1680" w:type="dxa"/>
            <w:vAlign w:val="bottom"/>
            <w:shd w:val="clear" w:color="auto" w:fill="CCEEFF"/>
          </w:tcPr>
          <w:p>
            <w:pPr>
              <w:spacing w:after="0"/>
              <w:rPr>
                <w:sz w:val="15"/>
                <w:szCs w:val="15"/>
                <w:color w:val="auto"/>
              </w:rPr>
            </w:pPr>
          </w:p>
        </w:tc>
        <w:tc>
          <w:tcPr>
            <w:tcW w:w="64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74,377</w:t>
            </w:r>
          </w:p>
        </w:tc>
        <w:tc>
          <w:tcPr>
            <w:tcW w:w="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74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73,076</w:t>
            </w:r>
          </w:p>
        </w:tc>
      </w:tr>
      <w:tr>
        <w:trPr>
          <w:trHeight w:val="180"/>
        </w:trPr>
        <w:tc>
          <w:tcPr>
            <w:tcW w:w="652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16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w w:val="96"/>
              </w:rPr>
              <w:t>198,571</w:t>
            </w:r>
          </w:p>
        </w:tc>
        <w:tc>
          <w:tcPr>
            <w:tcW w:w="80" w:type="dxa"/>
            <w:vAlign w:val="bottom"/>
            <w:tcBorders>
              <w:bottom w:val="single" w:sz="8" w:color="CCEEFF"/>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74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rPr>
              <w:t>163,092</w:t>
            </w:r>
          </w:p>
        </w:tc>
      </w:tr>
      <w:tr>
        <w:trPr>
          <w:trHeight w:val="171"/>
        </w:trPr>
        <w:tc>
          <w:tcPr>
            <w:tcW w:w="65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Earnings Before Interest, Taxes, Depreciation &amp; Amortization (“EBITDA”)</w:t>
            </w:r>
          </w:p>
        </w:tc>
        <w:tc>
          <w:tcPr>
            <w:tcW w:w="1680" w:type="dxa"/>
            <w:vAlign w:val="bottom"/>
            <w:shd w:val="clear" w:color="auto" w:fill="CCEEFF"/>
          </w:tcPr>
          <w:p>
            <w:pPr>
              <w:spacing w:after="0"/>
              <w:rPr>
                <w:sz w:val="14"/>
                <w:szCs w:val="14"/>
                <w:color w:val="auto"/>
              </w:rPr>
            </w:pPr>
          </w:p>
        </w:tc>
        <w:tc>
          <w:tcPr>
            <w:tcW w:w="64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96"/>
              </w:rPr>
              <w:t>567,355</w:t>
            </w: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74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507,694</w:t>
            </w:r>
          </w:p>
        </w:tc>
      </w:tr>
      <w:tr>
        <w:trPr>
          <w:trHeight w:val="180"/>
        </w:trPr>
        <w:tc>
          <w:tcPr>
            <w:tcW w:w="65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Gain on sale of fixed assets</w:t>
            </w:r>
          </w:p>
        </w:tc>
        <w:tc>
          <w:tcPr>
            <w:tcW w:w="1680" w:type="dxa"/>
            <w:vAlign w:val="bottom"/>
          </w:tcPr>
          <w:p>
            <w:pPr>
              <w:spacing w:after="0"/>
              <w:rPr>
                <w:sz w:val="15"/>
                <w:szCs w:val="15"/>
                <w:color w:val="auto"/>
              </w:rPr>
            </w:pPr>
          </w:p>
        </w:tc>
        <w:tc>
          <w:tcPr>
            <w:tcW w:w="64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(36,461)</w:t>
            </w: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74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(28,348)</w:t>
            </w:r>
          </w:p>
        </w:tc>
      </w:tr>
      <w:tr>
        <w:trPr>
          <w:trHeight w:val="180"/>
        </w:trPr>
        <w:tc>
          <w:tcPr>
            <w:tcW w:w="65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1680" w:type="dxa"/>
            <w:vAlign w:val="bottom"/>
            <w:shd w:val="clear" w:color="auto" w:fill="CCEEFF"/>
          </w:tcPr>
          <w:p>
            <w:pPr>
              <w:spacing w:after="0"/>
              <w:rPr>
                <w:sz w:val="15"/>
                <w:szCs w:val="15"/>
                <w:color w:val="auto"/>
              </w:rPr>
            </w:pPr>
          </w:p>
        </w:tc>
        <w:tc>
          <w:tcPr>
            <w:tcW w:w="64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40,320</w:t>
            </w:r>
          </w:p>
        </w:tc>
        <w:tc>
          <w:tcPr>
            <w:tcW w:w="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74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25,457</w:t>
            </w:r>
          </w:p>
        </w:tc>
      </w:tr>
      <w:tr>
        <w:trPr>
          <w:trHeight w:val="180"/>
        </w:trPr>
        <w:tc>
          <w:tcPr>
            <w:tcW w:w="65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Acquisition integration costs</w:t>
            </w:r>
          </w:p>
        </w:tc>
        <w:tc>
          <w:tcPr>
            <w:tcW w:w="1680" w:type="dxa"/>
            <w:vAlign w:val="bottom"/>
          </w:tcPr>
          <w:p>
            <w:pPr>
              <w:spacing w:after="0"/>
              <w:rPr>
                <w:sz w:val="15"/>
                <w:szCs w:val="15"/>
                <w:color w:val="auto"/>
              </w:rPr>
            </w:pPr>
          </w:p>
        </w:tc>
        <w:tc>
          <w:tcPr>
            <w:tcW w:w="64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4,163</w:t>
            </w: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74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65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Loss on debt extinguishment</w:t>
            </w:r>
          </w:p>
        </w:tc>
        <w:tc>
          <w:tcPr>
            <w:tcW w:w="1680" w:type="dxa"/>
            <w:vAlign w:val="bottom"/>
            <w:tcBorders>
              <w:bottom w:val="single" w:sz="8" w:color="auto"/>
            </w:tcBorders>
            <w:shd w:val="clear" w:color="auto" w:fill="CCEEFF"/>
          </w:tcPr>
          <w:p>
            <w:pPr>
              <w:spacing w:after="0"/>
              <w:rPr>
                <w:sz w:val="15"/>
                <w:szCs w:val="15"/>
                <w:color w:val="auto"/>
              </w:rPr>
            </w:pPr>
          </w:p>
        </w:tc>
        <w:tc>
          <w:tcPr>
            <w:tcW w:w="640" w:type="dxa"/>
            <w:vAlign w:val="bottom"/>
            <w:tcBorders>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965</w:t>
            </w:r>
          </w:p>
        </w:tc>
        <w:tc>
          <w:tcPr>
            <w:tcW w:w="80" w:type="dxa"/>
            <w:vAlign w:val="bottom"/>
            <w:shd w:val="clear" w:color="auto" w:fill="CCEEFF"/>
          </w:tcPr>
          <w:p>
            <w:pPr>
              <w:spacing w:after="0"/>
              <w:rPr>
                <w:sz w:val="15"/>
                <w:szCs w:val="15"/>
                <w:color w:val="auto"/>
              </w:rPr>
            </w:pPr>
          </w:p>
        </w:tc>
        <w:tc>
          <w:tcPr>
            <w:tcW w:w="580" w:type="dxa"/>
            <w:vAlign w:val="bottom"/>
            <w:tcBorders>
              <w:bottom w:val="single" w:sz="8" w:color="auto"/>
            </w:tcBorders>
            <w:shd w:val="clear" w:color="auto" w:fill="CCEEFF"/>
          </w:tcPr>
          <w:p>
            <w:pPr>
              <w:spacing w:after="0"/>
              <w:rPr>
                <w:sz w:val="15"/>
                <w:szCs w:val="15"/>
                <w:color w:val="auto"/>
              </w:rPr>
            </w:pPr>
          </w:p>
        </w:tc>
        <w:tc>
          <w:tcPr>
            <w:tcW w:w="1740" w:type="dxa"/>
            <w:vAlign w:val="bottom"/>
            <w:tcBorders>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r>
      <w:tr>
        <w:trPr>
          <w:trHeight w:val="171"/>
        </w:trPr>
        <w:tc>
          <w:tcPr>
            <w:tcW w:w="6520" w:type="dxa"/>
            <w:vAlign w:val="bottom"/>
          </w:tcPr>
          <w:p>
            <w:pPr>
              <w:ind w:left="180"/>
              <w:spacing w:after="0" w:line="171" w:lineRule="exact"/>
              <w:rPr>
                <w:sz w:val="20"/>
                <w:szCs w:val="20"/>
                <w:color w:val="auto"/>
              </w:rPr>
            </w:pPr>
            <w:r>
              <w:rPr>
                <w:rFonts w:ascii="Times New Roman" w:cs="Times New Roman" w:eastAsia="Times New Roman" w:hAnsi="Times New Roman"/>
                <w:sz w:val="14"/>
                <w:szCs w:val="14"/>
                <w:color w:val="auto"/>
              </w:rPr>
              <w:t xml:space="preserve">Non-GAAP Adjusted EBITDA </w:t>
            </w:r>
            <w:r>
              <w:rPr>
                <w:rFonts w:ascii="Times New Roman" w:cs="Times New Roman" w:eastAsia="Times New Roman" w:hAnsi="Times New Roman"/>
                <w:sz w:val="18"/>
                <w:szCs w:val="18"/>
                <w:color w:val="auto"/>
                <w:vertAlign w:val="superscript"/>
              </w:rPr>
              <w:t>(1)</w:t>
            </w:r>
          </w:p>
        </w:tc>
        <w:tc>
          <w:tcPr>
            <w:tcW w:w="1680" w:type="dxa"/>
            <w:vAlign w:val="bottom"/>
            <w:tcBorders>
              <w:bottom w:val="single" w:sz="8" w:color="auto"/>
            </w:tcBorders>
          </w:tcPr>
          <w:p>
            <w:pPr>
              <w:jc w:val="right"/>
              <w:ind w:right="1529"/>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w w:val="96"/>
              </w:rPr>
              <w:t>576,342</w:t>
            </w:r>
          </w:p>
        </w:tc>
        <w:tc>
          <w:tcPr>
            <w:tcW w:w="80" w:type="dxa"/>
            <w:vAlign w:val="bottom"/>
          </w:tcPr>
          <w:p>
            <w:pPr>
              <w:spacing w:after="0"/>
              <w:rPr>
                <w:sz w:val="14"/>
                <w:szCs w:val="14"/>
                <w:color w:val="auto"/>
              </w:rPr>
            </w:pPr>
          </w:p>
        </w:tc>
        <w:tc>
          <w:tcPr>
            <w:tcW w:w="580" w:type="dxa"/>
            <w:vAlign w:val="bottom"/>
            <w:tcBorders>
              <w:bottom w:val="single" w:sz="8" w:color="auto"/>
            </w:tcBorders>
          </w:tcPr>
          <w:p>
            <w:pPr>
              <w:jc w:val="right"/>
              <w:ind w:right="409"/>
              <w:spacing w:after="0"/>
              <w:rPr>
                <w:sz w:val="20"/>
                <w:szCs w:val="20"/>
                <w:color w:val="auto"/>
              </w:rPr>
            </w:pPr>
            <w:r>
              <w:rPr>
                <w:rFonts w:ascii="Times New Roman" w:cs="Times New Roman" w:eastAsia="Times New Roman" w:hAnsi="Times New Roman"/>
                <w:sz w:val="14"/>
                <w:szCs w:val="14"/>
                <w:color w:val="auto"/>
              </w:rPr>
              <w:t>$</w:t>
            </w:r>
          </w:p>
        </w:tc>
        <w:tc>
          <w:tcPr>
            <w:tcW w:w="174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rPr>
              <w:t>504,803</w:t>
            </w:r>
          </w:p>
        </w:tc>
      </w:tr>
      <w:tr>
        <w:trPr>
          <w:trHeight w:val="20"/>
        </w:trPr>
        <w:tc>
          <w:tcPr>
            <w:tcW w:w="6520" w:type="dxa"/>
            <w:vAlign w:val="bottom"/>
            <w:tcBorders>
              <w:bottom w:val="single" w:sz="8" w:color="CCEEFF"/>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r>
      <w:tr>
        <w:trPr>
          <w:trHeight w:val="173"/>
        </w:trPr>
        <w:tc>
          <w:tcPr>
            <w:tcW w:w="6520" w:type="dxa"/>
            <w:vAlign w:val="bottom"/>
            <w:shd w:val="clear" w:color="auto" w:fill="CCEEFF"/>
          </w:tcPr>
          <w:p>
            <w:pPr>
              <w:spacing w:after="0"/>
              <w:rPr>
                <w:sz w:val="15"/>
                <w:szCs w:val="15"/>
                <w:color w:val="auto"/>
              </w:rPr>
            </w:pPr>
          </w:p>
        </w:tc>
        <w:tc>
          <w:tcPr>
            <w:tcW w:w="16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740" w:type="dxa"/>
            <w:vAlign w:val="bottom"/>
            <w:shd w:val="clear" w:color="auto" w:fill="CCEEFF"/>
          </w:tcPr>
          <w:p>
            <w:pPr>
              <w:spacing w:after="0"/>
              <w:rPr>
                <w:sz w:val="15"/>
                <w:szCs w:val="15"/>
                <w:color w:val="auto"/>
              </w:rPr>
            </w:pPr>
          </w:p>
        </w:tc>
      </w:tr>
      <w:tr>
        <w:trPr>
          <w:trHeight w:val="243"/>
        </w:trPr>
        <w:tc>
          <w:tcPr>
            <w:tcW w:w="65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 xml:space="preserve">Non-GAAP Adjusted EBITDA % of contract revenues </w:t>
            </w:r>
            <w:r>
              <w:rPr>
                <w:rFonts w:ascii="Times New Roman" w:cs="Times New Roman" w:eastAsia="Times New Roman" w:hAnsi="Times New Roman"/>
                <w:sz w:val="18"/>
                <w:szCs w:val="18"/>
                <w:color w:val="auto"/>
                <w:vertAlign w:val="superscript"/>
              </w:rPr>
              <w:t>(1)</w:t>
            </w:r>
          </w:p>
        </w:tc>
        <w:tc>
          <w:tcPr>
            <w:tcW w:w="168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12.3 %</w:t>
            </w:r>
          </w:p>
        </w:tc>
        <w:tc>
          <w:tcPr>
            <w:tcW w:w="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12.1 %</w:t>
            </w:r>
          </w:p>
        </w:tc>
      </w:tr>
    </w:tbl>
    <w:p>
      <w:pPr>
        <w:spacing w:after="0" w:line="8" w:lineRule="exact"/>
        <w:rPr>
          <w:sz w:val="20"/>
          <w:szCs w:val="20"/>
          <w:color w:val="auto"/>
        </w:rPr>
      </w:pPr>
    </w:p>
    <w:p>
      <w:pPr>
        <w:ind w:right="440" w:firstLine="5"/>
        <w:spacing w:after="0" w:line="254" w:lineRule="auto"/>
        <w:tabs>
          <w:tab w:leader="none" w:pos="142" w:val="left"/>
        </w:tabs>
        <w:numPr>
          <w:ilvl w:val="0"/>
          <w:numId w:val="7"/>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The impacts of a change order and the closeout of several projects increased contract revenues by $26.5 million and contributed $23.6 million to Adjusted EBITDA for the fiscal year ended January 27, 2024.</w:t>
      </w:r>
    </w:p>
    <w:p>
      <w:pPr>
        <w:spacing w:after="0" w:line="174" w:lineRule="exact"/>
        <w:rPr>
          <w:sz w:val="20"/>
          <w:szCs w:val="20"/>
          <w:color w:val="auto"/>
        </w:rPr>
      </w:pPr>
    </w:p>
    <w:p>
      <w:pPr>
        <w:ind w:right="120" w:firstLine="255"/>
        <w:spacing w:after="0" w:line="290" w:lineRule="auto"/>
        <w:rPr>
          <w:sz w:val="20"/>
          <w:szCs w:val="20"/>
          <w:color w:val="auto"/>
        </w:rPr>
      </w:pPr>
      <w:r>
        <w:rPr>
          <w:rFonts w:ascii="Times New Roman" w:cs="Times New Roman" w:eastAsia="Times New Roman" w:hAnsi="Times New Roman"/>
          <w:sz w:val="14"/>
          <w:szCs w:val="14"/>
          <w:color w:val="auto"/>
        </w:rPr>
        <w:t>A discussion of our financial results for fiscal 2024 compared to our financial results for fiscal 2023 can be found in the “Item 7</w:t>
      </w:r>
      <w:r>
        <w:rPr>
          <w:rFonts w:ascii="Times New Roman" w:cs="Times New Roman" w:eastAsia="Times New Roman" w:hAnsi="Times New Roman"/>
          <w:sz w:val="14"/>
          <w:szCs w:val="14"/>
          <w:i w:val="1"/>
          <w:iCs w:val="1"/>
          <w:color w:val="auto"/>
        </w:rPr>
        <w:t>. Management’s Discussion and Analysis of Financial Condition</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 xml:space="preserve">and Results of Operations - Results of Operations” </w:t>
      </w:r>
      <w:r>
        <w:rPr>
          <w:rFonts w:ascii="Times New Roman" w:cs="Times New Roman" w:eastAsia="Times New Roman" w:hAnsi="Times New Roman"/>
          <w:sz w:val="14"/>
          <w:szCs w:val="14"/>
          <w:color w:val="auto"/>
        </w:rPr>
        <w:t>section in our Annual Report on Form 10-K for the fiscal year ended January 27, 2024, filed on March 1, 2024.</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Liquidity and Capital Resources</w:t>
      </w:r>
    </w:p>
    <w:p>
      <w:pPr>
        <w:spacing w:after="0" w:line="202" w:lineRule="exact"/>
        <w:rPr>
          <w:sz w:val="20"/>
          <w:szCs w:val="20"/>
          <w:color w:val="auto"/>
        </w:rPr>
      </w:pPr>
    </w:p>
    <w:p>
      <w:pPr>
        <w:ind w:right="60" w:firstLine="255"/>
        <w:spacing w:after="0" w:line="270" w:lineRule="auto"/>
        <w:rPr>
          <w:sz w:val="20"/>
          <w:szCs w:val="20"/>
          <w:color w:val="auto"/>
        </w:rPr>
      </w:pPr>
      <w:r>
        <w:rPr>
          <w:rFonts w:ascii="Times New Roman" w:cs="Times New Roman" w:eastAsia="Times New Roman" w:hAnsi="Times New Roman"/>
          <w:sz w:val="14"/>
          <w:szCs w:val="14"/>
          <w:color w:val="auto"/>
        </w:rPr>
        <w:t>We are subject to concentrations of credit risk relating primarily to our cash and equivalents, accounts receivable, and contract assets. Cash and equivalents primarily include balances on deposit with banks and totaled $92.7 million as of January 25, 2025, compared to $101.1 million as of January 27, 2024. We maintain our cash and equivalents at financial institutions we believe to be of high credit quality. For all periods presented, we have not experienced any loss or lack of access to cash in our operating accounts.</w:t>
      </w:r>
    </w:p>
    <w:p>
      <w:pPr>
        <w:spacing w:after="0" w:line="155" w:lineRule="exact"/>
        <w:rPr>
          <w:sz w:val="20"/>
          <w:szCs w:val="20"/>
          <w:color w:val="auto"/>
        </w:rPr>
      </w:pPr>
    </w:p>
    <w:p>
      <w:pPr>
        <w:ind w:right="20" w:firstLine="255"/>
        <w:spacing w:after="0" w:line="262" w:lineRule="auto"/>
        <w:rPr>
          <w:sz w:val="20"/>
          <w:szCs w:val="20"/>
          <w:color w:val="auto"/>
        </w:rPr>
      </w:pPr>
      <w:r>
        <w:rPr>
          <w:rFonts w:ascii="Times New Roman" w:cs="Times New Roman" w:eastAsia="Times New Roman" w:hAnsi="Times New Roman"/>
          <w:sz w:val="14"/>
          <w:szCs w:val="14"/>
          <w:i w:val="1"/>
          <w:iCs w:val="1"/>
          <w:color w:val="auto"/>
        </w:rPr>
        <w:t xml:space="preserve">Sources of Cash. </w:t>
      </w:r>
      <w:r>
        <w:rPr>
          <w:rFonts w:ascii="Times New Roman" w:cs="Times New Roman" w:eastAsia="Times New Roman" w:hAnsi="Times New Roman"/>
          <w:sz w:val="14"/>
          <w:szCs w:val="14"/>
          <w:color w:val="auto"/>
        </w:rPr>
        <w:t>Our sources of cash are operating activities, long-term debt, equity offerings, bank borrowings, proceeds from the sale of idle and surplus equipment and real property, and stock</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option proceeds. Cash flow from operations is primarily influenced by demand for our services and operating margins, but can also be influenced by working capital needs associated with the services that we provide. In particular, working capital needs may increase when we have growth in operations and where project costs, primarily associated with labor, subcontractors, equipment, and materials, are required to be paid before the related customer balances owed to us are invoiced and collected. Our working capital (total current assets less total current liabilities, excluding the current portion of debt) was $1,117.5 million as of January 25, 2025 compared to $1,061.2 million as of January 27, 2024.</w:t>
      </w:r>
    </w:p>
    <w:p>
      <w:pPr>
        <w:spacing w:after="0" w:line="163" w:lineRule="exact"/>
        <w:rPr>
          <w:sz w:val="20"/>
          <w:szCs w:val="20"/>
          <w:color w:val="auto"/>
        </w:rPr>
      </w:pPr>
    </w:p>
    <w:p>
      <w:pPr>
        <w:ind w:right="40" w:firstLine="255"/>
        <w:spacing w:after="0" w:line="270" w:lineRule="auto"/>
        <w:rPr>
          <w:sz w:val="20"/>
          <w:szCs w:val="20"/>
          <w:color w:val="auto"/>
        </w:rPr>
      </w:pPr>
      <w:r>
        <w:rPr>
          <w:rFonts w:ascii="Times New Roman" w:cs="Times New Roman" w:eastAsia="Times New Roman" w:hAnsi="Times New Roman"/>
          <w:sz w:val="14"/>
          <w:szCs w:val="14"/>
          <w:color w:val="auto"/>
        </w:rPr>
        <w:t>Capital resources are used primarily to purchase equipment and maintain sufficient levels of working capital to support our contractual commitments to customers. We periodically draw upon and repay our revolving credit facility depending on our cash requirements. We currently intend to retain any earnings for use in the business and other capital allocation strategies which may include investment in acquisitions and share repurchases. Consequently, we do not anticipate paying any cash dividends on our common stock in the foreseeable future.</w:t>
      </w:r>
    </w:p>
    <w:p>
      <w:pPr>
        <w:spacing w:after="0" w:line="157" w:lineRule="exact"/>
        <w:rPr>
          <w:sz w:val="20"/>
          <w:szCs w:val="20"/>
          <w:color w:val="auto"/>
        </w:rPr>
      </w:pPr>
    </w:p>
    <w:p>
      <w:pPr>
        <w:ind w:right="200" w:firstLine="255"/>
        <w:spacing w:after="0" w:line="270" w:lineRule="auto"/>
        <w:rPr>
          <w:sz w:val="20"/>
          <w:szCs w:val="20"/>
          <w:color w:val="auto"/>
        </w:rPr>
      </w:pPr>
      <w:r>
        <w:rPr>
          <w:rFonts w:ascii="Times New Roman" w:cs="Times New Roman" w:eastAsia="Times New Roman" w:hAnsi="Times New Roman"/>
          <w:sz w:val="14"/>
          <w:szCs w:val="14"/>
          <w:color w:val="auto"/>
        </w:rPr>
        <w:t>Our level of capital expenditures can vary depending on the customer demand for our services, the replacement cycle we select for our equipment, and overall growth. We intend to fund these expenditures primarily from operating cash flows, availability under our Credit Agreement (as defined below), and cash on hand. We expect capital expenditures, net of disposals, to range from $220.0 million to $230.0 million during fiscal 2026 to support growth opportunities and the replacement of certain fleet assets.</w:t>
      </w:r>
    </w:p>
    <w:p>
      <w:pPr>
        <w:spacing w:after="0" w:line="200" w:lineRule="exact"/>
        <w:rPr>
          <w:sz w:val="20"/>
          <w:szCs w:val="20"/>
          <w:color w:val="auto"/>
        </w:rPr>
      </w:pP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5"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42" w:lineRule="exact"/>
        <w:rPr>
          <w:sz w:val="20"/>
          <w:szCs w:val="20"/>
          <w:color w:val="auto"/>
        </w:rPr>
      </w:pPr>
    </w:p>
    <w:p>
      <w:pPr>
        <w:ind w:firstLine="255"/>
        <w:spacing w:after="0" w:line="259" w:lineRule="auto"/>
        <w:rPr>
          <w:sz w:val="20"/>
          <w:szCs w:val="20"/>
          <w:color w:val="auto"/>
        </w:rPr>
      </w:pPr>
      <w:r>
        <w:rPr>
          <w:rFonts w:ascii="Times New Roman" w:cs="Times New Roman" w:eastAsia="Times New Roman" w:hAnsi="Times New Roman"/>
          <w:sz w:val="14"/>
          <w:szCs w:val="14"/>
          <w:i w:val="1"/>
          <w:iCs w:val="1"/>
          <w:color w:val="auto"/>
        </w:rPr>
        <w:t xml:space="preserve">Sufficiency of Capital Resources. </w:t>
      </w:r>
      <w:r>
        <w:rPr>
          <w:rFonts w:ascii="Times New Roman" w:cs="Times New Roman" w:eastAsia="Times New Roman" w:hAnsi="Times New Roman"/>
          <w:sz w:val="14"/>
          <w:szCs w:val="14"/>
          <w:color w:val="auto"/>
        </w:rPr>
        <w:t>We believe that our capital resources, including existing cash balances and amounts available under our credit agreement, are sufficient to meet our financial</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obligations. These obligations include payments on our debt, working capital requirements, and the purchase of equipment at our expected level of operations for at least the next 12 months. Our capital requirements may increase to the extent we seek to grow by acquisitions that involve consideration other than our stock, experience difficulty or delays in collecting amounts owed to us by our customers, increase our working capital in connection with new or existing customer programs, or we repurchase our common stock, or repay credit agreement borrowings. Changes in financial markets or other components of the economy could adversely impact our ability to access the capital markets, in which case we would expect to rely on a combination of available cash and our credit agreement to provide short-term funding. Management regularly monitors the financial markets and assesses general economic conditions for possible impact on our financial position. We believe our cash investment policies are prudent and expect that any volatility in the capital markets would not have a material impact on our cash investments.</w:t>
      </w:r>
    </w:p>
    <w:p>
      <w:pPr>
        <w:spacing w:after="0" w:line="14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i w:val="1"/>
          <w:iCs w:val="1"/>
          <w:color w:val="auto"/>
        </w:rPr>
        <w:t xml:space="preserve">Net Cash Flows. </w:t>
      </w:r>
      <w:r>
        <w:rPr>
          <w:rFonts w:ascii="Times New Roman" w:cs="Times New Roman" w:eastAsia="Times New Roman" w:hAnsi="Times New Roman"/>
          <w:sz w:val="14"/>
          <w:szCs w:val="14"/>
          <w:color w:val="auto"/>
        </w:rPr>
        <w:t>The following table presents our net cash flows for fiscal 2025 and fiscal 2024 (dollars in millions):</w:t>
      </w:r>
    </w:p>
    <w:p>
      <w:pPr>
        <w:spacing w:after="0" w:line="41" w:lineRule="exact"/>
        <w:rPr>
          <w:sz w:val="20"/>
          <w:szCs w:val="20"/>
          <w:color w:val="auto"/>
        </w:rPr>
      </w:pPr>
    </w:p>
    <w:tbl>
      <w:tblPr>
        <w:tblLayout w:type="fixed"/>
        <w:tblInd w:w="20" w:type="dxa"/>
        <w:tblCellMar>
          <w:top w:w="0" w:type="dxa"/>
          <w:left w:w="0" w:type="dxa"/>
          <w:bottom w:w="0" w:type="dxa"/>
          <w:right w:w="0" w:type="dxa"/>
        </w:tblCellMar>
      </w:tblPr>
      <w:tr>
        <w:trPr>
          <w:trHeight w:val="188"/>
        </w:trPr>
        <w:tc>
          <w:tcPr>
            <w:tcW w:w="6660" w:type="dxa"/>
            <w:vAlign w:val="bottom"/>
          </w:tcPr>
          <w:p>
            <w:pPr>
              <w:spacing w:after="0"/>
              <w:rPr>
                <w:sz w:val="16"/>
                <w:szCs w:val="16"/>
                <w:color w:val="auto"/>
              </w:rPr>
            </w:pPr>
          </w:p>
        </w:tc>
        <w:tc>
          <w:tcPr>
            <w:tcW w:w="17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Fiscal Year Ended</w:t>
            </w:r>
          </w:p>
        </w:tc>
        <w:tc>
          <w:tcPr>
            <w:tcW w:w="1680" w:type="dxa"/>
            <w:vAlign w:val="bottom"/>
            <w:tcBorders>
              <w:bottom w:val="single" w:sz="8" w:color="auto"/>
            </w:tcBorders>
          </w:tcPr>
          <w:p>
            <w:pPr>
              <w:spacing w:after="0"/>
              <w:rPr>
                <w:sz w:val="16"/>
                <w:szCs w:val="16"/>
                <w:color w:val="auto"/>
              </w:rPr>
            </w:pPr>
          </w:p>
        </w:tc>
      </w:tr>
      <w:tr>
        <w:trPr>
          <w:trHeight w:val="182"/>
        </w:trPr>
        <w:tc>
          <w:tcPr>
            <w:tcW w:w="6660" w:type="dxa"/>
            <w:vAlign w:val="bottom"/>
          </w:tcPr>
          <w:p>
            <w:pPr>
              <w:spacing w:after="0"/>
              <w:rPr>
                <w:sz w:val="15"/>
                <w:szCs w:val="15"/>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January 25, 2025</w:t>
            </w:r>
          </w:p>
        </w:tc>
        <w:tc>
          <w:tcPr>
            <w:tcW w:w="5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680" w:type="dxa"/>
            <w:vAlign w:val="bottom"/>
            <w:tcBorders>
              <w:bottom w:val="single" w:sz="8" w:color="auto"/>
            </w:tcBorders>
          </w:tcPr>
          <w:p>
            <w:pPr>
              <w:jc w:val="right"/>
              <w:ind w:right="529"/>
              <w:spacing w:after="0"/>
              <w:rPr>
                <w:sz w:val="20"/>
                <w:szCs w:val="20"/>
                <w:color w:val="auto"/>
              </w:rPr>
            </w:pPr>
            <w:r>
              <w:rPr>
                <w:rFonts w:ascii="Times New Roman" w:cs="Times New Roman" w:eastAsia="Times New Roman" w:hAnsi="Times New Roman"/>
                <w:sz w:val="14"/>
                <w:szCs w:val="14"/>
                <w:b w:val="1"/>
                <w:bCs w:val="1"/>
                <w:color w:val="auto"/>
              </w:rPr>
              <w:t>January 27, 2024</w:t>
            </w:r>
          </w:p>
        </w:tc>
      </w:tr>
      <w:tr>
        <w:trPr>
          <w:trHeight w:val="170"/>
        </w:trPr>
        <w:tc>
          <w:tcPr>
            <w:tcW w:w="66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cash flows:</w:t>
            </w:r>
          </w:p>
        </w:tc>
        <w:tc>
          <w:tcPr>
            <w:tcW w:w="17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181"/>
        </w:trPr>
        <w:tc>
          <w:tcPr>
            <w:tcW w:w="66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Provided by operating activities</w:t>
            </w:r>
          </w:p>
        </w:tc>
        <w:tc>
          <w:tcPr>
            <w:tcW w:w="1700" w:type="dxa"/>
            <w:vAlign w:val="bottom"/>
            <w:shd w:val="clear" w:color="auto" w:fill="CCEEFF"/>
          </w:tcPr>
          <w:p>
            <w:pPr>
              <w:jc w:val="right"/>
              <w:ind w:right="1529"/>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349.1</w:t>
            </w: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jc w:val="right"/>
              <w:ind w:right="409"/>
              <w:spacing w:after="0"/>
              <w:rPr>
                <w:sz w:val="20"/>
                <w:szCs w:val="20"/>
                <w:color w:val="auto"/>
              </w:rPr>
            </w:pPr>
            <w:r>
              <w:rPr>
                <w:rFonts w:ascii="Times New Roman" w:cs="Times New Roman" w:eastAsia="Times New Roman" w:hAnsi="Times New Roman"/>
                <w:sz w:val="14"/>
                <w:szCs w:val="14"/>
                <w:color w:val="auto"/>
                <w:w w:val="85"/>
              </w:rPr>
              <w: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259.0</w:t>
            </w:r>
          </w:p>
        </w:tc>
      </w:tr>
      <w:tr>
        <w:trPr>
          <w:trHeight w:val="180"/>
        </w:trPr>
        <w:tc>
          <w:tcPr>
            <w:tcW w:w="66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Used in investing activities</w:t>
            </w:r>
          </w:p>
        </w:tc>
        <w:tc>
          <w:tcPr>
            <w:tcW w:w="1700" w:type="dxa"/>
            <w:vAlign w:val="bottom"/>
          </w:tcPr>
          <w:p>
            <w:pPr>
              <w:jc w:val="right"/>
              <w:ind w:right="1529"/>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(395.2)</w:t>
            </w:r>
          </w:p>
        </w:tc>
        <w:tc>
          <w:tcPr>
            <w:tcW w:w="100" w:type="dxa"/>
            <w:vAlign w:val="bottom"/>
          </w:tcPr>
          <w:p>
            <w:pPr>
              <w:spacing w:after="0"/>
              <w:rPr>
                <w:sz w:val="15"/>
                <w:szCs w:val="15"/>
                <w:color w:val="auto"/>
              </w:rPr>
            </w:pPr>
          </w:p>
        </w:tc>
        <w:tc>
          <w:tcPr>
            <w:tcW w:w="560" w:type="dxa"/>
            <w:vAlign w:val="bottom"/>
          </w:tcPr>
          <w:p>
            <w:pPr>
              <w:jc w:val="right"/>
              <w:ind w:right="409"/>
              <w:spacing w:after="0"/>
              <w:rPr>
                <w:sz w:val="20"/>
                <w:szCs w:val="20"/>
                <w:color w:val="auto"/>
              </w:rPr>
            </w:pPr>
            <w:r>
              <w:rPr>
                <w:rFonts w:ascii="Times New Roman" w:cs="Times New Roman" w:eastAsia="Times New Roman" w:hAnsi="Times New Roman"/>
                <w:sz w:val="14"/>
                <w:szCs w:val="14"/>
                <w:color w:val="auto"/>
                <w:w w:val="85"/>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(306.2)</w:t>
            </w:r>
          </w:p>
        </w:tc>
      </w:tr>
      <w:tr>
        <w:trPr>
          <w:trHeight w:val="180"/>
        </w:trPr>
        <w:tc>
          <w:tcPr>
            <w:tcW w:w="66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Provided by (used in) financing activities</w:t>
            </w:r>
          </w:p>
        </w:tc>
        <w:tc>
          <w:tcPr>
            <w:tcW w:w="1700" w:type="dxa"/>
            <w:vAlign w:val="bottom"/>
            <w:shd w:val="clear" w:color="auto" w:fill="CCEEFF"/>
          </w:tcPr>
          <w:p>
            <w:pPr>
              <w:jc w:val="right"/>
              <w:ind w:right="1529"/>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37.7</w:t>
            </w: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jc w:val="right"/>
              <w:ind w:right="409"/>
              <w:spacing w:after="0"/>
              <w:rPr>
                <w:sz w:val="20"/>
                <w:szCs w:val="20"/>
                <w:color w:val="auto"/>
              </w:rPr>
            </w:pPr>
            <w:r>
              <w:rPr>
                <w:rFonts w:ascii="Times New Roman" w:cs="Times New Roman" w:eastAsia="Times New Roman" w:hAnsi="Times New Roman"/>
                <w:sz w:val="14"/>
                <w:szCs w:val="14"/>
                <w:color w:val="auto"/>
                <w:w w:val="85"/>
              </w:rPr>
              <w: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(75.9)</w:t>
            </w:r>
          </w:p>
        </w:tc>
      </w:tr>
    </w:tbl>
    <w:p>
      <w:pPr>
        <w:spacing w:after="0" w:line="238" w:lineRule="exact"/>
        <w:rPr>
          <w:sz w:val="20"/>
          <w:szCs w:val="20"/>
          <w:color w:val="auto"/>
        </w:rPr>
      </w:pPr>
    </w:p>
    <w:p>
      <w:pPr>
        <w:ind w:right="80" w:firstLine="255"/>
        <w:spacing w:after="0" w:line="262" w:lineRule="auto"/>
        <w:rPr>
          <w:sz w:val="20"/>
          <w:szCs w:val="20"/>
          <w:color w:val="auto"/>
        </w:rPr>
      </w:pPr>
      <w:r>
        <w:rPr>
          <w:rFonts w:ascii="Times New Roman" w:cs="Times New Roman" w:eastAsia="Times New Roman" w:hAnsi="Times New Roman"/>
          <w:sz w:val="14"/>
          <w:szCs w:val="14"/>
          <w:i w:val="1"/>
          <w:iCs w:val="1"/>
          <w:color w:val="auto"/>
        </w:rPr>
        <w:t xml:space="preserve">Cash Provided by Operating Activities. </w:t>
      </w:r>
      <w:r>
        <w:rPr>
          <w:rFonts w:ascii="Times New Roman" w:cs="Times New Roman" w:eastAsia="Times New Roman" w:hAnsi="Times New Roman"/>
          <w:sz w:val="14"/>
          <w:szCs w:val="14"/>
          <w:color w:val="auto"/>
        </w:rPr>
        <w:t>During fiscal 2025, net cash provided by operating activities was $349.1 million. Changes in working capital (excluding cash) and changes in other long-term assets and liabilities used $114.6 million of operating cash flow during fiscal 2025. Working capital changes that used operating cash flow during fiscal 2025 included an increase in accounts receivable, net of $117.8 million, a decrease in accrued liabilities of $21.0 million, an increase in other assets of $21.0 million, and a decrease in accounts payable of $16.8 million. Working capital changes that provided operating cash flow during fiscal 2025 included an increase in contract liabilities, net of $31.2 million, an increase in income tax payable of $26.5 million, and a decrease in other current assets and inventory of $4.3 million.</w:t>
      </w:r>
    </w:p>
    <w:p>
      <w:pPr>
        <w:spacing w:after="0" w:line="163" w:lineRule="exact"/>
        <w:rPr>
          <w:sz w:val="20"/>
          <w:szCs w:val="20"/>
          <w:color w:val="auto"/>
        </w:rPr>
      </w:pPr>
    </w:p>
    <w:p>
      <w:pPr>
        <w:ind w:right="260" w:firstLine="255"/>
        <w:spacing w:after="0" w:line="287" w:lineRule="auto"/>
        <w:rPr>
          <w:sz w:val="20"/>
          <w:szCs w:val="20"/>
          <w:color w:val="auto"/>
        </w:rPr>
      </w:pPr>
      <w:r>
        <w:rPr>
          <w:rFonts w:ascii="Times New Roman" w:cs="Times New Roman" w:eastAsia="Times New Roman" w:hAnsi="Times New Roman"/>
          <w:sz w:val="14"/>
          <w:szCs w:val="14"/>
          <w:color w:val="auto"/>
        </w:rPr>
        <w:t>The primary non-cash items in cash flows from operating activities during the current and prior periods are depreciation and amortization, non-cash lease expense, stock-based compensation, amortization of debt issuance costs, deferred income taxes, gain on sale of fixed assets, provision for bad debt and loss on debt extinguishment.</w:t>
      </w:r>
    </w:p>
    <w:p>
      <w:pPr>
        <w:spacing w:after="0" w:line="145" w:lineRule="exact"/>
        <w:rPr>
          <w:sz w:val="20"/>
          <w:szCs w:val="20"/>
          <w:color w:val="auto"/>
        </w:rPr>
      </w:pPr>
    </w:p>
    <w:p>
      <w:pPr>
        <w:ind w:right="60" w:firstLine="255"/>
        <w:spacing w:after="0" w:line="257" w:lineRule="auto"/>
        <w:rPr>
          <w:sz w:val="20"/>
          <w:szCs w:val="20"/>
          <w:color w:val="auto"/>
        </w:rPr>
      </w:pPr>
      <w:r>
        <w:rPr>
          <w:rFonts w:ascii="Times New Roman" w:cs="Times New Roman" w:eastAsia="Times New Roman" w:hAnsi="Times New Roman"/>
          <w:sz w:val="14"/>
          <w:szCs w:val="14"/>
          <w:color w:val="auto"/>
        </w:rPr>
        <w:t>Days sales outstanding (“DSO”) is calculated based on the ending balance of total current and non-current accounts receivable (including unbilled accounts receivable), net of the allowance for credit losses, and current contract assets, net of contract liabilities, divided by the average daily revenue for the most recently completed quarter. Long-term contract assets are excluded from the calculation of DSO, as these amounts represent payments made to customers pursuant to long-term agreements and are recognized as a reduction of contract revenues over the period for which the related services are provided to the customers. Including these balances in DSO is not meaningful to the average time to collect accounts receivable and current contract asset balances. Our DSO was 114 days and 120 days as of January 25, 2025 and January 27, 2024, respectively.</w:t>
      </w:r>
    </w:p>
    <w:p>
      <w:pPr>
        <w:spacing w:after="0" w:line="1" w:lineRule="exact"/>
        <w:rPr>
          <w:sz w:val="20"/>
          <w:szCs w:val="20"/>
          <w:color w:val="auto"/>
        </w:rPr>
      </w:pPr>
    </w:p>
    <w:p>
      <w:pPr>
        <w:ind w:right="60" w:firstLine="255"/>
        <w:spacing w:after="0" w:line="259" w:lineRule="auto"/>
        <w:rPr>
          <w:sz w:val="20"/>
          <w:szCs w:val="20"/>
          <w:color w:val="auto"/>
        </w:rPr>
      </w:pPr>
      <w:r>
        <w:rPr>
          <w:rFonts w:ascii="Times New Roman" w:cs="Times New Roman" w:eastAsia="Times New Roman" w:hAnsi="Times New Roman"/>
          <w:sz w:val="14"/>
          <w:szCs w:val="14"/>
          <w:color w:val="auto"/>
        </w:rPr>
        <w:t xml:space="preserve">See Note 6, </w:t>
      </w:r>
      <w:r>
        <w:rPr>
          <w:rFonts w:ascii="Times New Roman" w:cs="Times New Roman" w:eastAsia="Times New Roman" w:hAnsi="Times New Roman"/>
          <w:sz w:val="14"/>
          <w:szCs w:val="14"/>
          <w:i w:val="1"/>
          <w:iCs w:val="1"/>
          <w:color w:val="auto"/>
        </w:rPr>
        <w:t>Accounts Receivable, Contract Assets, and Contract Liabilities</w:t>
      </w:r>
      <w:r>
        <w:rPr>
          <w:rFonts w:ascii="Times New Roman" w:cs="Times New Roman" w:eastAsia="Times New Roman" w:hAnsi="Times New Roman"/>
          <w:sz w:val="14"/>
          <w:szCs w:val="14"/>
          <w:color w:val="auto"/>
        </w:rPr>
        <w:t xml:space="preserve">, for further information on our customer credit concentration as of January 25, 2025 and January 27, 2024 and Note 20, </w:t>
      </w:r>
      <w:r>
        <w:rPr>
          <w:rFonts w:ascii="Times New Roman" w:cs="Times New Roman" w:eastAsia="Times New Roman" w:hAnsi="Times New Roman"/>
          <w:sz w:val="14"/>
          <w:szCs w:val="14"/>
          <w:i w:val="1"/>
          <w:iCs w:val="1"/>
          <w:color w:val="auto"/>
        </w:rPr>
        <w:t>Customer Concentration and Revenue Information,</w:t>
      </w:r>
      <w:r>
        <w:rPr>
          <w:rFonts w:ascii="Times New Roman" w:cs="Times New Roman" w:eastAsia="Times New Roman" w:hAnsi="Times New Roman"/>
          <w:sz w:val="14"/>
          <w:szCs w:val="14"/>
          <w:color w:val="auto"/>
        </w:rPr>
        <w:t xml:space="preserve"> for further information on our significant customers. We believe that none of our significant customers were experiencing financial difficulties that would materially impact the collectability of our total accounts receivable and contract assets (liabilities), net as of January 25, 2025 or January 27, 2024.</w:t>
      </w:r>
    </w:p>
    <w:p>
      <w:pPr>
        <w:spacing w:after="0" w:line="165" w:lineRule="exact"/>
        <w:rPr>
          <w:sz w:val="20"/>
          <w:szCs w:val="20"/>
          <w:color w:val="auto"/>
        </w:rPr>
      </w:pPr>
    </w:p>
    <w:p>
      <w:pPr>
        <w:ind w:right="120" w:firstLine="255"/>
        <w:spacing w:after="0" w:line="261" w:lineRule="auto"/>
        <w:rPr>
          <w:sz w:val="20"/>
          <w:szCs w:val="20"/>
          <w:color w:val="auto"/>
        </w:rPr>
      </w:pPr>
      <w:r>
        <w:rPr>
          <w:rFonts w:ascii="Times New Roman" w:cs="Times New Roman" w:eastAsia="Times New Roman" w:hAnsi="Times New Roman"/>
          <w:sz w:val="14"/>
          <w:szCs w:val="14"/>
          <w:color w:val="auto"/>
        </w:rPr>
        <w:t>During fiscal 2024, net cash provided by operating activities was $259.0 million. Changes in working capital (excluding cash) and changes in other long-term assets and liabilities used $147.9 million of operating cash flow during fiscal 2024. Working capital changes that used operating cash flow during fiscal 2024 included an increase in accounts receivable of $142.4 million, a decrease in accrued liabilities of $24.9 million, and a decrease in income tax payable/receivable of $14.2 million. Working capital changes that provided operating cash flow during fiscal 2024 included a decrease in contract assets, net of $23.0 million, increase in accounts payable of $7.0 million, decrease in other current assets and inventory of $3.1 million and decrease in other assets of $0.4 million.</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42" w:lineRule="exact"/>
        <w:rPr>
          <w:sz w:val="20"/>
          <w:szCs w:val="20"/>
          <w:color w:val="auto"/>
        </w:rPr>
      </w:pPr>
    </w:p>
    <w:p>
      <w:pPr>
        <w:ind w:right="300" w:firstLine="255"/>
        <w:spacing w:after="0" w:line="290" w:lineRule="auto"/>
        <w:rPr>
          <w:sz w:val="20"/>
          <w:szCs w:val="20"/>
          <w:color w:val="auto"/>
        </w:rPr>
      </w:pPr>
      <w:r>
        <w:rPr>
          <w:rFonts w:ascii="Times New Roman" w:cs="Times New Roman" w:eastAsia="Times New Roman" w:hAnsi="Times New Roman"/>
          <w:sz w:val="14"/>
          <w:szCs w:val="14"/>
          <w:i w:val="1"/>
          <w:iCs w:val="1"/>
          <w:color w:val="auto"/>
        </w:rPr>
        <w:t xml:space="preserve">Cash Used in Investing Activities. </w:t>
      </w:r>
      <w:r>
        <w:rPr>
          <w:rFonts w:ascii="Times New Roman" w:cs="Times New Roman" w:eastAsia="Times New Roman" w:hAnsi="Times New Roman"/>
          <w:sz w:val="14"/>
          <w:szCs w:val="14"/>
          <w:color w:val="auto"/>
        </w:rPr>
        <w:t>Net cash used in investing activities was $395.2 million during fiscal 2025. Capital expenditures of $250.5 million were for the replacement of certain fleet</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assets and new work opportunities and cash paid for acquisitions was $183.9 million. Proceeds from sale of assets were $39.1 million.</w:t>
      </w:r>
    </w:p>
    <w:p>
      <w:pPr>
        <w:spacing w:after="0" w:line="14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Net cash used in investing activities was $306.2 million during fiscal 2024. Capital expenditures of $218.5 million were for the replacement of certain fleet assets and new work opportunities.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Additionally, we acquired the assets of a telecommunications contraction company for $122.9 million. Proceeds from sale of assets were $35.2 million.</w:t>
      </w:r>
    </w:p>
    <w:p>
      <w:pPr>
        <w:spacing w:after="0" w:line="183" w:lineRule="exact"/>
        <w:rPr>
          <w:sz w:val="20"/>
          <w:szCs w:val="20"/>
          <w:color w:val="auto"/>
        </w:rPr>
      </w:pPr>
    </w:p>
    <w:p>
      <w:pPr>
        <w:ind w:right="40" w:firstLine="255"/>
        <w:spacing w:after="0" w:line="262" w:lineRule="auto"/>
        <w:rPr>
          <w:sz w:val="20"/>
          <w:szCs w:val="20"/>
          <w:color w:val="auto"/>
        </w:rPr>
      </w:pPr>
      <w:r>
        <w:rPr>
          <w:rFonts w:ascii="Times New Roman" w:cs="Times New Roman" w:eastAsia="Times New Roman" w:hAnsi="Times New Roman"/>
          <w:sz w:val="14"/>
          <w:szCs w:val="14"/>
          <w:i w:val="1"/>
          <w:iCs w:val="1"/>
          <w:color w:val="auto"/>
        </w:rPr>
        <w:t xml:space="preserve">Cash Provided by (Used in) Financing Activities. </w:t>
      </w:r>
      <w:r>
        <w:rPr>
          <w:rFonts w:ascii="Times New Roman" w:cs="Times New Roman" w:eastAsia="Times New Roman" w:hAnsi="Times New Roman"/>
          <w:sz w:val="14"/>
          <w:szCs w:val="14"/>
          <w:color w:val="auto"/>
        </w:rPr>
        <w:t>Net cash provided by financing activities was $37.7 million during fiscal 2025. During fiscal 2025, borrowings under our credit agreement were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$987.4 million. We used approximately $852.4 million to repay borrowings under our Credit Agreement. We repurchased 410,000 shares of our common stock in open market transactions, at an average price of $160.10 per share, for $65.6 million, during fiscal 2025. Average price paid per share excludes 1% excise tax on share repurchases. We also paid $17.0 million to tax authorities in order to meet the payroll tax withholding obligations on restricted share units that vested during fiscal 2025. In addition, we paid $8.0 million, net, to tax authorities for payroll tax withholding obligations on the exercise of stock options. We paid approximately $6.7 million in issuance costs and third party fees and expenses related to our financing transactions.</w:t>
      </w:r>
    </w:p>
    <w:p>
      <w:pPr>
        <w:spacing w:after="0" w:line="163" w:lineRule="exact"/>
        <w:rPr>
          <w:sz w:val="20"/>
          <w:szCs w:val="20"/>
          <w:color w:val="auto"/>
        </w:rPr>
      </w:pPr>
    </w:p>
    <w:p>
      <w:pPr>
        <w:ind w:firstLine="255"/>
        <w:spacing w:after="0" w:line="264" w:lineRule="auto"/>
        <w:rPr>
          <w:sz w:val="20"/>
          <w:szCs w:val="20"/>
          <w:color w:val="auto"/>
        </w:rPr>
      </w:pPr>
      <w:r>
        <w:rPr>
          <w:rFonts w:ascii="Times New Roman" w:cs="Times New Roman" w:eastAsia="Times New Roman" w:hAnsi="Times New Roman"/>
          <w:sz w:val="14"/>
          <w:szCs w:val="14"/>
          <w:color w:val="auto"/>
        </w:rPr>
        <w:t>Net cash used in financing activities was $75.9 million during fiscal 2024. During fiscal 2024, borrowings under our credit agreement were $763.0 million. We used approximately $780.5 million to repay borrowings under our Credit Agreement. We repurchased 485,000 shares of our common stock in open market transactions, at an average price of $102.39 per share, for $49.7 million, during fiscal 2024. Average price paid per share excludes 1% excise tax on share repurchases. We also paid $9.9 million to tax authorities in order to meet the payroll tax withholding obligations on restricted share units that vested during fiscal 2024. This was partially offset by the exercise of stock options, which provided $1.1 million during fiscal 2024.</w:t>
      </w:r>
    </w:p>
    <w:p>
      <w:pPr>
        <w:spacing w:after="0" w:line="160" w:lineRule="exact"/>
        <w:rPr>
          <w:sz w:val="20"/>
          <w:szCs w:val="20"/>
          <w:color w:val="auto"/>
        </w:rPr>
      </w:pPr>
    </w:p>
    <w:p>
      <w:pPr>
        <w:ind w:right="160" w:firstLine="255"/>
        <w:spacing w:after="0" w:line="262" w:lineRule="auto"/>
        <w:rPr>
          <w:sz w:val="20"/>
          <w:szCs w:val="20"/>
          <w:color w:val="auto"/>
        </w:rPr>
      </w:pPr>
      <w:r>
        <w:rPr>
          <w:rFonts w:ascii="Times New Roman" w:cs="Times New Roman" w:eastAsia="Times New Roman" w:hAnsi="Times New Roman"/>
          <w:sz w:val="14"/>
          <w:szCs w:val="14"/>
          <w:i w:val="1"/>
          <w:iCs w:val="1"/>
          <w:color w:val="auto"/>
        </w:rPr>
        <w:t xml:space="preserve">Compliance with Credit Agreement. </w:t>
      </w:r>
      <w:r>
        <w:rPr>
          <w:rFonts w:ascii="Times New Roman" w:cs="Times New Roman" w:eastAsia="Times New Roman" w:hAnsi="Times New Roman"/>
          <w:sz w:val="14"/>
          <w:szCs w:val="14"/>
          <w:color w:val="auto"/>
        </w:rPr>
        <w:t>We are party to a credit agreement, dated as of October 19, 2018, as amended, with the various lenders party thereto and Bank of America, N.A., as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administrative agent (as amended on April 1, 2021, May 9, 2023, and May 15, 2024, the “Credit Agreement”). On May 15, 2024, we amended and restated the Credit Agreement to, among other things, increase the term loan facility and extend the maturity date. The Credit Agreement includes a revolving facility with a maximum revolver commitment of $650.0 million and a term loan facility in the principal amount of $450.0 million. The Credit Agreement also includes a $200.0 million sublimit for the issuance of letters of credit and a $50.0 million sublimit for swingline loans. The maturity of the Credit Agreement is January 15, 2029.</w:t>
      </w:r>
    </w:p>
    <w:p>
      <w:pPr>
        <w:spacing w:after="0" w:line="163" w:lineRule="exact"/>
        <w:rPr>
          <w:sz w:val="20"/>
          <w:szCs w:val="20"/>
          <w:color w:val="auto"/>
        </w:rPr>
      </w:pPr>
    </w:p>
    <w:p>
      <w:pPr>
        <w:ind w:right="120" w:firstLine="255"/>
        <w:spacing w:after="0" w:line="258" w:lineRule="auto"/>
        <w:rPr>
          <w:sz w:val="20"/>
          <w:szCs w:val="20"/>
          <w:color w:val="auto"/>
        </w:rPr>
      </w:pPr>
      <w:r>
        <w:rPr>
          <w:rFonts w:ascii="Times New Roman" w:cs="Times New Roman" w:eastAsia="Times New Roman" w:hAnsi="Times New Roman"/>
          <w:sz w:val="14"/>
          <w:szCs w:val="14"/>
          <w:color w:val="auto"/>
        </w:rPr>
        <w:t>Subject to certain conditions, the Credit Agreement provides us with the ability to enter into one or more incremental facilities either by increasing the revolving commitments under the Credit Agreement and/or by establishing one or more additional term loans, up to the sum of (i) $350.0 million and (ii) an aggregate amount such that, after giving effect to such incremental facilities on a pro forma basis (assuming that the amount of the incremental commitments are fully drawn and funded), the consolidated senior secured net leverage ratio does not exceed 2.25 to 1.00. The consolidated senior secured net leverage ratio is the ratio of our consolidated senior secured indebtedness reduced by unrestricted cash and equivalents in excess of $25.0 million to our trailing four-quarter consolidated earnings before interest, taxes, depreciation, and amortization (“EBITDA”), as defined by the Credit Agreement. Borrowings under the Credit Agreement are guaranteed by substantially all of our domestic subsidiaries and secured by 100% of the equity interests of our direct and indirect domestic subsidiaries and 65% of the voting equity interests and 100% of the non-voting interests of our first-tier foreign subsidiaries (subject to customary exceptions).</w:t>
      </w:r>
    </w:p>
    <w:p>
      <w:pPr>
        <w:spacing w:after="0" w:line="168" w:lineRule="exact"/>
        <w:rPr>
          <w:sz w:val="20"/>
          <w:szCs w:val="20"/>
          <w:color w:val="auto"/>
        </w:rPr>
      </w:pPr>
    </w:p>
    <w:p>
      <w:pPr>
        <w:ind w:right="20" w:firstLine="255"/>
        <w:spacing w:after="0" w:line="270" w:lineRule="auto"/>
        <w:rPr>
          <w:sz w:val="20"/>
          <w:szCs w:val="20"/>
          <w:color w:val="auto"/>
        </w:rPr>
      </w:pPr>
      <w:r>
        <w:rPr>
          <w:rFonts w:ascii="Times New Roman" w:cs="Times New Roman" w:eastAsia="Times New Roman" w:hAnsi="Times New Roman"/>
          <w:sz w:val="14"/>
          <w:szCs w:val="14"/>
          <w:color w:val="auto"/>
        </w:rPr>
        <w:t>Under our Credit Agreement, borrowings bear interest at the rates described below based upon our consolidated net leverage ratio, which is the ratio of our consolidated total funded debt reduced by unrestricted cash and equivalents in excess of $25.0 million to our trailing four-quarter consolidated EBITDA, as defined by our Credit Agreement. In addition, we incur certain fees for unused balances and letters of credit at the rates described below, also based upon our consolidated net leverage ratio.</w:t>
      </w: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37" w:name="page38"/>
    <w:bookmarkEnd w:id="37"/>
    <w:tbl>
      <w:tblPr>
        <w:tblLayout w:type="fixed"/>
        <w:tblInd w:w="0" w:type="dxa"/>
        <w:tblCellMar>
          <w:top w:w="0" w:type="dxa"/>
          <w:left w:w="0" w:type="dxa"/>
          <w:bottom w:w="0" w:type="dxa"/>
          <w:right w:w="0" w:type="dxa"/>
        </w:tblCellMar>
      </w:tblPr>
      <w:tr>
        <w:trPr>
          <w:trHeight w:val="161"/>
        </w:trPr>
        <w:tc>
          <w:tcPr>
            <w:tcW w:w="4040" w:type="dxa"/>
            <w:vAlign w:val="bottom"/>
            <w:gridSpan w:val="3"/>
          </w:tcPr>
          <w:p>
            <w:pPr>
              <w:spacing w:after="0"/>
              <w:rPr>
                <w:sz w:val="20"/>
                <w:szCs w:val="20"/>
                <w:color w:val="auto"/>
              </w:rPr>
            </w:pPr>
            <w:r>
              <w:rPr>
                <w:rFonts w:ascii="Times New Roman" w:cs="Times New Roman" w:eastAsia="Times New Roman" w:hAnsi="Times New Roman"/>
                <w:sz w:val="14"/>
                <w:szCs w:val="14"/>
                <w:color w:val="0000FF"/>
              </w:rPr>
              <w:t>Table of Contents</w:t>
            </w:r>
          </w:p>
        </w:tc>
        <w:tc>
          <w:tcPr>
            <w:tcW w:w="2600" w:type="dxa"/>
            <w:vAlign w:val="bottom"/>
          </w:tcPr>
          <w:p>
            <w:pPr>
              <w:spacing w:after="0"/>
              <w:rPr>
                <w:sz w:val="13"/>
                <w:szCs w:val="13"/>
                <w:color w:val="auto"/>
              </w:rPr>
            </w:pPr>
          </w:p>
        </w:tc>
        <w:tc>
          <w:tcPr>
            <w:tcW w:w="4620" w:type="dxa"/>
            <w:vAlign w:val="bottom"/>
          </w:tcPr>
          <w:p>
            <w:pPr>
              <w:spacing w:after="0"/>
              <w:rPr>
                <w:sz w:val="13"/>
                <w:szCs w:val="13"/>
                <w:color w:val="auto"/>
              </w:rPr>
            </w:pPr>
          </w:p>
        </w:tc>
      </w:tr>
      <w:tr>
        <w:trPr>
          <w:trHeight w:val="468"/>
        </w:trPr>
        <w:tc>
          <w:tcPr>
            <w:tcW w:w="20" w:type="dxa"/>
            <w:vAlign w:val="bottom"/>
            <w:tcBorders>
              <w:top w:val="single" w:sz="8" w:color="0000FF"/>
            </w:tcBorders>
          </w:tcPr>
          <w:p>
            <w:pPr>
              <w:spacing w:after="0"/>
              <w:rPr>
                <w:sz w:val="24"/>
                <w:szCs w:val="24"/>
                <w:color w:val="auto"/>
              </w:rPr>
            </w:pPr>
          </w:p>
        </w:tc>
        <w:tc>
          <w:tcPr>
            <w:tcW w:w="980" w:type="dxa"/>
            <w:vAlign w:val="bottom"/>
            <w:tcBorders>
              <w:top w:val="single" w:sz="8" w:color="0000FF"/>
            </w:tcBorders>
          </w:tcPr>
          <w:p>
            <w:pPr>
              <w:spacing w:after="0"/>
              <w:rPr>
                <w:sz w:val="24"/>
                <w:szCs w:val="24"/>
                <w:color w:val="auto"/>
              </w:rPr>
            </w:pPr>
          </w:p>
        </w:tc>
        <w:tc>
          <w:tcPr>
            <w:tcW w:w="304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4620" w:type="dxa"/>
            <w:vAlign w:val="bottom"/>
          </w:tcPr>
          <w:p>
            <w:pPr>
              <w:spacing w:after="0"/>
              <w:rPr>
                <w:sz w:val="24"/>
                <w:szCs w:val="24"/>
                <w:color w:val="auto"/>
              </w:rPr>
            </w:pPr>
          </w:p>
        </w:tc>
      </w:tr>
      <w:tr>
        <w:trPr>
          <w:trHeight w:val="180"/>
        </w:trPr>
        <w:tc>
          <w:tcPr>
            <w:tcW w:w="20" w:type="dxa"/>
            <w:vAlign w:val="bottom"/>
          </w:tcPr>
          <w:p>
            <w:pPr>
              <w:spacing w:after="0"/>
              <w:rPr>
                <w:sz w:val="15"/>
                <w:szCs w:val="15"/>
                <w:color w:val="auto"/>
              </w:rPr>
            </w:pPr>
          </w:p>
        </w:tc>
        <w:tc>
          <w:tcPr>
            <w:tcW w:w="4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Borrowings - Term SOFR Loans</w:t>
            </w:r>
          </w:p>
        </w:tc>
        <w:tc>
          <w:tcPr>
            <w:tcW w:w="2600" w:type="dxa"/>
            <w:vAlign w:val="bottom"/>
            <w:shd w:val="clear" w:color="auto" w:fill="CCEEFF"/>
          </w:tcPr>
          <w:p>
            <w:pPr>
              <w:ind w:left="2140"/>
              <w:spacing w:after="0"/>
              <w:rPr>
                <w:sz w:val="20"/>
                <w:szCs w:val="20"/>
                <w:color w:val="auto"/>
              </w:rPr>
            </w:pPr>
            <w:r>
              <w:rPr>
                <w:rFonts w:ascii="Times New Roman" w:cs="Times New Roman" w:eastAsia="Times New Roman" w:hAnsi="Times New Roman"/>
                <w:sz w:val="14"/>
                <w:szCs w:val="14"/>
                <w:color w:val="auto"/>
              </w:rPr>
              <w:t>1.375%</w:t>
            </w:r>
          </w:p>
        </w:tc>
        <w:tc>
          <w:tcPr>
            <w:tcW w:w="4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- 2.00% plus Term SOFR</w:t>
            </w:r>
          </w:p>
        </w:tc>
      </w:tr>
      <w:tr>
        <w:trPr>
          <w:trHeight w:val="180"/>
        </w:trPr>
        <w:tc>
          <w:tcPr>
            <w:tcW w:w="20" w:type="dxa"/>
            <w:vAlign w:val="bottom"/>
          </w:tcPr>
          <w:p>
            <w:pPr>
              <w:spacing w:after="0"/>
              <w:rPr>
                <w:sz w:val="15"/>
                <w:szCs w:val="15"/>
                <w:color w:val="auto"/>
              </w:rPr>
            </w:pPr>
          </w:p>
        </w:tc>
        <w:tc>
          <w:tcPr>
            <w:tcW w:w="40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Borrowings - Base Rate Loans</w:t>
            </w:r>
          </w:p>
        </w:tc>
        <w:tc>
          <w:tcPr>
            <w:tcW w:w="2600" w:type="dxa"/>
            <w:vAlign w:val="bottom"/>
          </w:tcPr>
          <w:p>
            <w:pPr>
              <w:ind w:left="2140"/>
              <w:spacing w:after="0"/>
              <w:rPr>
                <w:sz w:val="20"/>
                <w:szCs w:val="20"/>
                <w:color w:val="auto"/>
              </w:rPr>
            </w:pPr>
            <w:r>
              <w:rPr>
                <w:rFonts w:ascii="Times New Roman" w:cs="Times New Roman" w:eastAsia="Times New Roman" w:hAnsi="Times New Roman"/>
                <w:sz w:val="14"/>
                <w:szCs w:val="14"/>
                <w:color w:val="auto"/>
              </w:rPr>
              <w:t>0.375%</w:t>
            </w:r>
          </w:p>
        </w:tc>
        <w:tc>
          <w:tcPr>
            <w:tcW w:w="4620" w:type="dxa"/>
            <w:vAlign w:val="bottom"/>
          </w:tcPr>
          <w:p>
            <w:pPr>
              <w:ind w:left="20"/>
              <w:spacing w:after="0" w:line="181" w:lineRule="exact"/>
              <w:rPr>
                <w:sz w:val="20"/>
                <w:szCs w:val="20"/>
                <w:color w:val="auto"/>
              </w:rPr>
            </w:pPr>
            <w:r>
              <w:rPr>
                <w:rFonts w:ascii="Times New Roman" w:cs="Times New Roman" w:eastAsia="Times New Roman" w:hAnsi="Times New Roman"/>
                <w:sz w:val="14"/>
                <w:szCs w:val="14"/>
                <w:color w:val="auto"/>
              </w:rPr>
              <w:t>- 1.00% plus Base rate</w:t>
            </w:r>
            <w:r>
              <w:rPr>
                <w:rFonts w:ascii="Times New Roman" w:cs="Times New Roman" w:eastAsia="Times New Roman" w:hAnsi="Times New Roman"/>
                <w:sz w:val="18"/>
                <w:szCs w:val="18"/>
                <w:color w:val="auto"/>
                <w:vertAlign w:val="superscript"/>
              </w:rPr>
              <w:t>(1)</w:t>
            </w:r>
          </w:p>
        </w:tc>
      </w:tr>
      <w:tr>
        <w:trPr>
          <w:trHeight w:val="180"/>
        </w:trPr>
        <w:tc>
          <w:tcPr>
            <w:tcW w:w="20" w:type="dxa"/>
            <w:vAlign w:val="bottom"/>
          </w:tcPr>
          <w:p>
            <w:pPr>
              <w:spacing w:after="0"/>
              <w:rPr>
                <w:sz w:val="15"/>
                <w:szCs w:val="15"/>
                <w:color w:val="auto"/>
              </w:rPr>
            </w:pPr>
          </w:p>
        </w:tc>
        <w:tc>
          <w:tcPr>
            <w:tcW w:w="4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Unused Revolver Commitment</w:t>
            </w:r>
          </w:p>
        </w:tc>
        <w:tc>
          <w:tcPr>
            <w:tcW w:w="7220" w:type="dxa"/>
            <w:vAlign w:val="bottom"/>
            <w:gridSpan w:val="2"/>
            <w:shd w:val="clear" w:color="auto" w:fill="CCEEFF"/>
          </w:tcPr>
          <w:p>
            <w:pPr>
              <w:ind w:left="2140"/>
              <w:spacing w:after="0"/>
              <w:rPr>
                <w:sz w:val="20"/>
                <w:szCs w:val="20"/>
                <w:color w:val="auto"/>
              </w:rPr>
            </w:pPr>
            <w:r>
              <w:rPr>
                <w:rFonts w:ascii="Times New Roman" w:cs="Times New Roman" w:eastAsia="Times New Roman" w:hAnsi="Times New Roman"/>
                <w:sz w:val="14"/>
                <w:szCs w:val="14"/>
                <w:color w:val="auto"/>
              </w:rPr>
              <w:t>0.20% - 0.40%</w:t>
            </w:r>
          </w:p>
        </w:tc>
      </w:tr>
      <w:tr>
        <w:trPr>
          <w:trHeight w:val="180"/>
        </w:trPr>
        <w:tc>
          <w:tcPr>
            <w:tcW w:w="20" w:type="dxa"/>
            <w:vAlign w:val="bottom"/>
          </w:tcPr>
          <w:p>
            <w:pPr>
              <w:spacing w:after="0"/>
              <w:rPr>
                <w:sz w:val="15"/>
                <w:szCs w:val="15"/>
                <w:color w:val="auto"/>
              </w:rPr>
            </w:pPr>
          </w:p>
        </w:tc>
        <w:tc>
          <w:tcPr>
            <w:tcW w:w="40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Standby Letters of Credit</w:t>
            </w:r>
          </w:p>
        </w:tc>
        <w:tc>
          <w:tcPr>
            <w:tcW w:w="2600" w:type="dxa"/>
            <w:vAlign w:val="bottom"/>
          </w:tcPr>
          <w:p>
            <w:pPr>
              <w:ind w:left="2140"/>
              <w:spacing w:after="0"/>
              <w:rPr>
                <w:sz w:val="20"/>
                <w:szCs w:val="20"/>
                <w:color w:val="auto"/>
              </w:rPr>
            </w:pPr>
            <w:r>
              <w:rPr>
                <w:rFonts w:ascii="Times New Roman" w:cs="Times New Roman" w:eastAsia="Times New Roman" w:hAnsi="Times New Roman"/>
                <w:sz w:val="14"/>
                <w:szCs w:val="14"/>
                <w:color w:val="auto"/>
              </w:rPr>
              <w:t>1.375%</w:t>
            </w:r>
          </w:p>
        </w:tc>
        <w:tc>
          <w:tcPr>
            <w:tcW w:w="4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- 2.00%</w:t>
            </w:r>
          </w:p>
        </w:tc>
      </w:tr>
      <w:tr>
        <w:trPr>
          <w:trHeight w:val="180"/>
        </w:trPr>
        <w:tc>
          <w:tcPr>
            <w:tcW w:w="20" w:type="dxa"/>
            <w:vAlign w:val="bottom"/>
          </w:tcPr>
          <w:p>
            <w:pPr>
              <w:spacing w:after="0"/>
              <w:rPr>
                <w:sz w:val="15"/>
                <w:szCs w:val="15"/>
                <w:color w:val="auto"/>
              </w:rPr>
            </w:pPr>
          </w:p>
        </w:tc>
        <w:tc>
          <w:tcPr>
            <w:tcW w:w="4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Commercial Letters of Credit</w:t>
            </w:r>
          </w:p>
        </w:tc>
        <w:tc>
          <w:tcPr>
            <w:tcW w:w="7220" w:type="dxa"/>
            <w:vAlign w:val="bottom"/>
            <w:gridSpan w:val="2"/>
            <w:shd w:val="clear" w:color="auto" w:fill="CCEEFF"/>
          </w:tcPr>
          <w:p>
            <w:pPr>
              <w:ind w:left="2140"/>
              <w:spacing w:after="0"/>
              <w:rPr>
                <w:sz w:val="20"/>
                <w:szCs w:val="20"/>
                <w:color w:val="auto"/>
              </w:rPr>
            </w:pPr>
            <w:r>
              <w:rPr>
                <w:rFonts w:ascii="Times New Roman" w:cs="Times New Roman" w:eastAsia="Times New Roman" w:hAnsi="Times New Roman"/>
                <w:sz w:val="14"/>
                <w:szCs w:val="14"/>
                <w:color w:val="auto"/>
              </w:rPr>
              <w:t>0.6875% - 1.000%</w:t>
            </w:r>
          </w:p>
        </w:tc>
      </w:tr>
    </w:tbl>
    <w:p>
      <w:pPr>
        <w:spacing w:after="0" w:line="70" w:lineRule="exact"/>
        <w:rPr>
          <w:sz w:val="20"/>
          <w:szCs w:val="20"/>
          <w:color w:val="auto"/>
        </w:rPr>
      </w:pPr>
    </w:p>
    <w:p>
      <w:pPr>
        <w:ind w:right="260" w:firstLine="5"/>
        <w:spacing w:after="0" w:line="272" w:lineRule="auto"/>
        <w:tabs>
          <w:tab w:leader="none" w:pos="130" w:val="left"/>
        </w:tabs>
        <w:numPr>
          <w:ilvl w:val="0"/>
          <w:numId w:val="8"/>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3"/>
          <w:szCs w:val="13"/>
          <w:color w:val="auto"/>
        </w:rPr>
        <w:t>Base rate is described in the Credit Agreement as the highest of (i) the Federal Funds Rate plus 0.50%, (ii) the administrative agent’s prime rate, and (iii) the Term Secured Overnight Financing Rate (“SOFR”) plus 1.00% and if such rate is less than zero, such rate shall be deemed zero.</w:t>
      </w:r>
    </w:p>
    <w:p>
      <w:pPr>
        <w:spacing w:after="0" w:line="15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Standby letters of credit of approximately $47.5 million, issued as part of our insurance program, were outstanding under our Credit Agreement as of both January 25, 2025 and January 27, 2024.</w:t>
      </w:r>
    </w:p>
    <w:p>
      <w:pPr>
        <w:spacing w:after="0" w:line="20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weighted average interest rates and fees for balances under our Credit Agreement as of January 25, 2025 and January 27, 2024 were as follows:</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7000" w:type="dxa"/>
            <w:vAlign w:val="bottom"/>
          </w:tcPr>
          <w:p>
            <w:pPr>
              <w:spacing w:after="0"/>
              <w:rPr>
                <w:sz w:val="16"/>
                <w:szCs w:val="16"/>
                <w:color w:val="auto"/>
              </w:rPr>
            </w:pPr>
          </w:p>
        </w:tc>
        <w:tc>
          <w:tcPr>
            <w:tcW w:w="4280" w:type="dxa"/>
            <w:vAlign w:val="bottom"/>
            <w:tcBorders>
              <w:bottom w:val="single" w:sz="8" w:color="auto"/>
            </w:tcBorders>
            <w:gridSpan w:val="3"/>
          </w:tcPr>
          <w:p>
            <w:pPr>
              <w:ind w:left="1000"/>
              <w:spacing w:after="0"/>
              <w:rPr>
                <w:sz w:val="20"/>
                <w:szCs w:val="20"/>
                <w:color w:val="auto"/>
              </w:rPr>
            </w:pPr>
            <w:r>
              <w:rPr>
                <w:rFonts w:ascii="Times New Roman" w:cs="Times New Roman" w:eastAsia="Times New Roman" w:hAnsi="Times New Roman"/>
                <w:sz w:val="14"/>
                <w:szCs w:val="14"/>
                <w:b w:val="1"/>
                <w:bCs w:val="1"/>
                <w:color w:val="auto"/>
              </w:rPr>
              <w:t>Weighted Average Rate End of Period</w:t>
            </w:r>
          </w:p>
        </w:tc>
      </w:tr>
      <w:tr>
        <w:trPr>
          <w:trHeight w:val="182"/>
        </w:trPr>
        <w:tc>
          <w:tcPr>
            <w:tcW w:w="7000" w:type="dxa"/>
            <w:vAlign w:val="bottom"/>
          </w:tcPr>
          <w:p>
            <w:pPr>
              <w:spacing w:after="0"/>
              <w:rPr>
                <w:sz w:val="15"/>
                <w:szCs w:val="15"/>
                <w:color w:val="auto"/>
              </w:rPr>
            </w:pPr>
          </w:p>
        </w:tc>
        <w:tc>
          <w:tcPr>
            <w:tcW w:w="2200" w:type="dxa"/>
            <w:vAlign w:val="bottom"/>
            <w:gridSpan w:val="2"/>
          </w:tcPr>
          <w:p>
            <w:pPr>
              <w:ind w:left="540"/>
              <w:spacing w:after="0"/>
              <w:rPr>
                <w:sz w:val="20"/>
                <w:szCs w:val="20"/>
                <w:color w:val="auto"/>
              </w:rPr>
            </w:pPr>
            <w:r>
              <w:rPr>
                <w:rFonts w:ascii="Times New Roman" w:cs="Times New Roman" w:eastAsia="Times New Roman" w:hAnsi="Times New Roman"/>
                <w:sz w:val="14"/>
                <w:szCs w:val="14"/>
                <w:b w:val="1"/>
                <w:bCs w:val="1"/>
                <w:color w:val="auto"/>
              </w:rPr>
              <w:t>January 25, 2025</w:t>
            </w:r>
          </w:p>
        </w:tc>
        <w:tc>
          <w:tcPr>
            <w:tcW w:w="2080" w:type="dxa"/>
            <w:vAlign w:val="bottom"/>
          </w:tcPr>
          <w:p>
            <w:pPr>
              <w:ind w:left="520"/>
              <w:spacing w:after="0"/>
              <w:rPr>
                <w:sz w:val="20"/>
                <w:szCs w:val="20"/>
                <w:color w:val="auto"/>
              </w:rPr>
            </w:pPr>
            <w:r>
              <w:rPr>
                <w:rFonts w:ascii="Times New Roman" w:cs="Times New Roman" w:eastAsia="Times New Roman" w:hAnsi="Times New Roman"/>
                <w:sz w:val="14"/>
                <w:szCs w:val="14"/>
                <w:b w:val="1"/>
                <w:bCs w:val="1"/>
                <w:color w:val="auto"/>
              </w:rPr>
              <w:t>January 27, 2024</w:t>
            </w:r>
          </w:p>
        </w:tc>
      </w:tr>
      <w:tr>
        <w:trPr>
          <w:trHeight w:val="180"/>
        </w:trPr>
        <w:tc>
          <w:tcPr>
            <w:tcW w:w="70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Borrowings - Term loan facility</w:t>
            </w:r>
          </w:p>
        </w:tc>
        <w:tc>
          <w:tcPr>
            <w:tcW w:w="21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6.02%</w:t>
            </w:r>
          </w:p>
        </w:tc>
        <w:tc>
          <w:tcPr>
            <w:tcW w:w="100" w:type="dxa"/>
            <w:vAlign w:val="bottom"/>
            <w:tcBorders>
              <w:top w:val="single" w:sz="8" w:color="CCEEFF"/>
            </w:tcBorders>
            <w:shd w:val="clear" w:color="auto" w:fill="CCEEFF"/>
          </w:tcPr>
          <w:p>
            <w:pPr>
              <w:spacing w:after="0"/>
              <w:rPr>
                <w:sz w:val="15"/>
                <w:szCs w:val="15"/>
                <w:color w:val="auto"/>
              </w:rPr>
            </w:pPr>
          </w:p>
        </w:tc>
        <w:tc>
          <w:tcPr>
            <w:tcW w:w="20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7.06%</w:t>
            </w:r>
          </w:p>
        </w:tc>
      </w:tr>
      <w:tr>
        <w:trPr>
          <w:trHeight w:val="180"/>
        </w:trPr>
        <w:tc>
          <w:tcPr>
            <w:tcW w:w="7000" w:type="dxa"/>
            <w:vAlign w:val="bottom"/>
          </w:tcPr>
          <w:p>
            <w:pPr>
              <w:ind w:left="20"/>
              <w:spacing w:after="0" w:line="181" w:lineRule="exact"/>
              <w:rPr>
                <w:sz w:val="20"/>
                <w:szCs w:val="20"/>
                <w:color w:val="auto"/>
              </w:rPr>
            </w:pPr>
            <w:r>
              <w:rPr>
                <w:rFonts w:ascii="Times New Roman" w:cs="Times New Roman" w:eastAsia="Times New Roman" w:hAnsi="Times New Roman"/>
                <w:sz w:val="14"/>
                <w:szCs w:val="14"/>
                <w:color w:val="auto"/>
              </w:rPr>
              <w:t>Borrowings - Revolving facility</w:t>
            </w:r>
            <w:r>
              <w:rPr>
                <w:rFonts w:ascii="Times New Roman" w:cs="Times New Roman" w:eastAsia="Times New Roman" w:hAnsi="Times New Roman"/>
                <w:sz w:val="18"/>
                <w:szCs w:val="18"/>
                <w:color w:val="auto"/>
                <w:vertAlign w:val="superscript"/>
              </w:rPr>
              <w:t>(1)</w:t>
            </w:r>
          </w:p>
        </w:tc>
        <w:tc>
          <w:tcPr>
            <w:tcW w:w="22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w:t>
            </w:r>
          </w:p>
        </w:tc>
        <w:tc>
          <w:tcPr>
            <w:tcW w:w="20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Standby Letters of Credit</w:t>
            </w:r>
          </w:p>
        </w:tc>
        <w:tc>
          <w:tcPr>
            <w:tcW w:w="2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1.63%</w:t>
            </w:r>
          </w:p>
        </w:tc>
        <w:tc>
          <w:tcPr>
            <w:tcW w:w="100" w:type="dxa"/>
            <w:vAlign w:val="bottom"/>
            <w:shd w:val="clear" w:color="auto" w:fill="CCEEFF"/>
          </w:tcPr>
          <w:p>
            <w:pPr>
              <w:spacing w:after="0"/>
              <w:rPr>
                <w:sz w:val="15"/>
                <w:szCs w:val="15"/>
                <w:color w:val="auto"/>
              </w:rPr>
            </w:pPr>
          </w:p>
        </w:tc>
        <w:tc>
          <w:tcPr>
            <w:tcW w:w="2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1.63%</w:t>
            </w:r>
          </w:p>
        </w:tc>
      </w:tr>
      <w:tr>
        <w:trPr>
          <w:trHeight w:val="184"/>
        </w:trPr>
        <w:tc>
          <w:tcPr>
            <w:tcW w:w="7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Unused Revolver Commitment</w:t>
            </w:r>
          </w:p>
        </w:tc>
        <w:tc>
          <w:tcPr>
            <w:tcW w:w="21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0.30%</w:t>
            </w:r>
          </w:p>
        </w:tc>
        <w:tc>
          <w:tcPr>
            <w:tcW w:w="100" w:type="dxa"/>
            <w:vAlign w:val="bottom"/>
          </w:tcPr>
          <w:p>
            <w:pPr>
              <w:spacing w:after="0"/>
              <w:rPr>
                <w:sz w:val="16"/>
                <w:szCs w:val="16"/>
                <w:color w:val="auto"/>
              </w:rPr>
            </w:pPr>
          </w:p>
        </w:tc>
        <w:tc>
          <w:tcPr>
            <w:tcW w:w="20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0.30%</w:t>
            </w:r>
          </w:p>
        </w:tc>
      </w:tr>
    </w:tbl>
    <w:p>
      <w:pPr>
        <w:spacing w:after="0" w:line="55" w:lineRule="exact"/>
        <w:rPr>
          <w:sz w:val="20"/>
          <w:szCs w:val="20"/>
          <w:color w:val="auto"/>
        </w:rPr>
      </w:pPr>
    </w:p>
    <w:p>
      <w:pPr>
        <w:ind w:left="140" w:hanging="135"/>
        <w:spacing w:after="0"/>
        <w:tabs>
          <w:tab w:leader="none" w:pos="140" w:val="left"/>
        </w:tabs>
        <w:numPr>
          <w:ilvl w:val="0"/>
          <w:numId w:val="9"/>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There were no outstanding borrowings under our revolving facility as of January 27, 2024 and January 25, 2025.</w:t>
      </w:r>
    </w:p>
    <w:p>
      <w:pPr>
        <w:spacing w:after="0" w:line="187" w:lineRule="exact"/>
        <w:rPr>
          <w:sz w:val="20"/>
          <w:szCs w:val="20"/>
          <w:color w:val="auto"/>
        </w:rPr>
      </w:pPr>
    </w:p>
    <w:p>
      <w:pPr>
        <w:ind w:right="20" w:firstLine="255"/>
        <w:spacing w:after="0" w:line="258" w:lineRule="auto"/>
        <w:rPr>
          <w:sz w:val="20"/>
          <w:szCs w:val="20"/>
          <w:color w:val="auto"/>
        </w:rPr>
      </w:pPr>
      <w:r>
        <w:rPr>
          <w:rFonts w:ascii="Times New Roman" w:cs="Times New Roman" w:eastAsia="Times New Roman" w:hAnsi="Times New Roman"/>
          <w:sz w:val="14"/>
          <w:szCs w:val="14"/>
          <w:color w:val="auto"/>
        </w:rPr>
        <w:t>Our Credit Agreement contains a financial covenant that requires us to maintain a consolidated net leverage ratio of not greater than 3.50 to 1.00, as measured at the end of each fiscal quarter, and provides for certain increases to this ratio in connection with permitted acquisitions. The consolidated net leverage ratio is the ratio of our consolidated indebtedness reduced by unrestricted cash and cash equivalents in excess of $25.0 million to our trailing four-quarter consolidated earnings before interest, taxes, depreciation, and amortization as defined by our Credit Agreement. The agreement also contains a financial covenant that requires us to maintain a consolidated interest coverage ratio, which is the ratio of our trailing four-quarter consolidated EBITDA to our consolidated interest expense, each as defined by our Credit Agreement, of not less than 3.00 to 1.00, as measured at the end of each fiscal quarter. At January 25, 2025 and January 27, 2024, we were in compliance with the financial covenants of our Credit Agreement and had borrowing availability under our revolving facility of $602.5 million, as determined by the most restrictive covenant. For calculation purposes, applicable cash on hand is netted against the funded debt amount as permitted in the Credit Agreement.</w:t>
      </w:r>
    </w:p>
    <w:p>
      <w:pPr>
        <w:spacing w:after="0" w:line="168" w:lineRule="exact"/>
        <w:rPr>
          <w:sz w:val="20"/>
          <w:szCs w:val="20"/>
          <w:color w:val="auto"/>
        </w:rPr>
      </w:pPr>
    </w:p>
    <w:p>
      <w:pPr>
        <w:ind w:right="20" w:firstLine="255"/>
        <w:spacing w:after="0" w:line="261" w:lineRule="auto"/>
        <w:rPr>
          <w:sz w:val="20"/>
          <w:szCs w:val="20"/>
          <w:color w:val="auto"/>
        </w:rPr>
      </w:pPr>
      <w:r>
        <w:rPr>
          <w:rFonts w:ascii="Times New Roman" w:cs="Times New Roman" w:eastAsia="Times New Roman" w:hAnsi="Times New Roman"/>
          <w:sz w:val="14"/>
          <w:szCs w:val="14"/>
          <w:color w:val="auto"/>
        </w:rPr>
        <w:t>The indenture governing the 2029 Notes contains certain covenants that limit, among other things, our ability and the ability of certain of our subsidiaries to (i) incur additional debt and issue certain preferred stock, (ii) pay certain dividends on, repurchase, or make distributions in respect of, our and our subsidiaries’ capital stock or make other payments restricted by the indenture, (iii) enter into agreements that place limitations on distributions made from certain of our subsidiaries, (iv) guarantee certain debt, (v) make certain investments, (vi) sell or exchange certain assets, (vii) enter into transactions with affiliates, (viii) create certain liens, and (ix) consolidate, merge or transfer all or substantially all of our or our Subsidiaries’ assets. These covenants are subject to a number of exceptions, limitations and qualifications as set forth in the indenture governing the 2029 Notes.</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6" w:right="319" w:bottom="1440" w:gutter="0" w:footer="0" w:header="0"/>
        </w:sectPr>
      </w:pPr>
    </w:p>
    <w:bookmarkStart w:id="38" w:name="page39"/>
    <w:bookmarkEnd w:id="38"/>
    <w:tbl>
      <w:tblPr>
        <w:tblLayout w:type="fixed"/>
        <w:tblInd w:w="0" w:type="dxa"/>
        <w:tblCellMar>
          <w:top w:w="0" w:type="dxa"/>
          <w:left w:w="0" w:type="dxa"/>
          <w:bottom w:w="0" w:type="dxa"/>
          <w:right w:w="0" w:type="dxa"/>
        </w:tblCellMar>
      </w:tblPr>
      <w:tr>
        <w:trPr>
          <w:trHeight w:val="161"/>
        </w:trPr>
        <w:tc>
          <w:tcPr>
            <w:tcW w:w="7340" w:type="dxa"/>
            <w:vAlign w:val="bottom"/>
            <w:gridSpan w:val="3"/>
          </w:tcPr>
          <w:p>
            <w:pPr>
              <w:spacing w:after="0"/>
              <w:rPr>
                <w:sz w:val="20"/>
                <w:szCs w:val="20"/>
                <w:color w:val="auto"/>
              </w:rPr>
            </w:pPr>
            <w:r>
              <w:rPr>
                <w:rFonts w:ascii="Times New Roman" w:cs="Times New Roman" w:eastAsia="Times New Roman" w:hAnsi="Times New Roman"/>
                <w:sz w:val="14"/>
                <w:szCs w:val="14"/>
                <w:color w:val="0000FF"/>
              </w:rPr>
              <w:t>Table of Contents</w:t>
            </w:r>
          </w:p>
        </w:tc>
        <w:tc>
          <w:tcPr>
            <w:tcW w:w="3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60" w:type="dxa"/>
            <w:vAlign w:val="bottom"/>
          </w:tcPr>
          <w:p>
            <w:pPr>
              <w:spacing w:after="0"/>
              <w:rPr>
                <w:sz w:val="13"/>
                <w:szCs w:val="13"/>
                <w:color w:val="auto"/>
              </w:rPr>
            </w:pPr>
          </w:p>
        </w:tc>
      </w:tr>
      <w:tr>
        <w:trPr>
          <w:trHeight w:val="20"/>
        </w:trPr>
        <w:tc>
          <w:tcPr>
            <w:tcW w:w="80" w:type="dxa"/>
            <w:vAlign w:val="bottom"/>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754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616"/>
        </w:trPr>
        <w:tc>
          <w:tcPr>
            <w:tcW w:w="80" w:type="dxa"/>
            <w:vAlign w:val="bottom"/>
          </w:tcPr>
          <w:p>
            <w:pPr>
              <w:spacing w:after="0"/>
              <w:rPr>
                <w:sz w:val="24"/>
                <w:szCs w:val="24"/>
                <w:color w:val="auto"/>
              </w:rPr>
            </w:pPr>
          </w:p>
        </w:tc>
        <w:tc>
          <w:tcPr>
            <w:tcW w:w="8560" w:type="dxa"/>
            <w:vAlign w:val="bottom"/>
            <w:gridSpan w:val="5"/>
          </w:tcPr>
          <w:p>
            <w:pPr>
              <w:ind w:left="180"/>
              <w:spacing w:after="0"/>
              <w:rPr>
                <w:sz w:val="20"/>
                <w:szCs w:val="20"/>
                <w:color w:val="auto"/>
              </w:rPr>
            </w:pPr>
            <w:r>
              <w:rPr>
                <w:rFonts w:ascii="Times New Roman" w:cs="Times New Roman" w:eastAsia="Times New Roman" w:hAnsi="Times New Roman"/>
                <w:sz w:val="14"/>
                <w:szCs w:val="14"/>
                <w:i w:val="1"/>
                <w:iCs w:val="1"/>
                <w:color w:val="auto"/>
              </w:rPr>
              <w:t xml:space="preserve">Contractual Obligations. </w:t>
            </w:r>
            <w:r>
              <w:rPr>
                <w:rFonts w:ascii="Times New Roman" w:cs="Times New Roman" w:eastAsia="Times New Roman" w:hAnsi="Times New Roman"/>
                <w:sz w:val="14"/>
                <w:szCs w:val="14"/>
                <w:color w:val="auto"/>
              </w:rPr>
              <w:t>The following table sets forth our outstanding contractual obligations as of January 25, 2025 (dollars in thousands):</w:t>
            </w: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03"/>
        </w:trPr>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340" w:type="dxa"/>
            <w:vAlign w:val="bottom"/>
          </w:tcPr>
          <w:p>
            <w:pPr>
              <w:spacing w:after="0"/>
              <w:rPr>
                <w:sz w:val="17"/>
                <w:szCs w:val="17"/>
                <w:color w:val="auto"/>
              </w:rPr>
            </w:pPr>
          </w:p>
        </w:tc>
        <w:tc>
          <w:tcPr>
            <w:tcW w:w="130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Due in Fiscal 2026</w:t>
            </w:r>
          </w:p>
        </w:tc>
        <w:tc>
          <w:tcPr>
            <w:tcW w:w="100" w:type="dxa"/>
            <w:vAlign w:val="bottom"/>
          </w:tcPr>
          <w:p>
            <w:pPr>
              <w:spacing w:after="0"/>
              <w:rPr>
                <w:sz w:val="17"/>
                <w:szCs w:val="17"/>
                <w:color w:val="auto"/>
              </w:rPr>
            </w:pPr>
          </w:p>
        </w:tc>
        <w:tc>
          <w:tcPr>
            <w:tcW w:w="12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Due Thereafter</w:t>
            </w:r>
          </w:p>
        </w:tc>
        <w:tc>
          <w:tcPr>
            <w:tcW w:w="280" w:type="dxa"/>
            <w:vAlign w:val="bottom"/>
          </w:tcPr>
          <w:p>
            <w:pPr>
              <w:spacing w:after="0"/>
              <w:rPr>
                <w:sz w:val="17"/>
                <w:szCs w:val="17"/>
                <w:color w:val="auto"/>
              </w:rPr>
            </w:pPr>
          </w:p>
        </w:tc>
        <w:tc>
          <w:tcPr>
            <w:tcW w:w="960" w:type="dxa"/>
            <w:vAlign w:val="bottom"/>
          </w:tcPr>
          <w:p>
            <w:pPr>
              <w:jc w:val="right"/>
              <w:ind w:right="389"/>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180"/>
        </w:trPr>
        <w:tc>
          <w:tcPr>
            <w:tcW w:w="80" w:type="dxa"/>
            <w:vAlign w:val="bottom"/>
          </w:tcPr>
          <w:p>
            <w:pPr>
              <w:spacing w:after="0"/>
              <w:rPr>
                <w:sz w:val="15"/>
                <w:szCs w:val="15"/>
                <w:color w:val="auto"/>
              </w:rPr>
            </w:pPr>
          </w:p>
        </w:tc>
        <w:tc>
          <w:tcPr>
            <w:tcW w:w="726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2029 Notes</w:t>
            </w:r>
          </w:p>
        </w:tc>
        <w:tc>
          <w:tcPr>
            <w:tcW w:w="380" w:type="dxa"/>
            <w:vAlign w:val="bottom"/>
            <w:tcBorders>
              <w:top w:val="single" w:sz="8" w:color="auto"/>
            </w:tcBorders>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500,000</w:t>
            </w:r>
          </w:p>
        </w:tc>
        <w:tc>
          <w:tcPr>
            <w:tcW w:w="10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auto"/>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500,000</w:t>
            </w:r>
          </w:p>
        </w:tc>
      </w:tr>
      <w:tr>
        <w:trPr>
          <w:trHeight w:val="180"/>
        </w:trPr>
        <w:tc>
          <w:tcPr>
            <w:tcW w:w="80" w:type="dxa"/>
            <w:vAlign w:val="bottom"/>
          </w:tcPr>
          <w:p>
            <w:pPr>
              <w:spacing w:after="0"/>
              <w:rPr>
                <w:sz w:val="15"/>
                <w:szCs w:val="15"/>
                <w:color w:val="auto"/>
              </w:rPr>
            </w:pPr>
          </w:p>
        </w:tc>
        <w:tc>
          <w:tcPr>
            <w:tcW w:w="72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Credit agreement – term loan facility</w:t>
            </w:r>
          </w:p>
        </w:tc>
        <w:tc>
          <w:tcPr>
            <w:tcW w:w="38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10,000</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440,000</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450,000</w:t>
            </w:r>
          </w:p>
        </w:tc>
      </w:tr>
      <w:tr>
        <w:trPr>
          <w:trHeight w:val="180"/>
        </w:trPr>
        <w:tc>
          <w:tcPr>
            <w:tcW w:w="80" w:type="dxa"/>
            <w:vAlign w:val="bottom"/>
          </w:tcPr>
          <w:p>
            <w:pPr>
              <w:spacing w:after="0"/>
              <w:rPr>
                <w:sz w:val="15"/>
                <w:szCs w:val="15"/>
                <w:color w:val="auto"/>
              </w:rPr>
            </w:pPr>
          </w:p>
        </w:tc>
        <w:tc>
          <w:tcPr>
            <w:tcW w:w="7260" w:type="dxa"/>
            <w:vAlign w:val="bottom"/>
            <w:gridSpan w:val="2"/>
            <w:shd w:val="clear" w:color="auto" w:fill="CCEEFF"/>
          </w:tcPr>
          <w:p>
            <w:pPr>
              <w:ind w:left="20"/>
              <w:spacing w:after="0" w:line="181" w:lineRule="exact"/>
              <w:rPr>
                <w:sz w:val="20"/>
                <w:szCs w:val="20"/>
                <w:color w:val="auto"/>
              </w:rPr>
            </w:pPr>
            <w:r>
              <w:rPr>
                <w:rFonts w:ascii="Times New Roman" w:cs="Times New Roman" w:eastAsia="Times New Roman" w:hAnsi="Times New Roman"/>
                <w:sz w:val="14"/>
                <w:szCs w:val="14"/>
                <w:color w:val="auto"/>
              </w:rPr>
              <w:t>Fixed interest payments on long-term debt</w:t>
            </w:r>
            <w:r>
              <w:rPr>
                <w:rFonts w:ascii="Times New Roman" w:cs="Times New Roman" w:eastAsia="Times New Roman" w:hAnsi="Times New Roman"/>
                <w:sz w:val="18"/>
                <w:szCs w:val="18"/>
                <w:color w:val="auto"/>
                <w:vertAlign w:val="superscript"/>
              </w:rPr>
              <w:t>(1)</w:t>
            </w:r>
          </w:p>
        </w:tc>
        <w:tc>
          <w:tcPr>
            <w:tcW w:w="38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22,500</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78,750</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101,250</w:t>
            </w:r>
          </w:p>
        </w:tc>
      </w:tr>
      <w:tr>
        <w:trPr>
          <w:trHeight w:val="180"/>
        </w:trPr>
        <w:tc>
          <w:tcPr>
            <w:tcW w:w="80" w:type="dxa"/>
            <w:vAlign w:val="bottom"/>
          </w:tcPr>
          <w:p>
            <w:pPr>
              <w:spacing w:after="0"/>
              <w:rPr>
                <w:sz w:val="15"/>
                <w:szCs w:val="15"/>
                <w:color w:val="auto"/>
              </w:rPr>
            </w:pPr>
          </w:p>
        </w:tc>
        <w:tc>
          <w:tcPr>
            <w:tcW w:w="7260" w:type="dxa"/>
            <w:vAlign w:val="bottom"/>
            <w:gridSpan w:val="2"/>
          </w:tcPr>
          <w:p>
            <w:pPr>
              <w:ind w:left="20"/>
              <w:spacing w:after="0" w:line="181" w:lineRule="exact"/>
              <w:rPr>
                <w:sz w:val="20"/>
                <w:szCs w:val="20"/>
                <w:color w:val="auto"/>
              </w:rPr>
            </w:pPr>
            <w:r>
              <w:rPr>
                <w:rFonts w:ascii="Times New Roman" w:cs="Times New Roman" w:eastAsia="Times New Roman" w:hAnsi="Times New Roman"/>
                <w:sz w:val="14"/>
                <w:szCs w:val="14"/>
                <w:color w:val="auto"/>
              </w:rPr>
              <w:t>Obligations under long-term operating leases</w:t>
            </w:r>
            <w:r>
              <w:rPr>
                <w:rFonts w:ascii="Times New Roman" w:cs="Times New Roman" w:eastAsia="Times New Roman" w:hAnsi="Times New Roman"/>
                <w:sz w:val="18"/>
                <w:szCs w:val="18"/>
                <w:color w:val="auto"/>
                <w:vertAlign w:val="superscript"/>
              </w:rPr>
              <w:t>(2)</w:t>
            </w:r>
          </w:p>
        </w:tc>
        <w:tc>
          <w:tcPr>
            <w:tcW w:w="38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36,120</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96,773</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132,893</w:t>
            </w:r>
          </w:p>
        </w:tc>
      </w:tr>
      <w:tr>
        <w:trPr>
          <w:trHeight w:val="180"/>
        </w:trPr>
        <w:tc>
          <w:tcPr>
            <w:tcW w:w="80" w:type="dxa"/>
            <w:vAlign w:val="bottom"/>
          </w:tcPr>
          <w:p>
            <w:pPr>
              <w:spacing w:after="0"/>
              <w:rPr>
                <w:sz w:val="15"/>
                <w:szCs w:val="15"/>
                <w:color w:val="auto"/>
              </w:rPr>
            </w:pPr>
          </w:p>
        </w:tc>
        <w:tc>
          <w:tcPr>
            <w:tcW w:w="7260" w:type="dxa"/>
            <w:vAlign w:val="bottom"/>
            <w:gridSpan w:val="2"/>
            <w:shd w:val="clear" w:color="auto" w:fill="CCEEFF"/>
          </w:tcPr>
          <w:p>
            <w:pPr>
              <w:ind w:left="20"/>
              <w:spacing w:after="0" w:line="181" w:lineRule="exact"/>
              <w:rPr>
                <w:sz w:val="20"/>
                <w:szCs w:val="20"/>
                <w:color w:val="auto"/>
              </w:rPr>
            </w:pPr>
            <w:r>
              <w:rPr>
                <w:rFonts w:ascii="Times New Roman" w:cs="Times New Roman" w:eastAsia="Times New Roman" w:hAnsi="Times New Roman"/>
                <w:sz w:val="14"/>
                <w:szCs w:val="14"/>
                <w:color w:val="auto"/>
              </w:rPr>
              <w:t>Obligations under short-term operating leases</w:t>
            </w:r>
            <w:r>
              <w:rPr>
                <w:rFonts w:ascii="Times New Roman" w:cs="Times New Roman" w:eastAsia="Times New Roman" w:hAnsi="Times New Roman"/>
                <w:sz w:val="18"/>
                <w:szCs w:val="18"/>
                <w:color w:val="auto"/>
                <w:vertAlign w:val="superscript"/>
              </w:rPr>
              <w:t>(3)</w:t>
            </w:r>
          </w:p>
        </w:tc>
        <w:tc>
          <w:tcPr>
            <w:tcW w:w="38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944</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944</w:t>
            </w:r>
          </w:p>
        </w:tc>
      </w:tr>
      <w:tr>
        <w:trPr>
          <w:trHeight w:val="180"/>
        </w:trPr>
        <w:tc>
          <w:tcPr>
            <w:tcW w:w="80" w:type="dxa"/>
            <w:vAlign w:val="bottom"/>
          </w:tcPr>
          <w:p>
            <w:pPr>
              <w:spacing w:after="0"/>
              <w:rPr>
                <w:sz w:val="15"/>
                <w:szCs w:val="15"/>
                <w:color w:val="auto"/>
              </w:rPr>
            </w:pPr>
          </w:p>
        </w:tc>
        <w:tc>
          <w:tcPr>
            <w:tcW w:w="72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Employment agreements</w:t>
            </w:r>
          </w:p>
        </w:tc>
        <w:tc>
          <w:tcPr>
            <w:tcW w:w="38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28,052</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5,593</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33,645</w:t>
            </w:r>
          </w:p>
        </w:tc>
      </w:tr>
      <w:tr>
        <w:trPr>
          <w:trHeight w:val="180"/>
        </w:trPr>
        <w:tc>
          <w:tcPr>
            <w:tcW w:w="80" w:type="dxa"/>
            <w:vAlign w:val="bottom"/>
          </w:tcPr>
          <w:p>
            <w:pPr>
              <w:spacing w:after="0"/>
              <w:rPr>
                <w:sz w:val="15"/>
                <w:szCs w:val="15"/>
                <w:color w:val="auto"/>
              </w:rPr>
            </w:pPr>
          </w:p>
        </w:tc>
        <w:tc>
          <w:tcPr>
            <w:tcW w:w="7260" w:type="dxa"/>
            <w:vAlign w:val="bottom"/>
            <w:gridSpan w:val="2"/>
            <w:shd w:val="clear" w:color="auto" w:fill="CCEEFF"/>
          </w:tcPr>
          <w:p>
            <w:pPr>
              <w:ind w:left="20"/>
              <w:spacing w:after="0" w:line="181" w:lineRule="exact"/>
              <w:rPr>
                <w:sz w:val="20"/>
                <w:szCs w:val="20"/>
                <w:color w:val="auto"/>
              </w:rPr>
            </w:pPr>
            <w:r>
              <w:rPr>
                <w:rFonts w:ascii="Times New Roman" w:cs="Times New Roman" w:eastAsia="Times New Roman" w:hAnsi="Times New Roman"/>
                <w:sz w:val="14"/>
                <w:szCs w:val="14"/>
                <w:color w:val="auto"/>
              </w:rPr>
              <w:t>Purchase and other contractual obligations</w:t>
            </w:r>
            <w:r>
              <w:rPr>
                <w:rFonts w:ascii="Times New Roman" w:cs="Times New Roman" w:eastAsia="Times New Roman" w:hAnsi="Times New Roman"/>
                <w:sz w:val="18"/>
                <w:szCs w:val="18"/>
                <w:color w:val="auto"/>
                <w:vertAlign w:val="superscript"/>
              </w:rPr>
              <w:t>(4)</w:t>
            </w:r>
          </w:p>
        </w:tc>
        <w:tc>
          <w:tcPr>
            <w:tcW w:w="380" w:type="dxa"/>
            <w:vAlign w:val="bottom"/>
            <w:tcBorders>
              <w:bottom w:val="single" w:sz="8" w:color="auto"/>
            </w:tcBorders>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107,343</w:t>
            </w:r>
          </w:p>
        </w:tc>
        <w:tc>
          <w:tcPr>
            <w:tcW w:w="10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20,538</w:t>
            </w:r>
          </w:p>
        </w:tc>
        <w:tc>
          <w:tcPr>
            <w:tcW w:w="10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127,881</w:t>
            </w:r>
          </w:p>
        </w:tc>
      </w:tr>
      <w:tr>
        <w:trPr>
          <w:trHeight w:val="171"/>
        </w:trPr>
        <w:tc>
          <w:tcPr>
            <w:tcW w:w="80" w:type="dxa"/>
            <w:vAlign w:val="bottom"/>
          </w:tcPr>
          <w:p>
            <w:pPr>
              <w:spacing w:after="0"/>
              <w:rPr>
                <w:sz w:val="14"/>
                <w:szCs w:val="14"/>
                <w:color w:val="auto"/>
              </w:rPr>
            </w:pPr>
          </w:p>
        </w:tc>
        <w:tc>
          <w:tcPr>
            <w:tcW w:w="726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Total</w:t>
            </w:r>
          </w:p>
        </w:tc>
        <w:tc>
          <w:tcPr>
            <w:tcW w:w="380" w:type="dxa"/>
            <w:vAlign w:val="bottom"/>
            <w:tcBorders>
              <w:bottom w:val="single" w:sz="8" w:color="auto"/>
            </w:tcBorders>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204,959</w:t>
            </w:r>
          </w:p>
        </w:tc>
        <w:tc>
          <w:tcPr>
            <w:tcW w:w="100" w:type="dxa"/>
            <w:vAlign w:val="bottom"/>
          </w:tcPr>
          <w:p>
            <w:pPr>
              <w:spacing w:after="0"/>
              <w:rPr>
                <w:sz w:val="14"/>
                <w:szCs w:val="14"/>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1,141,654</w:t>
            </w:r>
          </w:p>
        </w:tc>
        <w:tc>
          <w:tcPr>
            <w:tcW w:w="100" w:type="dxa"/>
            <w:vAlign w:val="bottom"/>
          </w:tcPr>
          <w:p>
            <w:pPr>
              <w:spacing w:after="0"/>
              <w:rPr>
                <w:sz w:val="14"/>
                <w:szCs w:val="14"/>
                <w:color w:val="auto"/>
              </w:rPr>
            </w:pPr>
          </w:p>
        </w:tc>
        <w:tc>
          <w:tcPr>
            <w:tcW w:w="280" w:type="dxa"/>
            <w:vAlign w:val="bottom"/>
            <w:tcBorders>
              <w:bottom w:val="single" w:sz="8" w:color="auto"/>
            </w:tcBorders>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1,346,613</w:t>
            </w:r>
          </w:p>
        </w:tc>
      </w:tr>
      <w:tr>
        <w:trPr>
          <w:trHeight w:val="20"/>
        </w:trPr>
        <w:tc>
          <w:tcPr>
            <w:tcW w:w="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3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61" w:lineRule="exact"/>
        <w:rPr>
          <w:sz w:val="20"/>
          <w:szCs w:val="20"/>
          <w:color w:val="auto"/>
        </w:rPr>
      </w:pPr>
    </w:p>
    <w:p>
      <w:pPr>
        <w:ind w:right="180" w:firstLine="5"/>
        <w:spacing w:after="0" w:line="272" w:lineRule="auto"/>
        <w:tabs>
          <w:tab w:leader="none" w:pos="130" w:val="left"/>
        </w:tabs>
        <w:numPr>
          <w:ilvl w:val="0"/>
          <w:numId w:val="10"/>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3"/>
          <w:szCs w:val="13"/>
          <w:color w:val="auto"/>
        </w:rPr>
        <w:t>Includes interest payments on our $500.0 million principal amount of 2029 Notes outstanding, and excludes interest payments on our variable rate debt. Variable rate debt as of January 25, 2025 consisted of $450.0 million outstanding under our term loan facility.</w:t>
      </w:r>
    </w:p>
    <w:p>
      <w:pPr>
        <w:spacing w:after="0" w:line="141" w:lineRule="exact"/>
        <w:rPr>
          <w:rFonts w:ascii="Times New Roman" w:cs="Times New Roman" w:eastAsia="Times New Roman" w:hAnsi="Times New Roman"/>
          <w:sz w:val="16"/>
          <w:szCs w:val="16"/>
          <w:color w:val="auto"/>
          <w:vertAlign w:val="superscript"/>
        </w:rPr>
      </w:pPr>
    </w:p>
    <w:p>
      <w:pPr>
        <w:ind w:left="140" w:hanging="135"/>
        <w:spacing w:after="0"/>
        <w:tabs>
          <w:tab w:leader="none" w:pos="140" w:val="left"/>
        </w:tabs>
        <w:numPr>
          <w:ilvl w:val="0"/>
          <w:numId w:val="10"/>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Amounts represent undiscounted lease obligations under long-term operating leases and exclude long-term operating leases that have not yet commenced of $1.2 million as of January 25, 2025.</w:t>
      </w:r>
    </w:p>
    <w:p>
      <w:pPr>
        <w:spacing w:after="0" w:line="165" w:lineRule="exact"/>
        <w:rPr>
          <w:rFonts w:ascii="Times New Roman" w:cs="Times New Roman" w:eastAsia="Times New Roman" w:hAnsi="Times New Roman"/>
          <w:sz w:val="17"/>
          <w:szCs w:val="17"/>
          <w:color w:val="auto"/>
          <w:vertAlign w:val="superscript"/>
        </w:rPr>
      </w:pPr>
    </w:p>
    <w:p>
      <w:pPr>
        <w:ind w:left="140" w:hanging="135"/>
        <w:spacing w:after="0"/>
        <w:tabs>
          <w:tab w:leader="none" w:pos="140" w:val="left"/>
        </w:tabs>
        <w:numPr>
          <w:ilvl w:val="0"/>
          <w:numId w:val="10"/>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Amounts represent lease obligations under short-term operating leases that are not recorded on our consolidated balance sheet as of January 25, 2025.</w:t>
      </w:r>
    </w:p>
    <w:p>
      <w:pPr>
        <w:spacing w:after="0" w:line="176" w:lineRule="exact"/>
        <w:rPr>
          <w:rFonts w:ascii="Times New Roman" w:cs="Times New Roman" w:eastAsia="Times New Roman" w:hAnsi="Times New Roman"/>
          <w:sz w:val="17"/>
          <w:szCs w:val="17"/>
          <w:color w:val="auto"/>
          <w:vertAlign w:val="superscript"/>
        </w:rPr>
      </w:pPr>
    </w:p>
    <w:p>
      <w:pPr>
        <w:ind w:right="260" w:firstLine="5"/>
        <w:spacing w:after="0" w:line="272" w:lineRule="auto"/>
        <w:tabs>
          <w:tab w:leader="none" w:pos="130" w:val="left"/>
        </w:tabs>
        <w:numPr>
          <w:ilvl w:val="0"/>
          <w:numId w:val="10"/>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3"/>
          <w:szCs w:val="13"/>
          <w:color w:val="auto"/>
        </w:rPr>
        <w:t>We have committed capital for the expansion of our vehicle fleet in order to accommodate manufacturer lead times. As of January 25, 2025, purchase and other contractual obligations includes approximately $83.0 million for issued orders with delivery dates scheduled to occur over the next 12 months.</w:t>
      </w:r>
    </w:p>
    <w:p>
      <w:pPr>
        <w:spacing w:after="0" w:line="153" w:lineRule="exact"/>
        <w:rPr>
          <w:sz w:val="20"/>
          <w:szCs w:val="20"/>
          <w:color w:val="auto"/>
        </w:rPr>
      </w:pPr>
    </w:p>
    <w:p>
      <w:pPr>
        <w:ind w:right="100" w:firstLine="255"/>
        <w:spacing w:after="0" w:line="287" w:lineRule="auto"/>
        <w:rPr>
          <w:sz w:val="20"/>
          <w:szCs w:val="20"/>
          <w:color w:val="auto"/>
        </w:rPr>
      </w:pPr>
      <w:r>
        <w:rPr>
          <w:rFonts w:ascii="Times New Roman" w:cs="Times New Roman" w:eastAsia="Times New Roman" w:hAnsi="Times New Roman"/>
          <w:sz w:val="14"/>
          <w:szCs w:val="14"/>
          <w:color w:val="auto"/>
        </w:rPr>
        <w:t>Our consolidated balance sheet as of January 25, 2025 includes a long-term liability of approximately $49.8 million for accrued insurance claims. This liability has been excluded from the table above as the timing of payments is uncertain.</w:t>
      </w:r>
    </w:p>
    <w:p>
      <w:pPr>
        <w:spacing w:after="0" w:line="124" w:lineRule="exact"/>
        <w:rPr>
          <w:sz w:val="20"/>
          <w:szCs w:val="20"/>
          <w:color w:val="auto"/>
        </w:rPr>
      </w:pPr>
    </w:p>
    <w:p>
      <w:pPr>
        <w:ind w:right="200" w:firstLine="255"/>
        <w:spacing w:after="0" w:line="270" w:lineRule="auto"/>
        <w:rPr>
          <w:sz w:val="20"/>
          <w:szCs w:val="20"/>
          <w:color w:val="auto"/>
        </w:rPr>
      </w:pPr>
      <w:r>
        <w:rPr>
          <w:rFonts w:ascii="Times New Roman" w:cs="Times New Roman" w:eastAsia="Times New Roman" w:hAnsi="Times New Roman"/>
          <w:sz w:val="14"/>
          <w:szCs w:val="14"/>
          <w:color w:val="auto"/>
        </w:rPr>
        <w:t>The liability for unrecognized tax benefits for uncertain tax positions was approximately $21.6 million and $17.6 million, as of January 25, 2025 and January 27, 2024, respectively, and is included in other liabilities in the consolidated balance sheets. This amount has been excluded from the contractual obligations table because we are unable to reasonably estimate the timing of the resolution of the underlying tax positions with the relevant tax authorities.</w:t>
      </w:r>
    </w:p>
    <w:p>
      <w:pPr>
        <w:spacing w:after="0" w:line="155" w:lineRule="exact"/>
        <w:rPr>
          <w:sz w:val="20"/>
          <w:szCs w:val="20"/>
          <w:color w:val="auto"/>
        </w:rPr>
      </w:pPr>
    </w:p>
    <w:p>
      <w:pPr>
        <w:ind w:firstLine="255"/>
        <w:spacing w:after="0" w:line="259" w:lineRule="auto"/>
        <w:rPr>
          <w:sz w:val="20"/>
          <w:szCs w:val="20"/>
          <w:color w:val="auto"/>
        </w:rPr>
      </w:pPr>
      <w:r>
        <w:rPr>
          <w:rFonts w:ascii="Times New Roman" w:cs="Times New Roman" w:eastAsia="Times New Roman" w:hAnsi="Times New Roman"/>
          <w:sz w:val="14"/>
          <w:szCs w:val="14"/>
          <w:i w:val="1"/>
          <w:iCs w:val="1"/>
          <w:color w:val="auto"/>
        </w:rPr>
        <w:t xml:space="preserve">Performance and Payment Bonds and Guarantees. </w:t>
      </w:r>
      <w:r>
        <w:rPr>
          <w:rFonts w:ascii="Times New Roman" w:cs="Times New Roman" w:eastAsia="Times New Roman" w:hAnsi="Times New Roman"/>
          <w:sz w:val="14"/>
          <w:szCs w:val="14"/>
          <w:color w:val="auto"/>
        </w:rPr>
        <w:t>We have obligations under performance and other surety contract bonds related to certain of our customer contracts. Performance bonds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generally provide a customer with the right to obtain payment and/or performance from the issuer of the bond if we fail to perform our contractual obligations. As of January 25, 2025 and January 27, 2024 we had $413.5 million and $409.6 million of outstanding performance and other surety contract bonds, respectively. The estimated cost to complete projects secured by our outstanding performance and other surety contract bonds was approximately $201.4 million as of January 25, 2025. In addition to performance and other surety contract bonds, as part of our insurance program we also provide surety bonds that collateralize our obligations to our insurance carriers. As of January 25, 2025 and January 27, 2024, we had $31.0 million and $20.4 million, respectively, of outstanding surety bonds related to our insurance obligations. Additionally, we have periodically guaranteed certain obligations of our subsidiaries, including obligations in connection with obtaining state contractor licenses and leasing real property and equipment.</w:t>
      </w:r>
    </w:p>
    <w:p>
      <w:pPr>
        <w:spacing w:after="0" w:line="142" w:lineRule="exact"/>
        <w:rPr>
          <w:sz w:val="20"/>
          <w:szCs w:val="20"/>
          <w:color w:val="auto"/>
        </w:rPr>
      </w:pPr>
    </w:p>
    <w:p>
      <w:pPr>
        <w:ind w:firstLine="255"/>
        <w:spacing w:after="0" w:line="271" w:lineRule="auto"/>
        <w:rPr>
          <w:sz w:val="20"/>
          <w:szCs w:val="20"/>
          <w:color w:val="auto"/>
        </w:rPr>
      </w:pPr>
      <w:r>
        <w:rPr>
          <w:rFonts w:ascii="Times New Roman" w:cs="Times New Roman" w:eastAsia="Times New Roman" w:hAnsi="Times New Roman"/>
          <w:sz w:val="14"/>
          <w:szCs w:val="14"/>
          <w:i w:val="1"/>
          <w:iCs w:val="1"/>
          <w:color w:val="auto"/>
        </w:rPr>
        <w:t xml:space="preserve">Letters of Credit. </w:t>
      </w:r>
      <w:r>
        <w:rPr>
          <w:rFonts w:ascii="Times New Roman" w:cs="Times New Roman" w:eastAsia="Times New Roman" w:hAnsi="Times New Roman"/>
          <w:sz w:val="14"/>
          <w:szCs w:val="14"/>
          <w:color w:val="auto"/>
        </w:rPr>
        <w:t>We have standby letters of credit issued under our Credit Agreement as part of our insurance program. These letters of credit collateralize obligations to our insurance carriers in</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connection with the settlement of potential claims. In connection with these collateral obligations, we had $47.5 million outstanding standby letters of credit issued under our Credit Agreement as of both January 25, 2025 and January 27, 2024.</w:t>
      </w:r>
    </w:p>
    <w:p>
      <w:pPr>
        <w:spacing w:after="0" w:line="134" w:lineRule="exact"/>
        <w:rPr>
          <w:sz w:val="20"/>
          <w:szCs w:val="20"/>
          <w:color w:val="auto"/>
        </w:rPr>
      </w:pPr>
    </w:p>
    <w:p>
      <w:pPr>
        <w:ind w:firstLine="255"/>
        <w:spacing w:after="0" w:line="265" w:lineRule="auto"/>
        <w:rPr>
          <w:sz w:val="20"/>
          <w:szCs w:val="20"/>
          <w:color w:val="auto"/>
        </w:rPr>
      </w:pPr>
      <w:r>
        <w:rPr>
          <w:rFonts w:ascii="Times New Roman" w:cs="Times New Roman" w:eastAsia="Times New Roman" w:hAnsi="Times New Roman"/>
          <w:sz w:val="14"/>
          <w:szCs w:val="14"/>
          <w:i w:val="1"/>
          <w:iCs w:val="1"/>
          <w:color w:val="auto"/>
        </w:rPr>
        <w:t xml:space="preserve">Backlog. </w:t>
      </w:r>
      <w:r>
        <w:rPr>
          <w:rFonts w:ascii="Times New Roman" w:cs="Times New Roman" w:eastAsia="Times New Roman" w:hAnsi="Times New Roman"/>
          <w:sz w:val="14"/>
          <w:szCs w:val="14"/>
          <w:color w:val="auto"/>
        </w:rPr>
        <w:t>Backlog is not a measure defined by United States generally accepted accounting principles (“GAAP”) and should be considered in addition to, but not as a substitute for, GAAP results.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Participants in our industry often disclose a calculation of their backlog; however, our methodology for determining backlog may not be comparable to the methodologies used by others. We utilize our calculation of backlog to assist in measuring aggregate awards under existing contractual relationships with our customers. We believe our backlog disclosures will assist investors in better understanding this estimate of the services to be performed pursuant to awards by our customers under existing contractual relationships.</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16"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right="40" w:firstLine="255"/>
        <w:spacing w:after="0" w:line="259" w:lineRule="auto"/>
        <w:rPr>
          <w:sz w:val="20"/>
          <w:szCs w:val="20"/>
          <w:color w:val="auto"/>
        </w:rPr>
      </w:pPr>
      <w:r>
        <w:rPr>
          <w:rFonts w:ascii="Times New Roman" w:cs="Times New Roman" w:eastAsia="Times New Roman" w:hAnsi="Times New Roman"/>
          <w:sz w:val="14"/>
          <w:szCs w:val="14"/>
          <w:color w:val="auto"/>
        </w:rPr>
        <w:t>Our backlog is an estimate of the uncompleted portion of services to be performed under contractual agreements with our customers and totaled $7.760 billion and $6.917 billion at January 25, 2025 and January 27, 2024, respectively. We expect to complete 59.8% of the January 25, 2025 total backlog during the next 12 months. Our backlog represents an estimate of services to be performed pursuant to master service agreements and other contractual agreements over their terms. These estimates are based on contract terms and evaluations regarding the timing of the services to be provided. In the case of master service agreements, backlog is estimated based on the work performed in the preceding 12 month period, when applicable. When estimating backlog for newly initiated master service agreements and other long and short-term contracts, we also consider the anticipated scope of the contract and information received from the customer during the procurement process and, where applicable, other ancillary information. The majority of our backlog comprises services under master service agreements and other long-term contracts.</w:t>
      </w:r>
    </w:p>
    <w:p>
      <w:pPr>
        <w:spacing w:after="0" w:line="167" w:lineRule="exact"/>
        <w:rPr>
          <w:sz w:val="20"/>
          <w:szCs w:val="20"/>
          <w:color w:val="auto"/>
        </w:rPr>
      </w:pPr>
    </w:p>
    <w:p>
      <w:pPr>
        <w:ind w:right="20" w:firstLine="255"/>
        <w:spacing w:after="0" w:line="258" w:lineRule="auto"/>
        <w:rPr>
          <w:sz w:val="20"/>
          <w:szCs w:val="20"/>
          <w:color w:val="auto"/>
        </w:rPr>
      </w:pPr>
      <w:r>
        <w:rPr>
          <w:rFonts w:ascii="Times New Roman" w:cs="Times New Roman" w:eastAsia="Times New Roman" w:hAnsi="Times New Roman"/>
          <w:sz w:val="14"/>
          <w:szCs w:val="14"/>
          <w:color w:val="auto"/>
        </w:rPr>
        <w:t>Generally, our customers are not contractually committed to procure specific volumes of services. Contract revenue estimates reflected in our backlog can be subject to change due to a number of factors, including contract cancellations or changes in the amount of work we expect to be performed under a contract. In addition, contract revenues reflected in our backlog may be realized in different periods from those previously anticipated due to these factors as well as project accelerations or delays due to various reasons, including, but not limited to, changes in customer spending priorities, project cancellations, regulatory interruptions, scheduling changes, commercial issues, such as permitting, engineering revisions, job site conditions and adverse weather. The amount or timing of our backlog can also be impacted by the merger or acquisition activity of our customers. Many of our contracts may be cancelled by our customers, or work previously awarded to us pursuant to these contracts may be cancelled, regardless of whether or not we are in default. The amount of backlog related to uncompleted projects in which a provision for estimated losses was recorded is not material.</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Legal Proceedings</w:t>
      </w:r>
    </w:p>
    <w:p>
      <w:pPr>
        <w:spacing w:after="0" w:line="171" w:lineRule="exact"/>
        <w:rPr>
          <w:sz w:val="20"/>
          <w:szCs w:val="20"/>
          <w:color w:val="auto"/>
        </w:rPr>
      </w:pPr>
    </w:p>
    <w:p>
      <w:pPr>
        <w:ind w:left="260"/>
        <w:spacing w:after="0" w:line="161" w:lineRule="exact"/>
        <w:rPr>
          <w:sz w:val="20"/>
          <w:szCs w:val="20"/>
          <w:color w:val="auto"/>
        </w:rPr>
      </w:pPr>
      <w:r>
        <w:rPr>
          <w:rFonts w:ascii="Times New Roman" w:cs="Times New Roman" w:eastAsia="Times New Roman" w:hAnsi="Times New Roman"/>
          <w:sz w:val="14"/>
          <w:szCs w:val="14"/>
          <w:color w:val="auto"/>
        </w:rPr>
        <w:t xml:space="preserve">Refer to Note 22, </w:t>
      </w:r>
      <w:r>
        <w:rPr>
          <w:rFonts w:ascii="Times New Roman" w:cs="Times New Roman" w:eastAsia="Times New Roman" w:hAnsi="Times New Roman"/>
          <w:sz w:val="14"/>
          <w:szCs w:val="14"/>
          <w:i w:val="1"/>
          <w:iCs w:val="1"/>
          <w:color w:val="auto"/>
        </w:rPr>
        <w:t>Commitments and Contingencies</w:t>
      </w:r>
      <w:r>
        <w:rPr>
          <w:rFonts w:ascii="Times New Roman" w:cs="Times New Roman" w:eastAsia="Times New Roman" w:hAnsi="Times New Roman"/>
          <w:sz w:val="14"/>
          <w:szCs w:val="14"/>
          <w:color w:val="auto"/>
        </w:rPr>
        <w:t>, in the Notes to the Consolidated Financial Statements in this Annual Report on Form 10</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K.</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Recently Issued Accounting Pronouncements</w:t>
      </w:r>
    </w:p>
    <w:p>
      <w:pPr>
        <w:spacing w:after="0" w:line="171" w:lineRule="exact"/>
        <w:rPr>
          <w:sz w:val="20"/>
          <w:szCs w:val="20"/>
          <w:color w:val="auto"/>
        </w:rPr>
      </w:pPr>
    </w:p>
    <w:p>
      <w:pPr>
        <w:ind w:right="700" w:firstLine="255"/>
        <w:spacing w:after="0" w:line="192" w:lineRule="exact"/>
        <w:rPr>
          <w:sz w:val="20"/>
          <w:szCs w:val="20"/>
          <w:color w:val="auto"/>
        </w:rPr>
      </w:pPr>
      <w:r>
        <w:rPr>
          <w:rFonts w:ascii="Times New Roman" w:cs="Times New Roman" w:eastAsia="Times New Roman" w:hAnsi="Times New Roman"/>
          <w:sz w:val="14"/>
          <w:szCs w:val="14"/>
          <w:color w:val="auto"/>
        </w:rPr>
        <w:t xml:space="preserve">Refer to Note 3, </w:t>
      </w:r>
      <w:r>
        <w:rPr>
          <w:rFonts w:ascii="Times New Roman" w:cs="Times New Roman" w:eastAsia="Times New Roman" w:hAnsi="Times New Roman"/>
          <w:sz w:val="14"/>
          <w:szCs w:val="14"/>
          <w:i w:val="1"/>
          <w:iCs w:val="1"/>
          <w:color w:val="auto"/>
        </w:rPr>
        <w:t>Accounting Standards</w:t>
      </w:r>
      <w:r>
        <w:rPr>
          <w:rFonts w:ascii="Times New Roman" w:cs="Times New Roman" w:eastAsia="Times New Roman" w:hAnsi="Times New Roman"/>
          <w:sz w:val="14"/>
          <w:szCs w:val="14"/>
          <w:color w:val="auto"/>
        </w:rPr>
        <w:t>, in the Notes to the Consolidated Financial Statements in this Annual Report on Form 10</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K for a discussion of recent accounting standards and pronouncements.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7A</w:t>
      </w:r>
      <w:r>
        <w:rPr>
          <w:rFonts w:ascii="Times New Roman" w:cs="Times New Roman" w:eastAsia="Times New Roman" w:hAnsi="Times New Roman"/>
          <w:sz w:val="14"/>
          <w:szCs w:val="14"/>
          <w:b w:val="1"/>
          <w:bCs w:val="1"/>
          <w:i w:val="1"/>
          <w:iCs w:val="1"/>
          <w:color w:val="auto"/>
        </w:rPr>
        <w:t>. Quantitative and Qualitative Disclosures About Market Risk.</w:t>
      </w:r>
    </w:p>
    <w:p>
      <w:pPr>
        <w:spacing w:after="0" w:line="202" w:lineRule="exact"/>
        <w:rPr>
          <w:sz w:val="20"/>
          <w:szCs w:val="20"/>
          <w:color w:val="auto"/>
        </w:rPr>
      </w:pPr>
    </w:p>
    <w:p>
      <w:pPr>
        <w:jc w:val="both"/>
        <w:ind w:right="220" w:firstLine="255"/>
        <w:spacing w:after="0" w:line="270" w:lineRule="auto"/>
        <w:rPr>
          <w:sz w:val="20"/>
          <w:szCs w:val="20"/>
          <w:color w:val="auto"/>
        </w:rPr>
      </w:pPr>
      <w:r>
        <w:rPr>
          <w:rFonts w:ascii="Times New Roman" w:cs="Times New Roman" w:eastAsia="Times New Roman" w:hAnsi="Times New Roman"/>
          <w:sz w:val="14"/>
          <w:szCs w:val="14"/>
          <w:color w:val="auto"/>
        </w:rPr>
        <w:t>Our primary exposure to market risk relates to unfavorable changes in interest rates on our fixed-rate and variable-rate debt. Fluctuations in interest rates impact the fair value of our fixed-rate debt and interest expense on our variable-rate debt. At January 25, 2025, 53% of our debt, on a gross basis, incurred interest at a fixed-rate and the remaining 47% of the debt incurred interest at a variable-rate.</w:t>
      </w:r>
    </w:p>
    <w:p>
      <w:pPr>
        <w:spacing w:after="0" w:line="136" w:lineRule="exact"/>
        <w:rPr>
          <w:sz w:val="20"/>
          <w:szCs w:val="20"/>
          <w:color w:val="auto"/>
        </w:rPr>
      </w:pPr>
    </w:p>
    <w:p>
      <w:pPr>
        <w:ind w:right="60" w:firstLine="255"/>
        <w:spacing w:after="0" w:line="261" w:lineRule="auto"/>
        <w:rPr>
          <w:sz w:val="20"/>
          <w:szCs w:val="20"/>
          <w:color w:val="auto"/>
        </w:rPr>
      </w:pPr>
      <w:r>
        <w:rPr>
          <w:rFonts w:ascii="Times New Roman" w:cs="Times New Roman" w:eastAsia="Times New Roman" w:hAnsi="Times New Roman"/>
          <w:sz w:val="14"/>
          <w:szCs w:val="14"/>
          <w:color w:val="auto"/>
        </w:rPr>
        <w:t>On April 1, 2021, we issued $500.0 million aggregate principal amount of 4.50% senior notes due 2029 (the “2029 Notes”). The 2029 Notes are guaranteed on a senior unsecured basis, jointly and severally, by all of our domestic subsidiaries that guarantee the Credit Agreement. The fair value of the fixed rate 2029 Notes will change with changes in market interest rates. Generally, the fair value of the fixed rate 2029 Notes will increase as interest rates fall and decrease as interest rates rise. The following table summarizes the carrying amount and fair value of the 2029 Notes, net of debt issuance costs. The fair value of the 2029 Notes is based on the closing trading price per $100 of the 2029 Notes as of the last day of trading (Level 2), which was $94.65 and $92.49 as of January 25, 2025 and January 27, 2024, respectively (dollars in thousands):</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7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4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January 25, 2025</w:t>
            </w:r>
          </w:p>
        </w:tc>
        <w:tc>
          <w:tcPr>
            <w:tcW w:w="300" w:type="dxa"/>
            <w:vAlign w:val="bottom"/>
          </w:tcPr>
          <w:p>
            <w:pPr>
              <w:spacing w:after="0"/>
              <w:rPr>
                <w:sz w:val="16"/>
                <w:szCs w:val="16"/>
                <w:color w:val="auto"/>
              </w:rPr>
            </w:pPr>
          </w:p>
        </w:tc>
        <w:tc>
          <w:tcPr>
            <w:tcW w:w="1740" w:type="dxa"/>
            <w:vAlign w:val="bottom"/>
          </w:tcPr>
          <w:p>
            <w:pPr>
              <w:jc w:val="right"/>
              <w:ind w:right="429"/>
              <w:spacing w:after="0"/>
              <w:rPr>
                <w:sz w:val="20"/>
                <w:szCs w:val="20"/>
                <w:color w:val="auto"/>
              </w:rPr>
            </w:pPr>
            <w:r>
              <w:rPr>
                <w:rFonts w:ascii="Times New Roman" w:cs="Times New Roman" w:eastAsia="Times New Roman" w:hAnsi="Times New Roman"/>
                <w:sz w:val="14"/>
                <w:szCs w:val="14"/>
                <w:b w:val="1"/>
                <w:bCs w:val="1"/>
                <w:color w:val="auto"/>
              </w:rPr>
              <w:t>January 27, 2024</w:t>
            </w:r>
          </w:p>
        </w:tc>
      </w:tr>
      <w:tr>
        <w:trPr>
          <w:trHeight w:val="180"/>
        </w:trPr>
        <w:tc>
          <w:tcPr>
            <w:tcW w:w="71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Principal amount of 2029 Notes</w:t>
            </w:r>
          </w:p>
        </w:tc>
        <w:tc>
          <w:tcPr>
            <w:tcW w:w="300" w:type="dxa"/>
            <w:vAlign w:val="bottom"/>
            <w:tcBorders>
              <w:top w:val="single" w:sz="8" w:color="auto"/>
            </w:tcBorders>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500,000</w:t>
            </w:r>
          </w:p>
        </w:tc>
        <w:tc>
          <w:tcPr>
            <w:tcW w:w="80" w:type="dxa"/>
            <w:vAlign w:val="bottom"/>
            <w:tcBorders>
              <w:top w:val="single" w:sz="8" w:color="CCEEFF"/>
            </w:tcBorders>
            <w:shd w:val="clear" w:color="auto" w:fill="CCEEFF"/>
          </w:tcPr>
          <w:p>
            <w:pPr>
              <w:spacing w:after="0"/>
              <w:rPr>
                <w:sz w:val="15"/>
                <w:szCs w:val="15"/>
                <w:color w:val="auto"/>
              </w:rPr>
            </w:pPr>
          </w:p>
        </w:tc>
        <w:tc>
          <w:tcPr>
            <w:tcW w:w="300" w:type="dxa"/>
            <w:vAlign w:val="bottom"/>
            <w:tcBorders>
              <w:top w:val="single" w:sz="8" w:color="auto"/>
            </w:tcBorders>
            <w:shd w:val="clear" w:color="auto" w:fill="CCEEFF"/>
          </w:tcPr>
          <w:p>
            <w:pPr>
              <w:spacing w:after="0"/>
              <w:rPr>
                <w:sz w:val="15"/>
                <w:szCs w:val="15"/>
                <w:color w:val="auto"/>
              </w:rPr>
            </w:pPr>
          </w:p>
        </w:tc>
        <w:tc>
          <w:tcPr>
            <w:tcW w:w="1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$500,000</w:t>
            </w:r>
          </w:p>
        </w:tc>
      </w:tr>
      <w:tr>
        <w:trPr>
          <w:trHeight w:val="180"/>
        </w:trPr>
        <w:tc>
          <w:tcPr>
            <w:tcW w:w="7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Less: Debt issuance costs</w:t>
            </w:r>
          </w:p>
        </w:tc>
        <w:tc>
          <w:tcPr>
            <w:tcW w:w="300" w:type="dxa"/>
            <w:vAlign w:val="bottom"/>
            <w:tcBorders>
              <w:bottom w:val="single" w:sz="8" w:color="auto"/>
            </w:tcBorders>
          </w:tcPr>
          <w:p>
            <w:pPr>
              <w:spacing w:after="0"/>
              <w:rPr>
                <w:sz w:val="15"/>
                <w:szCs w:val="15"/>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(3,903)</w:t>
            </w:r>
          </w:p>
        </w:tc>
        <w:tc>
          <w:tcPr>
            <w:tcW w:w="8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(4,820)</w:t>
            </w:r>
          </w:p>
        </w:tc>
      </w:tr>
      <w:tr>
        <w:trPr>
          <w:trHeight w:val="196"/>
        </w:trPr>
        <w:tc>
          <w:tcPr>
            <w:tcW w:w="7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carrying amount of 2029 Notes</w:t>
            </w:r>
          </w:p>
        </w:tc>
        <w:tc>
          <w:tcPr>
            <w:tcW w:w="300" w:type="dxa"/>
            <w:vAlign w:val="bottom"/>
            <w:tcBorders>
              <w:bottom w:val="single" w:sz="8" w:color="auto"/>
            </w:tcBorders>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496,097</w:t>
            </w:r>
          </w:p>
        </w:tc>
        <w:tc>
          <w:tcPr>
            <w:tcW w:w="8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495,180</w:t>
            </w:r>
          </w:p>
        </w:tc>
      </w:tr>
      <w:tr>
        <w:trPr>
          <w:trHeight w:val="20"/>
        </w:trPr>
        <w:tc>
          <w:tcPr>
            <w:tcW w:w="7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r>
    </w:tbl>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4080" w:type="dxa"/>
            <w:vAlign w:val="bottom"/>
          </w:tcPr>
          <w:p>
            <w:pPr>
              <w:spacing w:after="0"/>
              <w:rPr>
                <w:sz w:val="16"/>
                <w:szCs w:val="16"/>
                <w:color w:val="auto"/>
              </w:rPr>
            </w:pPr>
          </w:p>
        </w:tc>
        <w:tc>
          <w:tcPr>
            <w:tcW w:w="30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4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January 25, 2025</w:t>
            </w:r>
          </w:p>
        </w:tc>
        <w:tc>
          <w:tcPr>
            <w:tcW w:w="300" w:type="dxa"/>
            <w:vAlign w:val="bottom"/>
          </w:tcPr>
          <w:p>
            <w:pPr>
              <w:spacing w:after="0"/>
              <w:rPr>
                <w:sz w:val="16"/>
                <w:szCs w:val="16"/>
                <w:color w:val="auto"/>
              </w:rPr>
            </w:pPr>
          </w:p>
        </w:tc>
        <w:tc>
          <w:tcPr>
            <w:tcW w:w="1740" w:type="dxa"/>
            <w:vAlign w:val="bottom"/>
          </w:tcPr>
          <w:p>
            <w:pPr>
              <w:jc w:val="right"/>
              <w:ind w:right="429"/>
              <w:spacing w:after="0"/>
              <w:rPr>
                <w:sz w:val="20"/>
                <w:szCs w:val="20"/>
                <w:color w:val="auto"/>
              </w:rPr>
            </w:pPr>
            <w:r>
              <w:rPr>
                <w:rFonts w:ascii="Times New Roman" w:cs="Times New Roman" w:eastAsia="Times New Roman" w:hAnsi="Times New Roman"/>
                <w:sz w:val="14"/>
                <w:szCs w:val="14"/>
                <w:b w:val="1"/>
                <w:bCs w:val="1"/>
                <w:color w:val="auto"/>
              </w:rPr>
              <w:t>January 27, 2024</w:t>
            </w:r>
          </w:p>
        </w:tc>
        <w:tc>
          <w:tcPr>
            <w:tcW w:w="0" w:type="dxa"/>
            <w:vAlign w:val="bottom"/>
          </w:tcPr>
          <w:p>
            <w:pPr>
              <w:spacing w:after="0"/>
              <w:rPr>
                <w:sz w:val="1"/>
                <w:szCs w:val="1"/>
                <w:color w:val="auto"/>
              </w:rPr>
            </w:pPr>
          </w:p>
        </w:tc>
      </w:tr>
      <w:tr>
        <w:trPr>
          <w:trHeight w:val="180"/>
        </w:trPr>
        <w:tc>
          <w:tcPr>
            <w:tcW w:w="40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Fair value of principal amount of 2029 Notes</w:t>
            </w:r>
          </w:p>
        </w:tc>
        <w:tc>
          <w:tcPr>
            <w:tcW w:w="3020" w:type="dxa"/>
            <w:vAlign w:val="bottom"/>
            <w:tcBorders>
              <w:top w:val="single" w:sz="8" w:color="CCEEFF"/>
            </w:tcBorders>
            <w:shd w:val="clear" w:color="auto" w:fill="CCEEFF"/>
          </w:tcPr>
          <w:p>
            <w:pPr>
              <w:spacing w:after="0"/>
              <w:rPr>
                <w:sz w:val="15"/>
                <w:szCs w:val="15"/>
                <w:color w:val="auto"/>
              </w:rPr>
            </w:pPr>
          </w:p>
        </w:tc>
        <w:tc>
          <w:tcPr>
            <w:tcW w:w="300" w:type="dxa"/>
            <w:vAlign w:val="bottom"/>
            <w:tcBorders>
              <w:top w:val="single" w:sz="8" w:color="auto"/>
            </w:tcBorders>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473,250</w:t>
            </w:r>
          </w:p>
        </w:tc>
        <w:tc>
          <w:tcPr>
            <w:tcW w:w="80" w:type="dxa"/>
            <w:vAlign w:val="bottom"/>
            <w:tcBorders>
              <w:top w:val="single" w:sz="8" w:color="CCEEFF"/>
            </w:tcBorders>
            <w:shd w:val="clear" w:color="auto" w:fill="CCEEFF"/>
          </w:tcPr>
          <w:p>
            <w:pPr>
              <w:spacing w:after="0"/>
              <w:rPr>
                <w:sz w:val="15"/>
                <w:szCs w:val="15"/>
                <w:color w:val="auto"/>
              </w:rPr>
            </w:pPr>
          </w:p>
        </w:tc>
        <w:tc>
          <w:tcPr>
            <w:tcW w:w="300" w:type="dxa"/>
            <w:vAlign w:val="bottom"/>
            <w:tcBorders>
              <w:top w:val="single" w:sz="8" w:color="auto"/>
            </w:tcBorders>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462,450</w:t>
            </w:r>
          </w:p>
        </w:tc>
        <w:tc>
          <w:tcPr>
            <w:tcW w:w="0" w:type="dxa"/>
            <w:vAlign w:val="bottom"/>
          </w:tcPr>
          <w:p>
            <w:pPr>
              <w:spacing w:after="0"/>
              <w:rPr>
                <w:sz w:val="1"/>
                <w:szCs w:val="1"/>
                <w:color w:val="auto"/>
              </w:rPr>
            </w:pPr>
          </w:p>
        </w:tc>
      </w:tr>
      <w:tr>
        <w:trPr>
          <w:trHeight w:val="180"/>
        </w:trPr>
        <w:tc>
          <w:tcPr>
            <w:tcW w:w="40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Less: Debt issuance costs</w:t>
            </w:r>
          </w:p>
        </w:tc>
        <w:tc>
          <w:tcPr>
            <w:tcW w:w="302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(3,903)</w:t>
            </w:r>
          </w:p>
        </w:tc>
        <w:tc>
          <w:tcPr>
            <w:tcW w:w="8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(4,820)</w:t>
            </w:r>
          </w:p>
        </w:tc>
        <w:tc>
          <w:tcPr>
            <w:tcW w:w="0" w:type="dxa"/>
            <w:vAlign w:val="bottom"/>
          </w:tcPr>
          <w:p>
            <w:pPr>
              <w:spacing w:after="0"/>
              <w:rPr>
                <w:sz w:val="1"/>
                <w:szCs w:val="1"/>
                <w:color w:val="auto"/>
              </w:rPr>
            </w:pPr>
          </w:p>
        </w:tc>
      </w:tr>
      <w:tr>
        <w:trPr>
          <w:trHeight w:val="196"/>
        </w:trPr>
        <w:tc>
          <w:tcPr>
            <w:tcW w:w="4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Fair value of 2029 Notes</w:t>
            </w:r>
          </w:p>
        </w:tc>
        <w:tc>
          <w:tcPr>
            <w:tcW w:w="302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469,347</w:t>
            </w:r>
          </w:p>
        </w:tc>
        <w:tc>
          <w:tcPr>
            <w:tcW w:w="8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457,630</w:t>
            </w:r>
          </w:p>
        </w:tc>
        <w:tc>
          <w:tcPr>
            <w:tcW w:w="0" w:type="dxa"/>
            <w:vAlign w:val="bottom"/>
          </w:tcPr>
          <w:p>
            <w:pPr>
              <w:spacing w:after="0"/>
              <w:rPr>
                <w:sz w:val="1"/>
                <w:szCs w:val="1"/>
                <w:color w:val="auto"/>
              </w:rPr>
            </w:pPr>
          </w:p>
        </w:tc>
      </w:tr>
      <w:tr>
        <w:trPr>
          <w:trHeight w:val="20"/>
        </w:trPr>
        <w:tc>
          <w:tcPr>
            <w:tcW w:w="4080" w:type="dxa"/>
            <w:vAlign w:val="bottom"/>
            <w:tcBorders>
              <w:top w:val="single" w:sz="8" w:color="CCEEFF"/>
            </w:tcBorders>
          </w:tcPr>
          <w:p>
            <w:pPr>
              <w:spacing w:after="0" w:line="20" w:lineRule="exact"/>
              <w:rPr>
                <w:sz w:val="1"/>
                <w:szCs w:val="1"/>
                <w:color w:val="auto"/>
              </w:rPr>
            </w:pPr>
          </w:p>
        </w:tc>
        <w:tc>
          <w:tcPr>
            <w:tcW w:w="3020" w:type="dxa"/>
            <w:vAlign w:val="bottom"/>
            <w:tcBorders>
              <w:top w:val="single" w:sz="8" w:color="CCEEFF"/>
              <w:bottom w:val="single" w:sz="8" w:color="CCEEFF"/>
            </w:tcBorders>
            <w:vMerge w:val="restart"/>
          </w:tcPr>
          <w:p>
            <w:pPr>
              <w:jc w:val="right"/>
              <w:ind w:right="1309"/>
              <w:spacing w:after="0"/>
              <w:rPr>
                <w:sz w:val="20"/>
                <w:szCs w:val="20"/>
                <w:color w:val="auto"/>
              </w:rPr>
            </w:pPr>
            <w:r>
              <w:rPr>
                <w:rFonts w:ascii="Times New Roman" w:cs="Times New Roman" w:eastAsia="Times New Roman" w:hAnsi="Times New Roman"/>
                <w:sz w:val="14"/>
                <w:szCs w:val="14"/>
                <w:color w:val="auto"/>
              </w:rPr>
              <w:t>40</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21"/>
        </w:trPr>
        <w:tc>
          <w:tcPr>
            <w:tcW w:w="4080" w:type="dxa"/>
            <w:vAlign w:val="bottom"/>
          </w:tcPr>
          <w:p>
            <w:pPr>
              <w:spacing w:after="0"/>
              <w:rPr>
                <w:sz w:val="24"/>
                <w:szCs w:val="24"/>
                <w:color w:val="auto"/>
              </w:rPr>
            </w:pPr>
          </w:p>
        </w:tc>
        <w:tc>
          <w:tcPr>
            <w:tcW w:w="302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4080" w:type="dxa"/>
            <w:vAlign w:val="bottom"/>
            <w:tcBorders>
              <w:bottom w:val="single" w:sz="8" w:color="9A9A9A"/>
            </w:tcBorders>
          </w:tcPr>
          <w:p>
            <w:pPr>
              <w:spacing w:after="0"/>
              <w:rPr>
                <w:sz w:val="7"/>
                <w:szCs w:val="7"/>
                <w:color w:val="auto"/>
              </w:rPr>
            </w:pPr>
          </w:p>
        </w:tc>
        <w:tc>
          <w:tcPr>
            <w:tcW w:w="3020" w:type="dxa"/>
            <w:vAlign w:val="bottom"/>
            <w:tcBorders>
              <w:bottom w:val="single" w:sz="8" w:color="9A9A9A"/>
            </w:tcBorders>
          </w:tcPr>
          <w:p>
            <w:pPr>
              <w:spacing w:after="0"/>
              <w:rPr>
                <w:sz w:val="7"/>
                <w:szCs w:val="7"/>
                <w:color w:val="auto"/>
              </w:rPr>
            </w:pPr>
          </w:p>
        </w:tc>
        <w:tc>
          <w:tcPr>
            <w:tcW w:w="300" w:type="dxa"/>
            <w:vAlign w:val="bottom"/>
            <w:tcBorders>
              <w:bottom w:val="single" w:sz="8" w:color="9A9A9A"/>
            </w:tcBorders>
          </w:tcPr>
          <w:p>
            <w:pPr>
              <w:spacing w:after="0"/>
              <w:rPr>
                <w:sz w:val="7"/>
                <w:szCs w:val="7"/>
                <w:color w:val="auto"/>
              </w:rPr>
            </w:pPr>
          </w:p>
        </w:tc>
        <w:tc>
          <w:tcPr>
            <w:tcW w:w="176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300" w:type="dxa"/>
            <w:vAlign w:val="bottom"/>
            <w:tcBorders>
              <w:bottom w:val="single" w:sz="8" w:color="9A9A9A"/>
            </w:tcBorders>
          </w:tcPr>
          <w:p>
            <w:pPr>
              <w:spacing w:after="0"/>
              <w:rPr>
                <w:sz w:val="7"/>
                <w:szCs w:val="7"/>
                <w:color w:val="auto"/>
              </w:rPr>
            </w:pPr>
          </w:p>
        </w:tc>
        <w:tc>
          <w:tcPr>
            <w:tcW w:w="174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44" w:lineRule="exact"/>
        <w:rPr>
          <w:sz w:val="20"/>
          <w:szCs w:val="20"/>
          <w:color w:val="auto"/>
        </w:rPr>
      </w:pPr>
    </w:p>
    <w:p>
      <w:pPr>
        <w:ind w:right="20" w:firstLine="255"/>
        <w:spacing w:after="0" w:line="287" w:lineRule="auto"/>
        <w:rPr>
          <w:sz w:val="20"/>
          <w:szCs w:val="20"/>
          <w:color w:val="auto"/>
        </w:rPr>
      </w:pPr>
      <w:r>
        <w:rPr>
          <w:rFonts w:ascii="Times New Roman" w:cs="Times New Roman" w:eastAsia="Times New Roman" w:hAnsi="Times New Roman"/>
          <w:sz w:val="14"/>
          <w:szCs w:val="14"/>
          <w:color w:val="auto"/>
        </w:rPr>
        <w:t>A hypothetical 50 basis point change in the market interest rates in effect would result in an increase or decrease in the fair value of the 2029 Notes of approximately $9.3 million, calculated on a discounted cash flow basis as of January 25, 2025.</w:t>
      </w:r>
    </w:p>
    <w:p>
      <w:pPr>
        <w:spacing w:after="0" w:line="145" w:lineRule="exact"/>
        <w:rPr>
          <w:sz w:val="20"/>
          <w:szCs w:val="20"/>
          <w:color w:val="auto"/>
        </w:rPr>
      </w:pPr>
    </w:p>
    <w:p>
      <w:pPr>
        <w:ind w:firstLine="255"/>
        <w:spacing w:after="0" w:line="270" w:lineRule="auto"/>
        <w:rPr>
          <w:sz w:val="20"/>
          <w:szCs w:val="20"/>
          <w:color w:val="auto"/>
        </w:rPr>
      </w:pPr>
      <w:r>
        <w:rPr>
          <w:rFonts w:ascii="Times New Roman" w:cs="Times New Roman" w:eastAsia="Times New Roman" w:hAnsi="Times New Roman"/>
          <w:sz w:val="14"/>
          <w:szCs w:val="14"/>
          <w:color w:val="auto"/>
        </w:rPr>
        <w:t>Our Credit Agreement provides borrowings at a variable rate of interest. On January 25, 2025, we had variable rate debt outstanding of $450.0 million under our term loan facility. Interest related to these borrowings fluctuates based on Term SOFR or the Base rate, each, as defined in the Credit Agreement and as described above. At the current level of borrowings, for every 50 basis point change in the interest rate, interest expense associated with such borrowings would correspondingly change by approximately $2.3 million annually.</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5" w:right="339" w:bottom="1440" w:gutter="0" w:footer="0" w:header="0"/>
        </w:sectPr>
      </w:pPr>
    </w:p>
    <w:bookmarkStart w:id="41" w:name="page42"/>
    <w:bookmarkEnd w:id="41"/>
    <w:tbl>
      <w:tblPr>
        <w:tblLayout w:type="fixed"/>
        <w:tblInd w:w="0" w:type="dxa"/>
        <w:tblCellMar>
          <w:top w:w="0" w:type="dxa"/>
          <w:left w:w="0" w:type="dxa"/>
          <w:bottom w:w="0" w:type="dxa"/>
          <w:right w:w="0" w:type="dxa"/>
        </w:tblCellMar>
      </w:tblPr>
      <w:tr>
        <w:trPr>
          <w:trHeight w:val="186"/>
        </w:trPr>
        <w:tc>
          <w:tcPr>
            <w:tcW w:w="9960" w:type="dxa"/>
            <w:vAlign w:val="bottom"/>
            <w:gridSpan w:val="9"/>
          </w:tcPr>
          <w:p>
            <w:pPr>
              <w:spacing w:after="0"/>
              <w:rPr>
                <w:sz w:val="20"/>
                <w:szCs w:val="20"/>
                <w:color w:val="auto"/>
              </w:rPr>
            </w:pPr>
            <w:r>
              <w:rPr>
                <w:rFonts w:ascii="Times New Roman" w:cs="Times New Roman" w:eastAsia="Times New Roman" w:hAnsi="Times New Roman"/>
                <w:sz w:val="14"/>
                <w:szCs w:val="14"/>
                <w:b w:val="1"/>
                <w:bCs w:val="1"/>
                <w:color w:val="auto"/>
              </w:rPr>
              <w:t>Item 8</w:t>
            </w:r>
            <w:r>
              <w:rPr>
                <w:rFonts w:ascii="Times New Roman" w:cs="Times New Roman" w:eastAsia="Times New Roman" w:hAnsi="Times New Roman"/>
                <w:sz w:val="14"/>
                <w:szCs w:val="14"/>
                <w:b w:val="1"/>
                <w:bCs w:val="1"/>
                <w:i w:val="1"/>
                <w:iCs w:val="1"/>
                <w:color w:val="auto"/>
              </w:rPr>
              <w:t>. Financial Statements and Supplementary Data.</w:t>
            </w:r>
          </w:p>
        </w:tc>
        <w:tc>
          <w:tcPr>
            <w:tcW w:w="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r>
      <w:tr>
        <w:trPr>
          <w:trHeight w:val="361"/>
        </w:trPr>
        <w:tc>
          <w:tcPr>
            <w:tcW w:w="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5840" w:type="dxa"/>
            <w:vAlign w:val="bottom"/>
          </w:tcPr>
          <w:p>
            <w:pPr>
              <w:jc w:val="center"/>
              <w:ind w:right="2729"/>
              <w:spacing w:after="0"/>
              <w:rPr>
                <w:sz w:val="20"/>
                <w:szCs w:val="20"/>
                <w:color w:val="auto"/>
              </w:rPr>
            </w:pPr>
            <w:r>
              <w:rPr>
                <w:rFonts w:ascii="Times New Roman" w:cs="Times New Roman" w:eastAsia="Times New Roman" w:hAnsi="Times New Roman"/>
                <w:sz w:val="14"/>
                <w:szCs w:val="14"/>
                <w:b w:val="1"/>
                <w:bCs w:val="1"/>
                <w:color w:val="auto"/>
              </w:rPr>
              <w:t>Index to Consolidated Financial Statements</w:t>
            </w: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203"/>
        </w:trPr>
        <w:tc>
          <w:tcPr>
            <w:tcW w:w="2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5840" w:type="dxa"/>
            <w:vAlign w:val="bottom"/>
          </w:tcPr>
          <w:p>
            <w:pPr>
              <w:spacing w:after="0"/>
              <w:rPr>
                <w:sz w:val="17"/>
                <w:szCs w:val="17"/>
                <w:color w:val="auto"/>
              </w:rPr>
            </w:pPr>
          </w:p>
        </w:tc>
        <w:tc>
          <w:tcPr>
            <w:tcW w:w="1320" w:type="dxa"/>
            <w:vAlign w:val="bottom"/>
            <w:tcBorders>
              <w:bottom w:val="single" w:sz="8" w:color="auto"/>
            </w:tcBorders>
            <w:gridSpan w:val="3"/>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149"/>
        </w:trPr>
        <w:tc>
          <w:tcPr>
            <w:tcW w:w="20" w:type="dxa"/>
            <w:vAlign w:val="bottom"/>
          </w:tcPr>
          <w:p>
            <w:pPr>
              <w:spacing w:after="0"/>
              <w:rPr>
                <w:sz w:val="12"/>
                <w:szCs w:val="12"/>
                <w:color w:val="auto"/>
              </w:rPr>
            </w:pPr>
          </w:p>
        </w:tc>
        <w:tc>
          <w:tcPr>
            <w:tcW w:w="16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0000FF"/>
              </w:rPr>
              <w:t>Consolidated Balance Sheets</w:t>
            </w:r>
          </w:p>
        </w:tc>
        <w:tc>
          <w:tcPr>
            <w:tcW w:w="8280" w:type="dxa"/>
            <w:vAlign w:val="bottom"/>
            <w:gridSpan w:val="7"/>
          </w:tcPr>
          <w:p>
            <w:pPr>
              <w:spacing w:after="0"/>
              <w:rPr>
                <w:sz w:val="12"/>
                <w:szCs w:val="12"/>
                <w:color w:val="auto"/>
              </w:rPr>
            </w:pPr>
          </w:p>
        </w:tc>
        <w:tc>
          <w:tcPr>
            <w:tcW w:w="580" w:type="dxa"/>
            <w:vAlign w:val="bottom"/>
          </w:tcPr>
          <w:p>
            <w:pPr>
              <w:spacing w:after="0"/>
              <w:rPr>
                <w:sz w:val="12"/>
                <w:szCs w:val="12"/>
                <w:color w:val="auto"/>
              </w:rPr>
            </w:pPr>
          </w:p>
        </w:tc>
        <w:tc>
          <w:tcPr>
            <w:tcW w:w="740" w:type="dxa"/>
            <w:vAlign w:val="bottom"/>
            <w:gridSpan w:val="2"/>
          </w:tcPr>
          <w:p>
            <w:pPr>
              <w:jc w:val="center"/>
              <w:ind w:right="600"/>
              <w:spacing w:after="0" w:line="149" w:lineRule="exact"/>
              <w:rPr>
                <w:sz w:val="20"/>
                <w:szCs w:val="20"/>
                <w:color w:val="auto"/>
              </w:rPr>
            </w:pPr>
            <w:r>
              <w:rPr>
                <w:rFonts w:ascii="Times New Roman" w:cs="Times New Roman" w:eastAsia="Times New Roman" w:hAnsi="Times New Roman"/>
                <w:sz w:val="14"/>
                <w:szCs w:val="14"/>
                <w:color w:val="0000FF"/>
                <w:w w:val="99"/>
              </w:rPr>
              <w:t>43</w:t>
            </w:r>
          </w:p>
        </w:tc>
      </w:tr>
      <w:tr>
        <w:trPr>
          <w:trHeight w:val="20"/>
        </w:trPr>
        <w:tc>
          <w:tcPr>
            <w:tcW w:w="20" w:type="dxa"/>
            <w:vAlign w:val="bottom"/>
          </w:tcPr>
          <w:p>
            <w:pPr>
              <w:spacing w:after="0" w:line="20" w:lineRule="exact"/>
              <w:rPr>
                <w:sz w:val="1"/>
                <w:szCs w:val="1"/>
                <w:color w:val="auto"/>
              </w:rPr>
            </w:pPr>
          </w:p>
        </w:tc>
        <w:tc>
          <w:tcPr>
            <w:tcW w:w="1660" w:type="dxa"/>
            <w:vAlign w:val="bottom"/>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58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160"/>
        </w:trPr>
        <w:tc>
          <w:tcPr>
            <w:tcW w:w="20" w:type="dxa"/>
            <w:vAlign w:val="bottom"/>
          </w:tcPr>
          <w:p>
            <w:pPr>
              <w:spacing w:after="0"/>
              <w:rPr>
                <w:sz w:val="13"/>
                <w:szCs w:val="13"/>
                <w:color w:val="auto"/>
              </w:rPr>
            </w:pPr>
          </w:p>
        </w:tc>
        <w:tc>
          <w:tcPr>
            <w:tcW w:w="9940" w:type="dxa"/>
            <w:vAlign w:val="bottom"/>
            <w:gridSpan w:val="8"/>
          </w:tcPr>
          <w:p>
            <w:pPr>
              <w:spacing w:after="0"/>
              <w:rPr>
                <w:sz w:val="20"/>
                <w:szCs w:val="20"/>
                <w:color w:val="auto"/>
              </w:rPr>
            </w:pPr>
            <w:r>
              <w:rPr>
                <w:rFonts w:ascii="Times New Roman" w:cs="Times New Roman" w:eastAsia="Times New Roman" w:hAnsi="Times New Roman"/>
                <w:sz w:val="14"/>
                <w:szCs w:val="14"/>
                <w:color w:val="0000FF"/>
              </w:rPr>
              <w:t>Consolidated Statements of Operations</w:t>
            </w:r>
          </w:p>
        </w:tc>
        <w:tc>
          <w:tcPr>
            <w:tcW w:w="1320" w:type="dxa"/>
            <w:vAlign w:val="bottom"/>
            <w:gridSpan w:val="3"/>
          </w:tcPr>
          <w:p>
            <w:pPr>
              <w:jc w:val="center"/>
              <w:ind w:right="20"/>
              <w:spacing w:after="0"/>
              <w:rPr>
                <w:sz w:val="20"/>
                <w:szCs w:val="20"/>
                <w:color w:val="auto"/>
              </w:rPr>
            </w:pPr>
            <w:r>
              <w:rPr>
                <w:rFonts w:ascii="Times New Roman" w:cs="Times New Roman" w:eastAsia="Times New Roman" w:hAnsi="Times New Roman"/>
                <w:sz w:val="14"/>
                <w:szCs w:val="14"/>
                <w:color w:val="0000FF"/>
                <w:w w:val="99"/>
              </w:rPr>
              <w:t>44</w:t>
            </w:r>
          </w:p>
        </w:tc>
      </w:tr>
      <w:tr>
        <w:trPr>
          <w:trHeight w:val="20"/>
        </w:trPr>
        <w:tc>
          <w:tcPr>
            <w:tcW w:w="20" w:type="dxa"/>
            <w:vAlign w:val="bottom"/>
          </w:tcPr>
          <w:p>
            <w:pPr>
              <w:spacing w:after="0" w:line="20" w:lineRule="exact"/>
              <w:rPr>
                <w:sz w:val="1"/>
                <w:szCs w:val="1"/>
                <w:color w:val="auto"/>
              </w:rPr>
            </w:pPr>
          </w:p>
        </w:tc>
        <w:tc>
          <w:tcPr>
            <w:tcW w:w="166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58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160"/>
        </w:trPr>
        <w:tc>
          <w:tcPr>
            <w:tcW w:w="20" w:type="dxa"/>
            <w:vAlign w:val="bottom"/>
          </w:tcPr>
          <w:p>
            <w:pPr>
              <w:spacing w:after="0"/>
              <w:rPr>
                <w:sz w:val="13"/>
                <w:szCs w:val="13"/>
                <w:color w:val="auto"/>
              </w:rPr>
            </w:pPr>
          </w:p>
        </w:tc>
        <w:tc>
          <w:tcPr>
            <w:tcW w:w="9940" w:type="dxa"/>
            <w:vAlign w:val="bottom"/>
            <w:gridSpan w:val="8"/>
          </w:tcPr>
          <w:p>
            <w:pPr>
              <w:spacing w:after="0"/>
              <w:rPr>
                <w:sz w:val="20"/>
                <w:szCs w:val="20"/>
                <w:color w:val="auto"/>
              </w:rPr>
            </w:pPr>
            <w:r>
              <w:rPr>
                <w:rFonts w:ascii="Times New Roman" w:cs="Times New Roman" w:eastAsia="Times New Roman" w:hAnsi="Times New Roman"/>
                <w:sz w:val="14"/>
                <w:szCs w:val="14"/>
                <w:color w:val="0000FF"/>
              </w:rPr>
              <w:t>Consolidated Statements of Comprehensive Income</w:t>
            </w:r>
          </w:p>
        </w:tc>
        <w:tc>
          <w:tcPr>
            <w:tcW w:w="1320" w:type="dxa"/>
            <w:vAlign w:val="bottom"/>
            <w:gridSpan w:val="3"/>
          </w:tcPr>
          <w:p>
            <w:pPr>
              <w:jc w:val="center"/>
              <w:ind w:right="20"/>
              <w:spacing w:after="0"/>
              <w:rPr>
                <w:sz w:val="20"/>
                <w:szCs w:val="20"/>
                <w:color w:val="auto"/>
              </w:rPr>
            </w:pPr>
            <w:r>
              <w:rPr>
                <w:rFonts w:ascii="Times New Roman" w:cs="Times New Roman" w:eastAsia="Times New Roman" w:hAnsi="Times New Roman"/>
                <w:sz w:val="14"/>
                <w:szCs w:val="14"/>
                <w:color w:val="0000FF"/>
                <w:w w:val="99"/>
              </w:rPr>
              <w:t>45</w:t>
            </w:r>
          </w:p>
        </w:tc>
      </w:tr>
      <w:tr>
        <w:trPr>
          <w:trHeight w:val="20"/>
        </w:trPr>
        <w:tc>
          <w:tcPr>
            <w:tcW w:w="20" w:type="dxa"/>
            <w:vAlign w:val="bottom"/>
          </w:tcPr>
          <w:p>
            <w:pPr>
              <w:spacing w:after="0" w:line="20" w:lineRule="exact"/>
              <w:rPr>
                <w:sz w:val="1"/>
                <w:szCs w:val="1"/>
                <w:color w:val="auto"/>
              </w:rPr>
            </w:pPr>
          </w:p>
        </w:tc>
        <w:tc>
          <w:tcPr>
            <w:tcW w:w="2260" w:type="dxa"/>
            <w:vAlign w:val="bottom"/>
            <w:gridSpan w:val="3"/>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58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160"/>
        </w:trPr>
        <w:tc>
          <w:tcPr>
            <w:tcW w:w="20" w:type="dxa"/>
            <w:vAlign w:val="bottom"/>
          </w:tcPr>
          <w:p>
            <w:pPr>
              <w:spacing w:after="0"/>
              <w:rPr>
                <w:sz w:val="13"/>
                <w:szCs w:val="13"/>
                <w:color w:val="auto"/>
              </w:rPr>
            </w:pPr>
          </w:p>
        </w:tc>
        <w:tc>
          <w:tcPr>
            <w:tcW w:w="2800" w:type="dxa"/>
            <w:vAlign w:val="bottom"/>
            <w:gridSpan w:val="5"/>
          </w:tcPr>
          <w:p>
            <w:pPr>
              <w:spacing w:after="0"/>
              <w:rPr>
                <w:sz w:val="20"/>
                <w:szCs w:val="20"/>
                <w:color w:val="auto"/>
              </w:rPr>
            </w:pPr>
            <w:r>
              <w:rPr>
                <w:rFonts w:ascii="Times New Roman" w:cs="Times New Roman" w:eastAsia="Times New Roman" w:hAnsi="Times New Roman"/>
                <w:sz w:val="14"/>
                <w:szCs w:val="14"/>
                <w:color w:val="0000FF"/>
              </w:rPr>
              <w:t>Consolidated Statements of Stockholders’ Equity</w:t>
            </w:r>
          </w:p>
        </w:tc>
        <w:tc>
          <w:tcPr>
            <w:tcW w:w="140" w:type="dxa"/>
            <w:vAlign w:val="bottom"/>
          </w:tcPr>
          <w:p>
            <w:pPr>
              <w:spacing w:after="0"/>
              <w:rPr>
                <w:sz w:val="13"/>
                <w:szCs w:val="13"/>
                <w:color w:val="auto"/>
              </w:rPr>
            </w:pPr>
          </w:p>
        </w:tc>
        <w:tc>
          <w:tcPr>
            <w:tcW w:w="7000" w:type="dxa"/>
            <w:vAlign w:val="bottom"/>
            <w:gridSpan w:val="2"/>
          </w:tcPr>
          <w:p>
            <w:pPr>
              <w:spacing w:after="0"/>
              <w:rPr>
                <w:sz w:val="13"/>
                <w:szCs w:val="13"/>
                <w:color w:val="auto"/>
              </w:rPr>
            </w:pPr>
          </w:p>
        </w:tc>
        <w:tc>
          <w:tcPr>
            <w:tcW w:w="580" w:type="dxa"/>
            <w:vAlign w:val="bottom"/>
          </w:tcPr>
          <w:p>
            <w:pPr>
              <w:spacing w:after="0"/>
              <w:rPr>
                <w:sz w:val="13"/>
                <w:szCs w:val="13"/>
                <w:color w:val="auto"/>
              </w:rPr>
            </w:pPr>
          </w:p>
        </w:tc>
        <w:tc>
          <w:tcPr>
            <w:tcW w:w="740" w:type="dxa"/>
            <w:vAlign w:val="bottom"/>
            <w:gridSpan w:val="2"/>
          </w:tcPr>
          <w:p>
            <w:pPr>
              <w:jc w:val="center"/>
              <w:ind w:right="600"/>
              <w:spacing w:after="0"/>
              <w:rPr>
                <w:sz w:val="20"/>
                <w:szCs w:val="20"/>
                <w:color w:val="auto"/>
              </w:rPr>
            </w:pPr>
            <w:r>
              <w:rPr>
                <w:rFonts w:ascii="Times New Roman" w:cs="Times New Roman" w:eastAsia="Times New Roman" w:hAnsi="Times New Roman"/>
                <w:sz w:val="14"/>
                <w:szCs w:val="14"/>
                <w:color w:val="0000FF"/>
                <w:w w:val="99"/>
              </w:rPr>
              <w:t>46</w:t>
            </w:r>
          </w:p>
        </w:tc>
      </w:tr>
      <w:tr>
        <w:trPr>
          <w:trHeight w:val="20"/>
        </w:trPr>
        <w:tc>
          <w:tcPr>
            <w:tcW w:w="20" w:type="dxa"/>
            <w:vAlign w:val="bottom"/>
          </w:tcPr>
          <w:p>
            <w:pPr>
              <w:spacing w:after="0" w:line="20" w:lineRule="exact"/>
              <w:rPr>
                <w:sz w:val="1"/>
                <w:szCs w:val="1"/>
                <w:color w:val="auto"/>
              </w:rPr>
            </w:pPr>
          </w:p>
        </w:tc>
        <w:tc>
          <w:tcPr>
            <w:tcW w:w="166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58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160"/>
        </w:trPr>
        <w:tc>
          <w:tcPr>
            <w:tcW w:w="20" w:type="dxa"/>
            <w:vAlign w:val="bottom"/>
          </w:tcPr>
          <w:p>
            <w:pPr>
              <w:spacing w:after="0"/>
              <w:rPr>
                <w:sz w:val="13"/>
                <w:szCs w:val="13"/>
                <w:color w:val="auto"/>
              </w:rPr>
            </w:pPr>
          </w:p>
        </w:tc>
        <w:tc>
          <w:tcPr>
            <w:tcW w:w="2800" w:type="dxa"/>
            <w:vAlign w:val="bottom"/>
            <w:gridSpan w:val="5"/>
          </w:tcPr>
          <w:p>
            <w:pPr>
              <w:spacing w:after="0"/>
              <w:rPr>
                <w:sz w:val="20"/>
                <w:szCs w:val="20"/>
                <w:color w:val="auto"/>
              </w:rPr>
            </w:pPr>
            <w:r>
              <w:rPr>
                <w:rFonts w:ascii="Times New Roman" w:cs="Times New Roman" w:eastAsia="Times New Roman" w:hAnsi="Times New Roman"/>
                <w:sz w:val="14"/>
                <w:szCs w:val="14"/>
                <w:color w:val="0000FF"/>
              </w:rPr>
              <w:t>Consolidated Statements of Cash Flows</w:t>
            </w:r>
          </w:p>
        </w:tc>
        <w:tc>
          <w:tcPr>
            <w:tcW w:w="7140" w:type="dxa"/>
            <w:vAlign w:val="bottom"/>
            <w:gridSpan w:val="3"/>
          </w:tcPr>
          <w:p>
            <w:pPr>
              <w:spacing w:after="0"/>
              <w:rPr>
                <w:sz w:val="13"/>
                <w:szCs w:val="13"/>
                <w:color w:val="auto"/>
              </w:rPr>
            </w:pPr>
          </w:p>
        </w:tc>
        <w:tc>
          <w:tcPr>
            <w:tcW w:w="580" w:type="dxa"/>
            <w:vAlign w:val="bottom"/>
          </w:tcPr>
          <w:p>
            <w:pPr>
              <w:spacing w:after="0"/>
              <w:rPr>
                <w:sz w:val="13"/>
                <w:szCs w:val="13"/>
                <w:color w:val="auto"/>
              </w:rPr>
            </w:pPr>
          </w:p>
        </w:tc>
        <w:tc>
          <w:tcPr>
            <w:tcW w:w="740" w:type="dxa"/>
            <w:vAlign w:val="bottom"/>
            <w:gridSpan w:val="2"/>
          </w:tcPr>
          <w:p>
            <w:pPr>
              <w:jc w:val="center"/>
              <w:ind w:right="600"/>
              <w:spacing w:after="0"/>
              <w:rPr>
                <w:sz w:val="20"/>
                <w:szCs w:val="20"/>
                <w:color w:val="auto"/>
              </w:rPr>
            </w:pPr>
            <w:r>
              <w:rPr>
                <w:rFonts w:ascii="Times New Roman" w:cs="Times New Roman" w:eastAsia="Times New Roman" w:hAnsi="Times New Roman"/>
                <w:sz w:val="14"/>
                <w:szCs w:val="14"/>
                <w:color w:val="0000FF"/>
                <w:w w:val="99"/>
              </w:rPr>
              <w:t>47</w:t>
            </w:r>
          </w:p>
        </w:tc>
      </w:tr>
      <w:tr>
        <w:trPr>
          <w:trHeight w:val="20"/>
        </w:trPr>
        <w:tc>
          <w:tcPr>
            <w:tcW w:w="20" w:type="dxa"/>
            <w:vAlign w:val="bottom"/>
          </w:tcPr>
          <w:p>
            <w:pPr>
              <w:spacing w:after="0" w:line="20" w:lineRule="exact"/>
              <w:rPr>
                <w:sz w:val="1"/>
                <w:szCs w:val="1"/>
                <w:color w:val="auto"/>
              </w:rPr>
            </w:pPr>
          </w:p>
        </w:tc>
        <w:tc>
          <w:tcPr>
            <w:tcW w:w="2260" w:type="dxa"/>
            <w:vAlign w:val="bottom"/>
            <w:gridSpan w:val="3"/>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0" w:type="dxa"/>
            <w:vAlign w:val="bottom"/>
            <w:gridSpan w:val="3"/>
          </w:tcPr>
          <w:p>
            <w:pPr>
              <w:spacing w:after="0" w:line="20" w:lineRule="exact"/>
              <w:rPr>
                <w:sz w:val="1"/>
                <w:szCs w:val="1"/>
                <w:color w:val="auto"/>
              </w:rPr>
            </w:pPr>
          </w:p>
        </w:tc>
        <w:tc>
          <w:tcPr>
            <w:tcW w:w="58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160"/>
        </w:trPr>
        <w:tc>
          <w:tcPr>
            <w:tcW w:w="20" w:type="dxa"/>
            <w:vAlign w:val="bottom"/>
          </w:tcPr>
          <w:p>
            <w:pPr>
              <w:spacing w:after="0"/>
              <w:rPr>
                <w:sz w:val="13"/>
                <w:szCs w:val="13"/>
                <w:color w:val="auto"/>
              </w:rPr>
            </w:pPr>
          </w:p>
        </w:tc>
        <w:tc>
          <w:tcPr>
            <w:tcW w:w="2700" w:type="dxa"/>
            <w:vAlign w:val="bottom"/>
            <w:gridSpan w:val="4"/>
          </w:tcPr>
          <w:p>
            <w:pPr>
              <w:spacing w:after="0"/>
              <w:rPr>
                <w:sz w:val="20"/>
                <w:szCs w:val="20"/>
                <w:color w:val="auto"/>
              </w:rPr>
            </w:pPr>
            <w:r>
              <w:rPr>
                <w:rFonts w:ascii="Times New Roman" w:cs="Times New Roman" w:eastAsia="Times New Roman" w:hAnsi="Times New Roman"/>
                <w:sz w:val="14"/>
                <w:szCs w:val="14"/>
                <w:color w:val="0000FF"/>
              </w:rPr>
              <w:t>Notes to the Consolidated Financial Statements</w:t>
            </w:r>
          </w:p>
        </w:tc>
        <w:tc>
          <w:tcPr>
            <w:tcW w:w="7240" w:type="dxa"/>
            <w:vAlign w:val="bottom"/>
            <w:gridSpan w:val="4"/>
          </w:tcPr>
          <w:p>
            <w:pPr>
              <w:spacing w:after="0"/>
              <w:rPr>
                <w:sz w:val="13"/>
                <w:szCs w:val="13"/>
                <w:color w:val="auto"/>
              </w:rPr>
            </w:pPr>
          </w:p>
        </w:tc>
        <w:tc>
          <w:tcPr>
            <w:tcW w:w="580" w:type="dxa"/>
            <w:vAlign w:val="bottom"/>
          </w:tcPr>
          <w:p>
            <w:pPr>
              <w:spacing w:after="0"/>
              <w:rPr>
                <w:sz w:val="13"/>
                <w:szCs w:val="13"/>
                <w:color w:val="auto"/>
              </w:rPr>
            </w:pPr>
          </w:p>
        </w:tc>
        <w:tc>
          <w:tcPr>
            <w:tcW w:w="740" w:type="dxa"/>
            <w:vAlign w:val="bottom"/>
            <w:gridSpan w:val="2"/>
          </w:tcPr>
          <w:p>
            <w:pPr>
              <w:jc w:val="center"/>
              <w:ind w:right="600"/>
              <w:spacing w:after="0"/>
              <w:rPr>
                <w:sz w:val="20"/>
                <w:szCs w:val="20"/>
                <w:color w:val="auto"/>
              </w:rPr>
            </w:pPr>
            <w:r>
              <w:rPr>
                <w:rFonts w:ascii="Times New Roman" w:cs="Times New Roman" w:eastAsia="Times New Roman" w:hAnsi="Times New Roman"/>
                <w:sz w:val="14"/>
                <w:szCs w:val="14"/>
                <w:color w:val="0000FF"/>
                <w:w w:val="99"/>
              </w:rPr>
              <w:t>49</w:t>
            </w:r>
          </w:p>
        </w:tc>
      </w:tr>
      <w:tr>
        <w:trPr>
          <w:trHeight w:val="20"/>
        </w:trPr>
        <w:tc>
          <w:tcPr>
            <w:tcW w:w="20" w:type="dxa"/>
            <w:vAlign w:val="bottom"/>
          </w:tcPr>
          <w:p>
            <w:pPr>
              <w:spacing w:after="0" w:line="20" w:lineRule="exact"/>
              <w:rPr>
                <w:sz w:val="1"/>
                <w:szCs w:val="1"/>
                <w:color w:val="auto"/>
              </w:rPr>
            </w:pPr>
          </w:p>
        </w:tc>
        <w:tc>
          <w:tcPr>
            <w:tcW w:w="2700" w:type="dxa"/>
            <w:vAlign w:val="bottom"/>
            <w:gridSpan w:val="4"/>
            <w:shd w:val="clear" w:color="auto" w:fill="0000FF"/>
          </w:tcPr>
          <w:p>
            <w:pPr>
              <w:spacing w:after="0" w:line="20" w:lineRule="exact"/>
              <w:rPr>
                <w:sz w:val="1"/>
                <w:szCs w:val="1"/>
                <w:color w:val="auto"/>
              </w:rPr>
            </w:pPr>
          </w:p>
        </w:tc>
        <w:tc>
          <w:tcPr>
            <w:tcW w:w="1400" w:type="dxa"/>
            <w:vAlign w:val="bottom"/>
            <w:gridSpan w:val="3"/>
          </w:tcPr>
          <w:p>
            <w:pPr>
              <w:spacing w:after="0" w:line="20" w:lineRule="exact"/>
              <w:rPr>
                <w:sz w:val="1"/>
                <w:szCs w:val="1"/>
                <w:color w:val="auto"/>
              </w:rPr>
            </w:pPr>
          </w:p>
        </w:tc>
        <w:tc>
          <w:tcPr>
            <w:tcW w:w="58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160"/>
        </w:trPr>
        <w:tc>
          <w:tcPr>
            <w:tcW w:w="20" w:type="dxa"/>
            <w:vAlign w:val="bottom"/>
          </w:tcPr>
          <w:p>
            <w:pPr>
              <w:spacing w:after="0"/>
              <w:rPr>
                <w:sz w:val="13"/>
                <w:szCs w:val="13"/>
                <w:color w:val="auto"/>
              </w:rPr>
            </w:pPr>
          </w:p>
        </w:tc>
        <w:tc>
          <w:tcPr>
            <w:tcW w:w="9940" w:type="dxa"/>
            <w:vAlign w:val="bottom"/>
            <w:gridSpan w:val="8"/>
          </w:tcPr>
          <w:p>
            <w:pPr>
              <w:spacing w:after="0"/>
              <w:rPr>
                <w:sz w:val="20"/>
                <w:szCs w:val="20"/>
                <w:color w:val="auto"/>
              </w:rPr>
            </w:pPr>
            <w:r>
              <w:rPr>
                <w:rFonts w:ascii="Times New Roman" w:cs="Times New Roman" w:eastAsia="Times New Roman" w:hAnsi="Times New Roman"/>
                <w:sz w:val="14"/>
                <w:szCs w:val="14"/>
                <w:color w:val="0000FF"/>
              </w:rPr>
              <w:t xml:space="preserve">Report of Independent Registered Public Accounting Firm (PCAOB ID </w:t>
            </w:r>
            <w:r>
              <w:rPr>
                <w:rFonts w:ascii="Times New Roman" w:cs="Times New Roman" w:eastAsia="Times New Roman" w:hAnsi="Times New Roman"/>
                <w:sz w:val="14"/>
                <w:szCs w:val="14"/>
                <w:color w:val="000000"/>
              </w:rPr>
              <w:t>238</w:t>
            </w:r>
            <w:r>
              <w:rPr>
                <w:rFonts w:ascii="Times New Roman" w:cs="Times New Roman" w:eastAsia="Times New Roman" w:hAnsi="Times New Roman"/>
                <w:sz w:val="14"/>
                <w:szCs w:val="14"/>
                <w:u w:val="single" w:color="auto"/>
                <w:color w:val="0000FF"/>
              </w:rPr>
              <w:t>)</w:t>
            </w:r>
          </w:p>
        </w:tc>
        <w:tc>
          <w:tcPr>
            <w:tcW w:w="1320" w:type="dxa"/>
            <w:vAlign w:val="bottom"/>
            <w:gridSpan w:val="3"/>
          </w:tcPr>
          <w:p>
            <w:pPr>
              <w:jc w:val="center"/>
              <w:ind w:right="20"/>
              <w:spacing w:after="0"/>
              <w:rPr>
                <w:sz w:val="20"/>
                <w:szCs w:val="20"/>
                <w:color w:val="auto"/>
              </w:rPr>
            </w:pPr>
            <w:r>
              <w:rPr>
                <w:rFonts w:ascii="Times New Roman" w:cs="Times New Roman" w:eastAsia="Times New Roman" w:hAnsi="Times New Roman"/>
                <w:sz w:val="14"/>
                <w:szCs w:val="14"/>
                <w:color w:val="0000FF"/>
                <w:w w:val="99"/>
              </w:rPr>
              <w:t>75</w:t>
            </w:r>
          </w:p>
        </w:tc>
      </w:tr>
      <w:tr>
        <w:trPr>
          <w:trHeight w:val="701"/>
        </w:trPr>
        <w:tc>
          <w:tcPr>
            <w:tcW w:w="20" w:type="dxa"/>
            <w:vAlign w:val="bottom"/>
          </w:tcPr>
          <w:p>
            <w:pPr>
              <w:spacing w:after="0"/>
              <w:rPr>
                <w:sz w:val="24"/>
                <w:szCs w:val="24"/>
                <w:color w:val="auto"/>
              </w:rPr>
            </w:pPr>
          </w:p>
        </w:tc>
        <w:tc>
          <w:tcPr>
            <w:tcW w:w="4100" w:type="dxa"/>
            <w:vAlign w:val="bottom"/>
            <w:tcBorders>
              <w:top w:val="single" w:sz="8" w:color="0000FF"/>
            </w:tcBorders>
            <w:gridSpan w:val="7"/>
          </w:tcPr>
          <w:p>
            <w:pPr>
              <w:spacing w:after="0"/>
              <w:rPr>
                <w:sz w:val="24"/>
                <w:szCs w:val="24"/>
                <w:color w:val="auto"/>
              </w:rPr>
            </w:pPr>
          </w:p>
        </w:tc>
        <w:tc>
          <w:tcPr>
            <w:tcW w:w="5840" w:type="dxa"/>
            <w:vAlign w:val="bottom"/>
          </w:tcPr>
          <w:p>
            <w:pPr>
              <w:jc w:val="right"/>
              <w:ind w:right="4169"/>
              <w:spacing w:after="0"/>
              <w:rPr>
                <w:sz w:val="20"/>
                <w:szCs w:val="20"/>
                <w:color w:val="auto"/>
              </w:rPr>
            </w:pPr>
            <w:r>
              <w:rPr>
                <w:rFonts w:ascii="Times New Roman" w:cs="Times New Roman" w:eastAsia="Times New Roman" w:hAnsi="Times New Roman"/>
                <w:sz w:val="14"/>
                <w:szCs w:val="14"/>
                <w:color w:val="auto"/>
              </w:rPr>
              <w:t>42</w:t>
            </w:r>
          </w:p>
        </w:tc>
        <w:tc>
          <w:tcPr>
            <w:tcW w:w="580" w:type="dxa"/>
            <w:vAlign w:val="bottom"/>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600" w:type="dxa"/>
            <w:vAlign w:val="bottom"/>
          </w:tcPr>
          <w:p>
            <w:pPr>
              <w:spacing w:after="0"/>
              <w:rPr>
                <w:sz w:val="24"/>
                <w:szCs w:val="24"/>
                <w:color w:val="auto"/>
              </w:rPr>
            </w:pPr>
          </w:p>
        </w:tc>
      </w:tr>
      <w:tr>
        <w:trPr>
          <w:trHeight w:val="87"/>
        </w:trPr>
        <w:tc>
          <w:tcPr>
            <w:tcW w:w="20" w:type="dxa"/>
            <w:vAlign w:val="bottom"/>
            <w:tcBorders>
              <w:bottom w:val="single" w:sz="8" w:color="9A9A9A"/>
            </w:tcBorders>
          </w:tcPr>
          <w:p>
            <w:pPr>
              <w:spacing w:after="0"/>
              <w:rPr>
                <w:sz w:val="7"/>
                <w:szCs w:val="7"/>
                <w:color w:val="auto"/>
              </w:rPr>
            </w:pPr>
          </w:p>
        </w:tc>
        <w:tc>
          <w:tcPr>
            <w:tcW w:w="1660" w:type="dxa"/>
            <w:vAlign w:val="bottom"/>
            <w:tcBorders>
              <w:bottom w:val="single" w:sz="8" w:color="9A9A9A"/>
            </w:tcBorders>
          </w:tcPr>
          <w:p>
            <w:pPr>
              <w:spacing w:after="0"/>
              <w:rPr>
                <w:sz w:val="7"/>
                <w:szCs w:val="7"/>
                <w:color w:val="auto"/>
              </w:rPr>
            </w:pPr>
          </w:p>
        </w:tc>
        <w:tc>
          <w:tcPr>
            <w:tcW w:w="56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44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1160" w:type="dxa"/>
            <w:vAlign w:val="bottom"/>
            <w:tcBorders>
              <w:bottom w:val="single" w:sz="8" w:color="9A9A9A"/>
            </w:tcBorders>
          </w:tcPr>
          <w:p>
            <w:pPr>
              <w:spacing w:after="0"/>
              <w:rPr>
                <w:sz w:val="7"/>
                <w:szCs w:val="7"/>
                <w:color w:val="auto"/>
              </w:rPr>
            </w:pPr>
          </w:p>
        </w:tc>
        <w:tc>
          <w:tcPr>
            <w:tcW w:w="5840" w:type="dxa"/>
            <w:vAlign w:val="bottom"/>
            <w:tcBorders>
              <w:bottom w:val="single" w:sz="8" w:color="9A9A9A"/>
            </w:tcBorders>
          </w:tcPr>
          <w:p>
            <w:pPr>
              <w:spacing w:after="0"/>
              <w:rPr>
                <w:sz w:val="7"/>
                <w:szCs w:val="7"/>
                <w:color w:val="auto"/>
              </w:rPr>
            </w:pPr>
          </w:p>
        </w:tc>
        <w:tc>
          <w:tcPr>
            <w:tcW w:w="58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728" w:right="319" w:bottom="1440" w:gutter="0" w:footer="0" w:header="0"/>
        </w:sectPr>
      </w:pPr>
    </w:p>
    <w:bookmarkStart w:id="42" w:name="page43"/>
    <w:bookmarkEnd w:id="42"/>
    <w:tbl>
      <w:tblPr>
        <w:tblLayout w:type="fixed"/>
        <w:tblInd w:w="0" w:type="dxa"/>
        <w:tblCellMar>
          <w:top w:w="0" w:type="dxa"/>
          <w:left w:w="0" w:type="dxa"/>
          <w:bottom w:w="0" w:type="dxa"/>
          <w:right w:w="0" w:type="dxa"/>
        </w:tblCellMar>
      </w:tblPr>
      <w:tr>
        <w:trPr>
          <w:trHeight w:val="161"/>
        </w:trPr>
        <w:tc>
          <w:tcPr>
            <w:tcW w:w="7720" w:type="dxa"/>
            <w:vAlign w:val="bottom"/>
            <w:gridSpan w:val="2"/>
          </w:tcPr>
          <w:p>
            <w:pPr>
              <w:spacing w:after="0"/>
              <w:rPr>
                <w:sz w:val="20"/>
                <w:szCs w:val="20"/>
                <w:color w:val="auto"/>
              </w:rPr>
            </w:pPr>
            <w:r>
              <w:rPr>
                <w:rFonts w:ascii="Times New Roman" w:cs="Times New Roman" w:eastAsia="Times New Roman" w:hAnsi="Times New Roman"/>
                <w:sz w:val="14"/>
                <w:szCs w:val="14"/>
                <w:color w:val="0000FF"/>
              </w:rPr>
              <w:t>Table of Contents</w:t>
            </w:r>
          </w:p>
        </w:tc>
        <w:tc>
          <w:tcPr>
            <w:tcW w:w="22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32"/>
        </w:trPr>
        <w:tc>
          <w:tcPr>
            <w:tcW w:w="1000" w:type="dxa"/>
            <w:vAlign w:val="bottom"/>
            <w:tcBorders>
              <w:top w:val="single" w:sz="8" w:color="0000FF"/>
            </w:tcBorders>
          </w:tcPr>
          <w:p>
            <w:pPr>
              <w:spacing w:after="0"/>
              <w:rPr>
                <w:sz w:val="24"/>
                <w:szCs w:val="24"/>
                <w:color w:val="auto"/>
              </w:rPr>
            </w:pPr>
          </w:p>
        </w:tc>
        <w:tc>
          <w:tcPr>
            <w:tcW w:w="6720" w:type="dxa"/>
            <w:vAlign w:val="bottom"/>
          </w:tcPr>
          <w:p>
            <w:pPr>
              <w:jc w:val="center"/>
              <w:ind w:left="2489"/>
              <w:spacing w:after="0"/>
              <w:rPr>
                <w:sz w:val="20"/>
                <w:szCs w:val="20"/>
                <w:color w:val="auto"/>
              </w:rPr>
            </w:pPr>
            <w:r>
              <w:rPr>
                <w:rFonts w:ascii="Times New Roman" w:cs="Times New Roman" w:eastAsia="Times New Roman" w:hAnsi="Times New Roman"/>
                <w:sz w:val="14"/>
                <w:szCs w:val="14"/>
                <w:b w:val="1"/>
                <w:bCs w:val="1"/>
                <w:color w:val="auto"/>
              </w:rPr>
              <w:t>DYCOM INDUSTRIES, INC. AND SUBSIDIARIES</w:t>
            </w:r>
          </w:p>
        </w:tc>
        <w:tc>
          <w:tcPr>
            <w:tcW w:w="2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0"/>
        </w:trPr>
        <w:tc>
          <w:tcPr>
            <w:tcW w:w="1000" w:type="dxa"/>
            <w:vAlign w:val="bottom"/>
          </w:tcPr>
          <w:p>
            <w:pPr>
              <w:spacing w:after="0"/>
              <w:rPr>
                <w:sz w:val="14"/>
                <w:szCs w:val="14"/>
                <w:color w:val="auto"/>
              </w:rPr>
            </w:pPr>
          </w:p>
        </w:tc>
        <w:tc>
          <w:tcPr>
            <w:tcW w:w="6720" w:type="dxa"/>
            <w:vAlign w:val="bottom"/>
          </w:tcPr>
          <w:p>
            <w:pPr>
              <w:jc w:val="center"/>
              <w:ind w:left="2489"/>
              <w:spacing w:after="0"/>
              <w:rPr>
                <w:sz w:val="20"/>
                <w:szCs w:val="20"/>
                <w:color w:val="auto"/>
              </w:rPr>
            </w:pPr>
            <w:r>
              <w:rPr>
                <w:rFonts w:ascii="Times New Roman" w:cs="Times New Roman" w:eastAsia="Times New Roman" w:hAnsi="Times New Roman"/>
                <w:sz w:val="14"/>
                <w:szCs w:val="14"/>
                <w:b w:val="1"/>
                <w:bCs w:val="1"/>
                <w:color w:val="auto"/>
              </w:rPr>
              <w:t>CONSOLIDATED BALANCE SHEETS</w:t>
            </w:r>
          </w:p>
        </w:tc>
        <w:tc>
          <w:tcPr>
            <w:tcW w:w="2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1000" w:type="dxa"/>
            <w:vAlign w:val="bottom"/>
          </w:tcPr>
          <w:p>
            <w:pPr>
              <w:spacing w:after="0"/>
              <w:rPr>
                <w:sz w:val="16"/>
                <w:szCs w:val="16"/>
                <w:color w:val="auto"/>
              </w:rPr>
            </w:pPr>
          </w:p>
        </w:tc>
        <w:tc>
          <w:tcPr>
            <w:tcW w:w="6720" w:type="dxa"/>
            <w:vAlign w:val="bottom"/>
          </w:tcPr>
          <w:p>
            <w:pPr>
              <w:jc w:val="center"/>
              <w:ind w:left="2509"/>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22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000" w:type="dxa"/>
            <w:vAlign w:val="bottom"/>
          </w:tcPr>
          <w:p>
            <w:pPr>
              <w:spacing w:after="0"/>
              <w:rPr>
                <w:sz w:val="17"/>
                <w:szCs w:val="17"/>
                <w:color w:val="auto"/>
              </w:rPr>
            </w:pPr>
          </w:p>
        </w:tc>
        <w:tc>
          <w:tcPr>
            <w:tcW w:w="6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2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January 25, 2025</w:t>
            </w:r>
          </w:p>
        </w:tc>
        <w:tc>
          <w:tcPr>
            <w:tcW w:w="220" w:type="dxa"/>
            <w:vAlign w:val="bottom"/>
          </w:tcPr>
          <w:p>
            <w:pPr>
              <w:spacing w:after="0"/>
              <w:rPr>
                <w:sz w:val="17"/>
                <w:szCs w:val="17"/>
                <w:color w:val="auto"/>
              </w:rPr>
            </w:pPr>
          </w:p>
        </w:tc>
        <w:tc>
          <w:tcPr>
            <w:tcW w:w="1500" w:type="dxa"/>
            <w:vAlign w:val="bottom"/>
          </w:tcPr>
          <w:p>
            <w:pPr>
              <w:jc w:val="right"/>
              <w:ind w:right="269"/>
              <w:spacing w:after="0"/>
              <w:rPr>
                <w:sz w:val="20"/>
                <w:szCs w:val="20"/>
                <w:color w:val="auto"/>
              </w:rPr>
            </w:pPr>
            <w:r>
              <w:rPr>
                <w:rFonts w:ascii="Times New Roman" w:cs="Times New Roman" w:eastAsia="Times New Roman" w:hAnsi="Times New Roman"/>
                <w:sz w:val="14"/>
                <w:szCs w:val="14"/>
                <w:b w:val="1"/>
                <w:bCs w:val="1"/>
                <w:color w:val="auto"/>
              </w:rPr>
              <w:t>January 27, 2024</w:t>
            </w:r>
          </w:p>
        </w:tc>
        <w:tc>
          <w:tcPr>
            <w:tcW w:w="0" w:type="dxa"/>
            <w:vAlign w:val="bottom"/>
          </w:tcPr>
          <w:p>
            <w:pPr>
              <w:spacing w:after="0"/>
              <w:rPr>
                <w:sz w:val="1"/>
                <w:szCs w:val="1"/>
                <w:color w:val="auto"/>
              </w:rPr>
            </w:pPr>
          </w:p>
        </w:tc>
      </w:tr>
      <w:tr>
        <w:trPr>
          <w:trHeight w:val="166"/>
        </w:trPr>
        <w:tc>
          <w:tcPr>
            <w:tcW w:w="77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220" w:type="dxa"/>
            <w:vAlign w:val="bottom"/>
            <w:tcBorders>
              <w:top w:val="single" w:sz="8" w:color="auto"/>
            </w:tcBorders>
          </w:tcPr>
          <w:p>
            <w:pPr>
              <w:spacing w:after="0"/>
              <w:rPr>
                <w:sz w:val="14"/>
                <w:szCs w:val="14"/>
                <w:color w:val="auto"/>
              </w:rPr>
            </w:pPr>
          </w:p>
        </w:tc>
        <w:tc>
          <w:tcPr>
            <w:tcW w:w="15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50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77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Current assets:</w:t>
            </w:r>
          </w:p>
        </w:tc>
        <w:tc>
          <w:tcPr>
            <w:tcW w:w="22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77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Cash and equivalents</w:t>
            </w:r>
          </w:p>
        </w:tc>
        <w:tc>
          <w:tcPr>
            <w:tcW w:w="22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92,670</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101,086</w:t>
            </w:r>
          </w:p>
        </w:tc>
        <w:tc>
          <w:tcPr>
            <w:tcW w:w="0" w:type="dxa"/>
            <w:vAlign w:val="bottom"/>
          </w:tcPr>
          <w:p>
            <w:pPr>
              <w:spacing w:after="0"/>
              <w:rPr>
                <w:sz w:val="1"/>
                <w:szCs w:val="1"/>
                <w:color w:val="auto"/>
              </w:rPr>
            </w:pPr>
          </w:p>
        </w:tc>
      </w:tr>
      <w:tr>
        <w:trPr>
          <w:trHeight w:val="180"/>
        </w:trPr>
        <w:tc>
          <w:tcPr>
            <w:tcW w:w="772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Accounts receivable, net (Note 6)</w:t>
            </w:r>
          </w:p>
        </w:tc>
        <w:tc>
          <w:tcPr>
            <w:tcW w:w="22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1,373,738</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1,243,256</w:t>
            </w:r>
          </w:p>
        </w:tc>
        <w:tc>
          <w:tcPr>
            <w:tcW w:w="0" w:type="dxa"/>
            <w:vAlign w:val="bottom"/>
          </w:tcPr>
          <w:p>
            <w:pPr>
              <w:spacing w:after="0"/>
              <w:rPr>
                <w:sz w:val="1"/>
                <w:szCs w:val="1"/>
                <w:color w:val="auto"/>
              </w:rPr>
            </w:pPr>
          </w:p>
        </w:tc>
      </w:tr>
      <w:tr>
        <w:trPr>
          <w:trHeight w:val="180"/>
        </w:trPr>
        <w:tc>
          <w:tcPr>
            <w:tcW w:w="77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Contract assets</w:t>
            </w:r>
          </w:p>
        </w:tc>
        <w:tc>
          <w:tcPr>
            <w:tcW w:w="220" w:type="dxa"/>
            <w:vAlign w:val="bottom"/>
            <w:shd w:val="clear" w:color="auto" w:fill="CCEEFF"/>
          </w:tcPr>
          <w:p>
            <w:pPr>
              <w:spacing w:after="0"/>
              <w:rPr>
                <w:sz w:val="15"/>
                <w:szCs w:val="15"/>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63,375</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52,211</w:t>
            </w:r>
          </w:p>
        </w:tc>
        <w:tc>
          <w:tcPr>
            <w:tcW w:w="0" w:type="dxa"/>
            <w:vAlign w:val="bottom"/>
          </w:tcPr>
          <w:p>
            <w:pPr>
              <w:spacing w:after="0"/>
              <w:rPr>
                <w:sz w:val="1"/>
                <w:szCs w:val="1"/>
                <w:color w:val="auto"/>
              </w:rPr>
            </w:pPr>
          </w:p>
        </w:tc>
      </w:tr>
      <w:tr>
        <w:trPr>
          <w:trHeight w:val="180"/>
        </w:trPr>
        <w:tc>
          <w:tcPr>
            <w:tcW w:w="772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Inventories</w:t>
            </w:r>
          </w:p>
        </w:tc>
        <w:tc>
          <w:tcPr>
            <w:tcW w:w="22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127,255</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108,565</w:t>
            </w:r>
          </w:p>
        </w:tc>
        <w:tc>
          <w:tcPr>
            <w:tcW w:w="0" w:type="dxa"/>
            <w:vAlign w:val="bottom"/>
          </w:tcPr>
          <w:p>
            <w:pPr>
              <w:spacing w:after="0"/>
              <w:rPr>
                <w:sz w:val="1"/>
                <w:szCs w:val="1"/>
                <w:color w:val="auto"/>
              </w:rPr>
            </w:pPr>
          </w:p>
        </w:tc>
      </w:tr>
      <w:tr>
        <w:trPr>
          <w:trHeight w:val="180"/>
        </w:trPr>
        <w:tc>
          <w:tcPr>
            <w:tcW w:w="77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Income tax receivable</w:t>
            </w:r>
          </w:p>
        </w:tc>
        <w:tc>
          <w:tcPr>
            <w:tcW w:w="220" w:type="dxa"/>
            <w:vAlign w:val="bottom"/>
            <w:shd w:val="clear" w:color="auto" w:fill="CCEEFF"/>
          </w:tcPr>
          <w:p>
            <w:pPr>
              <w:spacing w:after="0"/>
              <w:rPr>
                <w:sz w:val="15"/>
                <w:szCs w:val="15"/>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2,963</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2,665</w:t>
            </w:r>
          </w:p>
        </w:tc>
        <w:tc>
          <w:tcPr>
            <w:tcW w:w="0" w:type="dxa"/>
            <w:vAlign w:val="bottom"/>
          </w:tcPr>
          <w:p>
            <w:pPr>
              <w:spacing w:after="0"/>
              <w:rPr>
                <w:sz w:val="1"/>
                <w:szCs w:val="1"/>
                <w:color w:val="auto"/>
              </w:rPr>
            </w:pPr>
          </w:p>
        </w:tc>
      </w:tr>
      <w:tr>
        <w:trPr>
          <w:trHeight w:val="180"/>
        </w:trPr>
        <w:tc>
          <w:tcPr>
            <w:tcW w:w="7720" w:type="dxa"/>
            <w:vAlign w:val="bottom"/>
            <w:tcBorders>
              <w:bottom w:val="single" w:sz="8" w:color="CCEEFF"/>
            </w:tcBorders>
            <w:gridSpan w:val="2"/>
          </w:tcPr>
          <w:p>
            <w:pPr>
              <w:ind w:left="120"/>
              <w:spacing w:after="0"/>
              <w:rPr>
                <w:sz w:val="20"/>
                <w:szCs w:val="20"/>
                <w:color w:val="auto"/>
              </w:rPr>
            </w:pPr>
            <w:r>
              <w:rPr>
                <w:rFonts w:ascii="Times New Roman" w:cs="Times New Roman" w:eastAsia="Times New Roman" w:hAnsi="Times New Roman"/>
                <w:sz w:val="14"/>
                <w:szCs w:val="14"/>
                <w:color w:val="auto"/>
              </w:rPr>
              <w:t>Other current assets</w:t>
            </w:r>
          </w:p>
        </w:tc>
        <w:tc>
          <w:tcPr>
            <w:tcW w:w="22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34,629</w:t>
            </w:r>
          </w:p>
        </w:tc>
        <w:tc>
          <w:tcPr>
            <w:tcW w:w="1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42,253</w:t>
            </w:r>
          </w:p>
        </w:tc>
        <w:tc>
          <w:tcPr>
            <w:tcW w:w="0" w:type="dxa"/>
            <w:vAlign w:val="bottom"/>
          </w:tcPr>
          <w:p>
            <w:pPr>
              <w:spacing w:after="0"/>
              <w:rPr>
                <w:sz w:val="1"/>
                <w:szCs w:val="1"/>
                <w:color w:val="auto"/>
              </w:rPr>
            </w:pPr>
          </w:p>
        </w:tc>
      </w:tr>
      <w:tr>
        <w:trPr>
          <w:trHeight w:val="171"/>
        </w:trPr>
        <w:tc>
          <w:tcPr>
            <w:tcW w:w="77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Total current assets</w:t>
            </w:r>
          </w:p>
        </w:tc>
        <w:tc>
          <w:tcPr>
            <w:tcW w:w="220" w:type="dxa"/>
            <w:vAlign w:val="bottom"/>
            <w:shd w:val="clear" w:color="auto" w:fill="CCEEFF"/>
          </w:tcPr>
          <w:p>
            <w:pPr>
              <w:spacing w:after="0"/>
              <w:rPr>
                <w:sz w:val="14"/>
                <w:szCs w:val="14"/>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1,694,630</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1,550,036</w:t>
            </w:r>
          </w:p>
        </w:tc>
        <w:tc>
          <w:tcPr>
            <w:tcW w:w="0" w:type="dxa"/>
            <w:vAlign w:val="bottom"/>
          </w:tcPr>
          <w:p>
            <w:pPr>
              <w:spacing w:after="0"/>
              <w:rPr>
                <w:sz w:val="1"/>
                <w:szCs w:val="1"/>
                <w:color w:val="auto"/>
              </w:rPr>
            </w:pPr>
          </w:p>
        </w:tc>
      </w:tr>
      <w:tr>
        <w:trPr>
          <w:trHeight w:val="265"/>
        </w:trPr>
        <w:tc>
          <w:tcPr>
            <w:tcW w:w="77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Property and equipment, net</w:t>
            </w:r>
          </w:p>
        </w:tc>
        <w:tc>
          <w:tcPr>
            <w:tcW w:w="220" w:type="dxa"/>
            <w:vAlign w:val="bottom"/>
          </w:tcPr>
          <w:p>
            <w:pPr>
              <w:spacing w:after="0"/>
              <w:rPr>
                <w:sz w:val="23"/>
                <w:szCs w:val="23"/>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541,921</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444,909</w:t>
            </w:r>
          </w:p>
        </w:tc>
        <w:tc>
          <w:tcPr>
            <w:tcW w:w="0" w:type="dxa"/>
            <w:vAlign w:val="bottom"/>
          </w:tcPr>
          <w:p>
            <w:pPr>
              <w:spacing w:after="0"/>
              <w:rPr>
                <w:sz w:val="1"/>
                <w:szCs w:val="1"/>
                <w:color w:val="auto"/>
              </w:rPr>
            </w:pPr>
          </w:p>
        </w:tc>
      </w:tr>
      <w:tr>
        <w:trPr>
          <w:trHeight w:val="181"/>
        </w:trPr>
        <w:tc>
          <w:tcPr>
            <w:tcW w:w="7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Operating lease right-of-use assets</w:t>
            </w:r>
          </w:p>
        </w:tc>
        <w:tc>
          <w:tcPr>
            <w:tcW w:w="220" w:type="dxa"/>
            <w:vAlign w:val="bottom"/>
            <w:shd w:val="clear" w:color="auto" w:fill="CCEEFF"/>
          </w:tcPr>
          <w:p>
            <w:pPr>
              <w:spacing w:after="0"/>
              <w:rPr>
                <w:sz w:val="15"/>
                <w:szCs w:val="15"/>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112,151</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76,348</w:t>
            </w:r>
          </w:p>
        </w:tc>
        <w:tc>
          <w:tcPr>
            <w:tcW w:w="0" w:type="dxa"/>
            <w:vAlign w:val="bottom"/>
          </w:tcPr>
          <w:p>
            <w:pPr>
              <w:spacing w:after="0"/>
              <w:rPr>
                <w:sz w:val="1"/>
                <w:szCs w:val="1"/>
                <w:color w:val="auto"/>
              </w:rPr>
            </w:pPr>
          </w:p>
        </w:tc>
      </w:tr>
      <w:tr>
        <w:trPr>
          <w:trHeight w:val="180"/>
        </w:trPr>
        <w:tc>
          <w:tcPr>
            <w:tcW w:w="77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Goodwill</w:t>
            </w:r>
          </w:p>
        </w:tc>
        <w:tc>
          <w:tcPr>
            <w:tcW w:w="22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330,330</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311,991</w:t>
            </w:r>
          </w:p>
        </w:tc>
        <w:tc>
          <w:tcPr>
            <w:tcW w:w="0" w:type="dxa"/>
            <w:vAlign w:val="bottom"/>
          </w:tcPr>
          <w:p>
            <w:pPr>
              <w:spacing w:after="0"/>
              <w:rPr>
                <w:sz w:val="1"/>
                <w:szCs w:val="1"/>
                <w:color w:val="auto"/>
              </w:rPr>
            </w:pPr>
          </w:p>
        </w:tc>
      </w:tr>
      <w:tr>
        <w:trPr>
          <w:trHeight w:val="180"/>
        </w:trPr>
        <w:tc>
          <w:tcPr>
            <w:tcW w:w="7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Intangible assets, net</w:t>
            </w:r>
          </w:p>
        </w:tc>
        <w:tc>
          <w:tcPr>
            <w:tcW w:w="220" w:type="dxa"/>
            <w:vAlign w:val="bottom"/>
            <w:shd w:val="clear" w:color="auto" w:fill="CCEEFF"/>
          </w:tcPr>
          <w:p>
            <w:pPr>
              <w:spacing w:after="0"/>
              <w:rPr>
                <w:sz w:val="15"/>
                <w:szCs w:val="15"/>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219,746</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108,954</w:t>
            </w:r>
          </w:p>
        </w:tc>
        <w:tc>
          <w:tcPr>
            <w:tcW w:w="0" w:type="dxa"/>
            <w:vAlign w:val="bottom"/>
          </w:tcPr>
          <w:p>
            <w:pPr>
              <w:spacing w:after="0"/>
              <w:rPr>
                <w:sz w:val="1"/>
                <w:szCs w:val="1"/>
                <w:color w:val="auto"/>
              </w:rPr>
            </w:pPr>
          </w:p>
        </w:tc>
      </w:tr>
      <w:tr>
        <w:trPr>
          <w:trHeight w:val="180"/>
        </w:trPr>
        <w:tc>
          <w:tcPr>
            <w:tcW w:w="77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4"/>
                <w:szCs w:val="14"/>
                <w:color w:val="auto"/>
              </w:rPr>
              <w:t>Other assets</w:t>
            </w:r>
          </w:p>
        </w:tc>
        <w:tc>
          <w:tcPr>
            <w:tcW w:w="22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46,589</w:t>
            </w:r>
          </w:p>
        </w:tc>
        <w:tc>
          <w:tcPr>
            <w:tcW w:w="1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24,647</w:t>
            </w:r>
          </w:p>
        </w:tc>
        <w:tc>
          <w:tcPr>
            <w:tcW w:w="0" w:type="dxa"/>
            <w:vAlign w:val="bottom"/>
          </w:tcPr>
          <w:p>
            <w:pPr>
              <w:spacing w:after="0"/>
              <w:rPr>
                <w:sz w:val="1"/>
                <w:szCs w:val="1"/>
                <w:color w:val="auto"/>
              </w:rPr>
            </w:pPr>
          </w:p>
        </w:tc>
      </w:tr>
      <w:tr>
        <w:trPr>
          <w:trHeight w:val="196"/>
        </w:trPr>
        <w:tc>
          <w:tcPr>
            <w:tcW w:w="772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Total assets</w:t>
            </w:r>
          </w:p>
        </w:tc>
        <w:tc>
          <w:tcPr>
            <w:tcW w:w="220" w:type="dxa"/>
            <w:vAlign w:val="bottom"/>
            <w:tcBorders>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2,945,367</w:t>
            </w:r>
          </w:p>
        </w:tc>
        <w:tc>
          <w:tcPr>
            <w:tcW w:w="1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2,516,885</w:t>
            </w:r>
          </w:p>
        </w:tc>
        <w:tc>
          <w:tcPr>
            <w:tcW w:w="0" w:type="dxa"/>
            <w:vAlign w:val="bottom"/>
          </w:tcPr>
          <w:p>
            <w:pPr>
              <w:spacing w:after="0"/>
              <w:rPr>
                <w:sz w:val="1"/>
                <w:szCs w:val="1"/>
                <w:color w:val="auto"/>
              </w:rPr>
            </w:pPr>
          </w:p>
        </w:tc>
      </w:tr>
      <w:tr>
        <w:trPr>
          <w:trHeight w:val="20"/>
        </w:trPr>
        <w:tc>
          <w:tcPr>
            <w:tcW w:w="772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LIABILITIES AND STOCKHOLDERS’ EQUITY</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772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4"/>
        </w:trPr>
        <w:tc>
          <w:tcPr>
            <w:tcW w:w="77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Current liabilities:</w:t>
            </w:r>
          </w:p>
        </w:tc>
        <w:tc>
          <w:tcPr>
            <w:tcW w:w="22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77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Accounts payable</w:t>
            </w:r>
          </w:p>
        </w:tc>
        <w:tc>
          <w:tcPr>
            <w:tcW w:w="22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223,490</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222,121</w:t>
            </w:r>
          </w:p>
        </w:tc>
        <w:tc>
          <w:tcPr>
            <w:tcW w:w="0" w:type="dxa"/>
            <w:vAlign w:val="bottom"/>
          </w:tcPr>
          <w:p>
            <w:pPr>
              <w:spacing w:after="0"/>
              <w:rPr>
                <w:sz w:val="1"/>
                <w:szCs w:val="1"/>
                <w:color w:val="auto"/>
              </w:rPr>
            </w:pPr>
          </w:p>
        </w:tc>
      </w:tr>
      <w:tr>
        <w:trPr>
          <w:trHeight w:val="180"/>
        </w:trPr>
        <w:tc>
          <w:tcPr>
            <w:tcW w:w="772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Current portion of debt</w:t>
            </w:r>
          </w:p>
        </w:tc>
        <w:tc>
          <w:tcPr>
            <w:tcW w:w="22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10,000</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17,500</w:t>
            </w:r>
          </w:p>
        </w:tc>
        <w:tc>
          <w:tcPr>
            <w:tcW w:w="0" w:type="dxa"/>
            <w:vAlign w:val="bottom"/>
          </w:tcPr>
          <w:p>
            <w:pPr>
              <w:spacing w:after="0"/>
              <w:rPr>
                <w:sz w:val="1"/>
                <w:szCs w:val="1"/>
                <w:color w:val="auto"/>
              </w:rPr>
            </w:pPr>
          </w:p>
        </w:tc>
      </w:tr>
      <w:tr>
        <w:trPr>
          <w:trHeight w:val="180"/>
        </w:trPr>
        <w:tc>
          <w:tcPr>
            <w:tcW w:w="77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Contract liabilities</w:t>
            </w:r>
          </w:p>
        </w:tc>
        <w:tc>
          <w:tcPr>
            <w:tcW w:w="220" w:type="dxa"/>
            <w:vAlign w:val="bottom"/>
            <w:shd w:val="clear" w:color="auto" w:fill="CCEEFF"/>
          </w:tcPr>
          <w:p>
            <w:pPr>
              <w:spacing w:after="0"/>
              <w:rPr>
                <w:sz w:val="15"/>
                <w:szCs w:val="15"/>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73,548</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39,122</w:t>
            </w:r>
          </w:p>
        </w:tc>
        <w:tc>
          <w:tcPr>
            <w:tcW w:w="0" w:type="dxa"/>
            <w:vAlign w:val="bottom"/>
          </w:tcPr>
          <w:p>
            <w:pPr>
              <w:spacing w:after="0"/>
              <w:rPr>
                <w:sz w:val="1"/>
                <w:szCs w:val="1"/>
                <w:color w:val="auto"/>
              </w:rPr>
            </w:pPr>
          </w:p>
        </w:tc>
      </w:tr>
      <w:tr>
        <w:trPr>
          <w:trHeight w:val="180"/>
        </w:trPr>
        <w:tc>
          <w:tcPr>
            <w:tcW w:w="772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Accrued insurance claims</w:t>
            </w:r>
          </w:p>
        </w:tc>
        <w:tc>
          <w:tcPr>
            <w:tcW w:w="22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46,686</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44,466</w:t>
            </w:r>
          </w:p>
        </w:tc>
        <w:tc>
          <w:tcPr>
            <w:tcW w:w="0" w:type="dxa"/>
            <w:vAlign w:val="bottom"/>
          </w:tcPr>
          <w:p>
            <w:pPr>
              <w:spacing w:after="0"/>
              <w:rPr>
                <w:sz w:val="1"/>
                <w:szCs w:val="1"/>
                <w:color w:val="auto"/>
              </w:rPr>
            </w:pPr>
          </w:p>
        </w:tc>
      </w:tr>
      <w:tr>
        <w:trPr>
          <w:trHeight w:val="180"/>
        </w:trPr>
        <w:tc>
          <w:tcPr>
            <w:tcW w:w="77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Operating lease liabilities</w:t>
            </w:r>
          </w:p>
        </w:tc>
        <w:tc>
          <w:tcPr>
            <w:tcW w:w="220" w:type="dxa"/>
            <w:vAlign w:val="bottom"/>
            <w:shd w:val="clear" w:color="auto" w:fill="CCEEFF"/>
          </w:tcPr>
          <w:p>
            <w:pPr>
              <w:spacing w:after="0"/>
              <w:rPr>
                <w:sz w:val="15"/>
                <w:szCs w:val="15"/>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35,823</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32,015</w:t>
            </w:r>
          </w:p>
        </w:tc>
        <w:tc>
          <w:tcPr>
            <w:tcW w:w="0" w:type="dxa"/>
            <w:vAlign w:val="bottom"/>
          </w:tcPr>
          <w:p>
            <w:pPr>
              <w:spacing w:after="0"/>
              <w:rPr>
                <w:sz w:val="1"/>
                <w:szCs w:val="1"/>
                <w:color w:val="auto"/>
              </w:rPr>
            </w:pPr>
          </w:p>
        </w:tc>
      </w:tr>
      <w:tr>
        <w:trPr>
          <w:trHeight w:val="180"/>
        </w:trPr>
        <w:tc>
          <w:tcPr>
            <w:tcW w:w="772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Income taxes payable</w:t>
            </w:r>
          </w:p>
        </w:tc>
        <w:tc>
          <w:tcPr>
            <w:tcW w:w="22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30,636</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3,861</w:t>
            </w:r>
          </w:p>
        </w:tc>
        <w:tc>
          <w:tcPr>
            <w:tcW w:w="0" w:type="dxa"/>
            <w:vAlign w:val="bottom"/>
          </w:tcPr>
          <w:p>
            <w:pPr>
              <w:spacing w:after="0"/>
              <w:rPr>
                <w:sz w:val="1"/>
                <w:szCs w:val="1"/>
                <w:color w:val="auto"/>
              </w:rPr>
            </w:pPr>
          </w:p>
        </w:tc>
      </w:tr>
      <w:tr>
        <w:trPr>
          <w:trHeight w:val="180"/>
        </w:trPr>
        <w:tc>
          <w:tcPr>
            <w:tcW w:w="77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Other accrued liabilities</w:t>
            </w:r>
          </w:p>
        </w:tc>
        <w:tc>
          <w:tcPr>
            <w:tcW w:w="220" w:type="dxa"/>
            <w:vAlign w:val="bottom"/>
            <w:tcBorders>
              <w:bottom w:val="single" w:sz="8" w:color="auto"/>
            </w:tcBorders>
            <w:shd w:val="clear" w:color="auto" w:fill="CCEEFF"/>
          </w:tcPr>
          <w:p>
            <w:pPr>
              <w:spacing w:after="0"/>
              <w:rPr>
                <w:sz w:val="15"/>
                <w:szCs w:val="15"/>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166,970</w:t>
            </w:r>
          </w:p>
        </w:tc>
        <w:tc>
          <w:tcPr>
            <w:tcW w:w="10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147,219</w:t>
            </w:r>
          </w:p>
        </w:tc>
        <w:tc>
          <w:tcPr>
            <w:tcW w:w="0" w:type="dxa"/>
            <w:vAlign w:val="bottom"/>
          </w:tcPr>
          <w:p>
            <w:pPr>
              <w:spacing w:after="0"/>
              <w:rPr>
                <w:sz w:val="1"/>
                <w:szCs w:val="1"/>
                <w:color w:val="auto"/>
              </w:rPr>
            </w:pPr>
          </w:p>
        </w:tc>
      </w:tr>
      <w:tr>
        <w:trPr>
          <w:trHeight w:val="171"/>
        </w:trPr>
        <w:tc>
          <w:tcPr>
            <w:tcW w:w="772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Total current liabilities</w:t>
            </w:r>
          </w:p>
        </w:tc>
        <w:tc>
          <w:tcPr>
            <w:tcW w:w="220" w:type="dxa"/>
            <w:vAlign w:val="bottom"/>
          </w:tcPr>
          <w:p>
            <w:pPr>
              <w:spacing w:after="0"/>
              <w:rPr>
                <w:sz w:val="14"/>
                <w:szCs w:val="14"/>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587,153</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506,304</w:t>
            </w:r>
          </w:p>
        </w:tc>
        <w:tc>
          <w:tcPr>
            <w:tcW w:w="0" w:type="dxa"/>
            <w:vAlign w:val="bottom"/>
          </w:tcPr>
          <w:p>
            <w:pPr>
              <w:spacing w:after="0"/>
              <w:rPr>
                <w:sz w:val="1"/>
                <w:szCs w:val="1"/>
                <w:color w:val="auto"/>
              </w:rPr>
            </w:pPr>
          </w:p>
        </w:tc>
      </w:tr>
      <w:tr>
        <w:trPr>
          <w:trHeight w:val="180"/>
        </w:trPr>
        <w:tc>
          <w:tcPr>
            <w:tcW w:w="7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Long-term debt</w:t>
            </w:r>
          </w:p>
        </w:tc>
        <w:tc>
          <w:tcPr>
            <w:tcW w:w="220" w:type="dxa"/>
            <w:vAlign w:val="bottom"/>
            <w:shd w:val="clear" w:color="auto" w:fill="CCEEFF"/>
          </w:tcPr>
          <w:p>
            <w:pPr>
              <w:spacing w:after="0"/>
              <w:rPr>
                <w:sz w:val="15"/>
                <w:szCs w:val="15"/>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933,212</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791,415</w:t>
            </w:r>
          </w:p>
        </w:tc>
        <w:tc>
          <w:tcPr>
            <w:tcW w:w="0" w:type="dxa"/>
            <w:vAlign w:val="bottom"/>
          </w:tcPr>
          <w:p>
            <w:pPr>
              <w:spacing w:after="0"/>
              <w:rPr>
                <w:sz w:val="1"/>
                <w:szCs w:val="1"/>
                <w:color w:val="auto"/>
              </w:rPr>
            </w:pPr>
          </w:p>
        </w:tc>
      </w:tr>
      <w:tr>
        <w:trPr>
          <w:trHeight w:val="180"/>
        </w:trPr>
        <w:tc>
          <w:tcPr>
            <w:tcW w:w="77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Accrued insurance claims - non-current</w:t>
            </w:r>
          </w:p>
        </w:tc>
        <w:tc>
          <w:tcPr>
            <w:tcW w:w="22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49,836</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49,447</w:t>
            </w:r>
          </w:p>
        </w:tc>
        <w:tc>
          <w:tcPr>
            <w:tcW w:w="0" w:type="dxa"/>
            <w:vAlign w:val="bottom"/>
          </w:tcPr>
          <w:p>
            <w:pPr>
              <w:spacing w:after="0"/>
              <w:rPr>
                <w:sz w:val="1"/>
                <w:szCs w:val="1"/>
                <w:color w:val="auto"/>
              </w:rPr>
            </w:pPr>
          </w:p>
        </w:tc>
      </w:tr>
      <w:tr>
        <w:trPr>
          <w:trHeight w:val="180"/>
        </w:trPr>
        <w:tc>
          <w:tcPr>
            <w:tcW w:w="7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Operating lease liabilities - non-current</w:t>
            </w:r>
          </w:p>
        </w:tc>
        <w:tc>
          <w:tcPr>
            <w:tcW w:w="220" w:type="dxa"/>
            <w:vAlign w:val="bottom"/>
            <w:shd w:val="clear" w:color="auto" w:fill="CCEEFF"/>
          </w:tcPr>
          <w:p>
            <w:pPr>
              <w:spacing w:after="0"/>
              <w:rPr>
                <w:sz w:val="15"/>
                <w:szCs w:val="15"/>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76,928</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44,110</w:t>
            </w:r>
          </w:p>
        </w:tc>
        <w:tc>
          <w:tcPr>
            <w:tcW w:w="0" w:type="dxa"/>
            <w:vAlign w:val="bottom"/>
          </w:tcPr>
          <w:p>
            <w:pPr>
              <w:spacing w:after="0"/>
              <w:rPr>
                <w:sz w:val="1"/>
                <w:szCs w:val="1"/>
                <w:color w:val="auto"/>
              </w:rPr>
            </w:pPr>
          </w:p>
        </w:tc>
      </w:tr>
      <w:tr>
        <w:trPr>
          <w:trHeight w:val="180"/>
        </w:trPr>
        <w:tc>
          <w:tcPr>
            <w:tcW w:w="77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Deferred tax liabilities, net - non-current</w:t>
            </w:r>
          </w:p>
        </w:tc>
        <w:tc>
          <w:tcPr>
            <w:tcW w:w="22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32,172</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49,562</w:t>
            </w:r>
          </w:p>
        </w:tc>
        <w:tc>
          <w:tcPr>
            <w:tcW w:w="0" w:type="dxa"/>
            <w:vAlign w:val="bottom"/>
          </w:tcPr>
          <w:p>
            <w:pPr>
              <w:spacing w:after="0"/>
              <w:rPr>
                <w:sz w:val="1"/>
                <w:szCs w:val="1"/>
                <w:color w:val="auto"/>
              </w:rPr>
            </w:pPr>
          </w:p>
        </w:tc>
      </w:tr>
      <w:tr>
        <w:trPr>
          <w:trHeight w:val="180"/>
        </w:trPr>
        <w:tc>
          <w:tcPr>
            <w:tcW w:w="7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liabilities</w:t>
            </w:r>
          </w:p>
        </w:tc>
        <w:tc>
          <w:tcPr>
            <w:tcW w:w="220" w:type="dxa"/>
            <w:vAlign w:val="bottom"/>
            <w:tcBorders>
              <w:bottom w:val="single" w:sz="8" w:color="auto"/>
            </w:tcBorders>
            <w:shd w:val="clear" w:color="auto" w:fill="CCEEFF"/>
          </w:tcPr>
          <w:p>
            <w:pPr>
              <w:spacing w:after="0"/>
              <w:rPr>
                <w:sz w:val="15"/>
                <w:szCs w:val="15"/>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26,969</w:t>
            </w:r>
          </w:p>
        </w:tc>
        <w:tc>
          <w:tcPr>
            <w:tcW w:w="10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21,391</w:t>
            </w:r>
          </w:p>
        </w:tc>
        <w:tc>
          <w:tcPr>
            <w:tcW w:w="0" w:type="dxa"/>
            <w:vAlign w:val="bottom"/>
          </w:tcPr>
          <w:p>
            <w:pPr>
              <w:spacing w:after="0"/>
              <w:rPr>
                <w:sz w:val="1"/>
                <w:szCs w:val="1"/>
                <w:color w:val="auto"/>
              </w:rPr>
            </w:pPr>
          </w:p>
        </w:tc>
      </w:tr>
      <w:tr>
        <w:trPr>
          <w:trHeight w:val="171"/>
        </w:trPr>
        <w:tc>
          <w:tcPr>
            <w:tcW w:w="772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Total liabilities</w:t>
            </w:r>
          </w:p>
        </w:tc>
        <w:tc>
          <w:tcPr>
            <w:tcW w:w="22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1,706,270</w:t>
            </w:r>
          </w:p>
        </w:tc>
        <w:tc>
          <w:tcPr>
            <w:tcW w:w="1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1,462,229</w:t>
            </w:r>
          </w:p>
        </w:tc>
        <w:tc>
          <w:tcPr>
            <w:tcW w:w="0" w:type="dxa"/>
            <w:vAlign w:val="bottom"/>
          </w:tcPr>
          <w:p>
            <w:pPr>
              <w:spacing w:after="0"/>
              <w:rPr>
                <w:sz w:val="1"/>
                <w:szCs w:val="1"/>
                <w:color w:val="auto"/>
              </w:rPr>
            </w:pPr>
          </w:p>
        </w:tc>
      </w:tr>
      <w:tr>
        <w:trPr>
          <w:trHeight w:val="167"/>
        </w:trPr>
        <w:tc>
          <w:tcPr>
            <w:tcW w:w="77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COMMITMENTS AND CONTINGENCIES (Note 22)</w:t>
            </w:r>
          </w:p>
        </w:tc>
        <w:tc>
          <w:tcPr>
            <w:tcW w:w="2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77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Stockholders’ equity:</w:t>
            </w:r>
          </w:p>
        </w:tc>
        <w:tc>
          <w:tcPr>
            <w:tcW w:w="22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77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Preferred stock, par value $1.00 per share: 1,000,000 shares authorized: no shares issued and outstanding</w:t>
            </w:r>
          </w:p>
        </w:tc>
        <w:tc>
          <w:tcPr>
            <w:tcW w:w="220" w:type="dxa"/>
            <w:vAlign w:val="bottom"/>
            <w:shd w:val="clear" w:color="auto" w:fill="CCEEFF"/>
          </w:tcPr>
          <w:p>
            <w:pPr>
              <w:spacing w:after="0"/>
              <w:rPr>
                <w:sz w:val="15"/>
                <w:szCs w:val="15"/>
                <w:color w:val="auto"/>
              </w:rPr>
            </w:pPr>
          </w:p>
        </w:tc>
        <w:tc>
          <w:tcPr>
            <w:tcW w:w="1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5"/>
                <w:szCs w:val="15"/>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38"/>
        </w:trPr>
        <w:tc>
          <w:tcPr>
            <w:tcW w:w="7720" w:type="dxa"/>
            <w:vAlign w:val="bottom"/>
            <w:gridSpan w:val="2"/>
          </w:tcPr>
          <w:p>
            <w:pPr>
              <w:ind w:left="60"/>
              <w:spacing w:after="0" w:line="138" w:lineRule="exact"/>
              <w:rPr>
                <w:sz w:val="20"/>
                <w:szCs w:val="20"/>
                <w:color w:val="auto"/>
              </w:rPr>
            </w:pPr>
            <w:r>
              <w:rPr>
                <w:rFonts w:ascii="Times New Roman" w:cs="Times New Roman" w:eastAsia="Times New Roman" w:hAnsi="Times New Roman"/>
                <w:sz w:val="14"/>
                <w:szCs w:val="14"/>
                <w:color w:val="auto"/>
              </w:rPr>
              <w:t>Common stock, par value $0.33 1/3 per share: 150,000,000 shares authorized: 28,978,949 and 29,091,278 issued and outstanding,</w:t>
            </w:r>
          </w:p>
        </w:tc>
        <w:tc>
          <w:tcPr>
            <w:tcW w:w="22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1"/>
        </w:trPr>
        <w:tc>
          <w:tcPr>
            <w:tcW w:w="77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respectively</w:t>
            </w:r>
          </w:p>
        </w:tc>
        <w:tc>
          <w:tcPr>
            <w:tcW w:w="22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9,659</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9,697</w:t>
            </w:r>
          </w:p>
        </w:tc>
        <w:tc>
          <w:tcPr>
            <w:tcW w:w="0" w:type="dxa"/>
            <w:vAlign w:val="bottom"/>
          </w:tcPr>
          <w:p>
            <w:pPr>
              <w:spacing w:after="0"/>
              <w:rPr>
                <w:sz w:val="1"/>
                <w:szCs w:val="1"/>
                <w:color w:val="auto"/>
              </w:rPr>
            </w:pPr>
          </w:p>
        </w:tc>
      </w:tr>
      <w:tr>
        <w:trPr>
          <w:trHeight w:val="181"/>
        </w:trPr>
        <w:tc>
          <w:tcPr>
            <w:tcW w:w="7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Additional paid-in capital</w:t>
            </w:r>
          </w:p>
        </w:tc>
        <w:tc>
          <w:tcPr>
            <w:tcW w:w="220" w:type="dxa"/>
            <w:vAlign w:val="bottom"/>
            <w:shd w:val="clear" w:color="auto" w:fill="CCEEFF"/>
          </w:tcPr>
          <w:p>
            <w:pPr>
              <w:spacing w:after="0"/>
              <w:rPr>
                <w:sz w:val="15"/>
                <w:szCs w:val="15"/>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8,991</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6,217</w:t>
            </w:r>
          </w:p>
        </w:tc>
        <w:tc>
          <w:tcPr>
            <w:tcW w:w="0" w:type="dxa"/>
            <w:vAlign w:val="bottom"/>
          </w:tcPr>
          <w:p>
            <w:pPr>
              <w:spacing w:after="0"/>
              <w:rPr>
                <w:sz w:val="1"/>
                <w:szCs w:val="1"/>
                <w:color w:val="auto"/>
              </w:rPr>
            </w:pPr>
          </w:p>
        </w:tc>
      </w:tr>
      <w:tr>
        <w:trPr>
          <w:trHeight w:val="180"/>
        </w:trPr>
        <w:tc>
          <w:tcPr>
            <w:tcW w:w="77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Accumulated other comprehensive loss</w:t>
            </w:r>
          </w:p>
        </w:tc>
        <w:tc>
          <w:tcPr>
            <w:tcW w:w="220" w:type="dxa"/>
            <w:vAlign w:val="bottom"/>
          </w:tcPr>
          <w:p>
            <w:pPr>
              <w:spacing w:after="0"/>
              <w:rPr>
                <w:sz w:val="15"/>
                <w:szCs w:val="15"/>
                <w:color w:val="auto"/>
              </w:rPr>
            </w:pPr>
          </w:p>
        </w:tc>
        <w:tc>
          <w:tcPr>
            <w:tcW w:w="16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(1,547)</w:t>
            </w:r>
          </w:p>
        </w:tc>
        <w:tc>
          <w:tcPr>
            <w:tcW w:w="0" w:type="dxa"/>
            <w:vAlign w:val="bottom"/>
          </w:tcPr>
          <w:p>
            <w:pPr>
              <w:spacing w:after="0"/>
              <w:rPr>
                <w:sz w:val="1"/>
                <w:szCs w:val="1"/>
                <w:color w:val="auto"/>
              </w:rPr>
            </w:pPr>
          </w:p>
        </w:tc>
      </w:tr>
      <w:tr>
        <w:trPr>
          <w:trHeight w:val="180"/>
        </w:trPr>
        <w:tc>
          <w:tcPr>
            <w:tcW w:w="7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Retained earnings</w:t>
            </w:r>
          </w:p>
        </w:tc>
        <w:tc>
          <w:tcPr>
            <w:tcW w:w="220" w:type="dxa"/>
            <w:vAlign w:val="bottom"/>
            <w:tcBorders>
              <w:bottom w:val="single" w:sz="8" w:color="auto"/>
            </w:tcBorders>
            <w:shd w:val="clear" w:color="auto" w:fill="CCEEFF"/>
          </w:tcPr>
          <w:p>
            <w:pPr>
              <w:spacing w:after="0"/>
              <w:rPr>
                <w:sz w:val="15"/>
                <w:szCs w:val="15"/>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1,220,447</w:t>
            </w:r>
          </w:p>
        </w:tc>
        <w:tc>
          <w:tcPr>
            <w:tcW w:w="10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1,040,289</w:t>
            </w:r>
          </w:p>
        </w:tc>
        <w:tc>
          <w:tcPr>
            <w:tcW w:w="0" w:type="dxa"/>
            <w:vAlign w:val="bottom"/>
          </w:tcPr>
          <w:p>
            <w:pPr>
              <w:spacing w:after="0"/>
              <w:rPr>
                <w:sz w:val="1"/>
                <w:szCs w:val="1"/>
                <w:color w:val="auto"/>
              </w:rPr>
            </w:pPr>
          </w:p>
        </w:tc>
      </w:tr>
      <w:tr>
        <w:trPr>
          <w:trHeight w:val="171"/>
        </w:trPr>
        <w:tc>
          <w:tcPr>
            <w:tcW w:w="7720" w:type="dxa"/>
            <w:vAlign w:val="bottom"/>
            <w:tcBorders>
              <w:bottom w:val="single" w:sz="8" w:color="CCEEFF"/>
            </w:tcBorders>
            <w:gridSpan w:val="2"/>
          </w:tcPr>
          <w:p>
            <w:pPr>
              <w:ind w:left="180"/>
              <w:spacing w:after="0"/>
              <w:rPr>
                <w:sz w:val="20"/>
                <w:szCs w:val="20"/>
                <w:color w:val="auto"/>
              </w:rPr>
            </w:pPr>
            <w:r>
              <w:rPr>
                <w:rFonts w:ascii="Times New Roman" w:cs="Times New Roman" w:eastAsia="Times New Roman" w:hAnsi="Times New Roman"/>
                <w:sz w:val="14"/>
                <w:szCs w:val="14"/>
                <w:color w:val="auto"/>
              </w:rPr>
              <w:t>Total stockholders’ equity</w:t>
            </w:r>
          </w:p>
        </w:tc>
        <w:tc>
          <w:tcPr>
            <w:tcW w:w="22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1,239,097</w:t>
            </w:r>
          </w:p>
        </w:tc>
        <w:tc>
          <w:tcPr>
            <w:tcW w:w="10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1,054,656</w:t>
            </w:r>
          </w:p>
        </w:tc>
        <w:tc>
          <w:tcPr>
            <w:tcW w:w="0" w:type="dxa"/>
            <w:vAlign w:val="bottom"/>
          </w:tcPr>
          <w:p>
            <w:pPr>
              <w:spacing w:after="0"/>
              <w:rPr>
                <w:sz w:val="1"/>
                <w:szCs w:val="1"/>
                <w:color w:val="auto"/>
              </w:rPr>
            </w:pPr>
          </w:p>
        </w:tc>
      </w:tr>
      <w:tr>
        <w:trPr>
          <w:trHeight w:val="196"/>
        </w:trPr>
        <w:tc>
          <w:tcPr>
            <w:tcW w:w="772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Total liabilities and stockholders’ equity</w:t>
            </w:r>
          </w:p>
        </w:tc>
        <w:tc>
          <w:tcPr>
            <w:tcW w:w="220" w:type="dxa"/>
            <w:vAlign w:val="bottom"/>
            <w:tcBorders>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2,945,367</w:t>
            </w:r>
          </w:p>
        </w:tc>
        <w:tc>
          <w:tcPr>
            <w:tcW w:w="1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2,516,885</w:t>
            </w:r>
          </w:p>
        </w:tc>
        <w:tc>
          <w:tcPr>
            <w:tcW w:w="0" w:type="dxa"/>
            <w:vAlign w:val="bottom"/>
          </w:tcPr>
          <w:p>
            <w:pPr>
              <w:spacing w:after="0"/>
              <w:rPr>
                <w:sz w:val="1"/>
                <w:szCs w:val="1"/>
                <w:color w:val="auto"/>
              </w:rPr>
            </w:pPr>
          </w:p>
        </w:tc>
      </w:tr>
      <w:tr>
        <w:trPr>
          <w:trHeight w:val="20"/>
        </w:trPr>
        <w:tc>
          <w:tcPr>
            <w:tcW w:w="1000" w:type="dxa"/>
            <w:vAlign w:val="bottom"/>
            <w:tcBorders>
              <w:top w:val="single" w:sz="8" w:color="CCEEFF"/>
            </w:tcBorders>
          </w:tcPr>
          <w:p>
            <w:pPr>
              <w:spacing w:after="0" w:line="20" w:lineRule="exact"/>
              <w:rPr>
                <w:sz w:val="1"/>
                <w:szCs w:val="1"/>
                <w:color w:val="auto"/>
              </w:rPr>
            </w:pPr>
          </w:p>
        </w:tc>
        <w:tc>
          <w:tcPr>
            <w:tcW w:w="6720" w:type="dxa"/>
            <w:vAlign w:val="bottom"/>
            <w:tcBorders>
              <w:top w:val="single" w:sz="8" w:color="CCEEFF"/>
              <w:bottom w:val="single" w:sz="8" w:color="CCEEFF"/>
            </w:tcBorders>
            <w:vMerge w:val="restart"/>
          </w:tcPr>
          <w:p>
            <w:pPr>
              <w:jc w:val="center"/>
              <w:ind w:left="2489"/>
              <w:spacing w:after="0"/>
              <w:rPr>
                <w:sz w:val="20"/>
                <w:szCs w:val="20"/>
                <w:color w:val="auto"/>
              </w:rPr>
            </w:pPr>
            <w:r>
              <w:rPr>
                <w:rFonts w:ascii="Times New Roman" w:cs="Times New Roman" w:eastAsia="Times New Roman" w:hAnsi="Times New Roman"/>
                <w:sz w:val="14"/>
                <w:szCs w:val="14"/>
                <w:color w:val="auto"/>
              </w:rPr>
              <w:t>See notes to the consolidated financial statements.</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5"/>
        </w:trPr>
        <w:tc>
          <w:tcPr>
            <w:tcW w:w="1000" w:type="dxa"/>
            <w:vAlign w:val="bottom"/>
          </w:tcPr>
          <w:p>
            <w:pPr>
              <w:spacing w:after="0"/>
              <w:rPr>
                <w:sz w:val="10"/>
                <w:szCs w:val="10"/>
                <w:color w:val="auto"/>
              </w:rPr>
            </w:pPr>
          </w:p>
        </w:tc>
        <w:tc>
          <w:tcPr>
            <w:tcW w:w="6720" w:type="dxa"/>
            <w:vAlign w:val="bottom"/>
            <w:vMerge w:val="continue"/>
          </w:tcPr>
          <w:p>
            <w:pPr>
              <w:spacing w:after="0"/>
              <w:rPr>
                <w:sz w:val="10"/>
                <w:szCs w:val="10"/>
                <w:color w:val="auto"/>
              </w:rPr>
            </w:pPr>
          </w:p>
        </w:tc>
        <w:tc>
          <w:tcPr>
            <w:tcW w:w="220" w:type="dxa"/>
            <w:vAlign w:val="bottom"/>
          </w:tcPr>
          <w:p>
            <w:pPr>
              <w:spacing w:after="0"/>
              <w:rPr>
                <w:sz w:val="10"/>
                <w:szCs w:val="10"/>
                <w:color w:val="auto"/>
              </w:rPr>
            </w:pPr>
          </w:p>
        </w:tc>
        <w:tc>
          <w:tcPr>
            <w:tcW w:w="1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17"/>
        </w:trPr>
        <w:tc>
          <w:tcPr>
            <w:tcW w:w="7720" w:type="dxa"/>
            <w:vAlign w:val="bottom"/>
            <w:gridSpan w:val="2"/>
          </w:tcPr>
          <w:p>
            <w:pPr>
              <w:jc w:val="center"/>
              <w:ind w:left="3509"/>
              <w:spacing w:after="0"/>
              <w:rPr>
                <w:sz w:val="20"/>
                <w:szCs w:val="20"/>
                <w:color w:val="auto"/>
              </w:rPr>
            </w:pPr>
            <w:r>
              <w:rPr>
                <w:rFonts w:ascii="Times New Roman" w:cs="Times New Roman" w:eastAsia="Times New Roman" w:hAnsi="Times New Roman"/>
                <w:sz w:val="14"/>
                <w:szCs w:val="14"/>
                <w:color w:val="auto"/>
                <w:w w:val="99"/>
              </w:rPr>
              <w:t>43</w:t>
            </w:r>
          </w:p>
        </w:tc>
        <w:tc>
          <w:tcPr>
            <w:tcW w:w="2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1000" w:type="dxa"/>
            <w:vAlign w:val="bottom"/>
            <w:tcBorders>
              <w:bottom w:val="single" w:sz="8" w:color="9A9A9A"/>
            </w:tcBorders>
          </w:tcPr>
          <w:p>
            <w:pPr>
              <w:spacing w:after="0"/>
              <w:rPr>
                <w:sz w:val="7"/>
                <w:szCs w:val="7"/>
                <w:color w:val="auto"/>
              </w:rPr>
            </w:pPr>
          </w:p>
        </w:tc>
        <w:tc>
          <w:tcPr>
            <w:tcW w:w="672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152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150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16" w:right="319" w:bottom="1440" w:gutter="0" w:footer="0" w:header="0"/>
        </w:sectPr>
      </w:pPr>
    </w:p>
    <w:bookmarkStart w:id="43" w:name="page44"/>
    <w:bookmarkEnd w:id="43"/>
    <w:tbl>
      <w:tblPr>
        <w:tblLayout w:type="fixed"/>
        <w:tblInd w:w="0" w:type="dxa"/>
        <w:tblCellMar>
          <w:top w:w="0" w:type="dxa"/>
          <w:left w:w="0" w:type="dxa"/>
          <w:bottom w:w="0" w:type="dxa"/>
          <w:right w:w="0" w:type="dxa"/>
        </w:tblCellMar>
      </w:tblPr>
      <w:tr>
        <w:trPr>
          <w:trHeight w:val="161"/>
        </w:trPr>
        <w:tc>
          <w:tcPr>
            <w:tcW w:w="3880" w:type="dxa"/>
            <w:vAlign w:val="bottom"/>
            <w:gridSpan w:val="2"/>
          </w:tcPr>
          <w:p>
            <w:pPr>
              <w:spacing w:after="0"/>
              <w:rPr>
                <w:sz w:val="20"/>
                <w:szCs w:val="20"/>
                <w:color w:val="auto"/>
              </w:rPr>
            </w:pPr>
            <w:r>
              <w:rPr>
                <w:rFonts w:ascii="Times New Roman" w:cs="Times New Roman" w:eastAsia="Times New Roman" w:hAnsi="Times New Roman"/>
                <w:sz w:val="14"/>
                <w:szCs w:val="14"/>
                <w:color w:val="0000FF"/>
              </w:rPr>
              <w:t>Table of Contents</w:t>
            </w:r>
          </w:p>
        </w:tc>
        <w:tc>
          <w:tcPr>
            <w:tcW w:w="28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32"/>
        </w:trPr>
        <w:tc>
          <w:tcPr>
            <w:tcW w:w="1000" w:type="dxa"/>
            <w:vAlign w:val="bottom"/>
            <w:tcBorders>
              <w:top w:val="single" w:sz="8" w:color="0000FF"/>
            </w:tcBorders>
          </w:tcPr>
          <w:p>
            <w:pPr>
              <w:spacing w:after="0"/>
              <w:rPr>
                <w:sz w:val="24"/>
                <w:szCs w:val="24"/>
                <w:color w:val="auto"/>
              </w:rPr>
            </w:pPr>
          </w:p>
        </w:tc>
        <w:tc>
          <w:tcPr>
            <w:tcW w:w="2880" w:type="dxa"/>
            <w:vAlign w:val="bottom"/>
          </w:tcPr>
          <w:p>
            <w:pPr>
              <w:spacing w:after="0"/>
              <w:rPr>
                <w:sz w:val="24"/>
                <w:szCs w:val="24"/>
                <w:color w:val="auto"/>
              </w:rPr>
            </w:pPr>
          </w:p>
        </w:tc>
        <w:tc>
          <w:tcPr>
            <w:tcW w:w="34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DYCOM INDUSTRIES, INC. AND SUBSIDIARIES</w:t>
            </w: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0"/>
        </w:trPr>
        <w:tc>
          <w:tcPr>
            <w:tcW w:w="100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34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CONSOLIDATED STATEMENTS OF OPERATIONS</w:t>
            </w: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1000" w:type="dxa"/>
            <w:vAlign w:val="bottom"/>
          </w:tcPr>
          <w:p>
            <w:pPr>
              <w:spacing w:after="0"/>
              <w:rPr>
                <w:sz w:val="16"/>
                <w:szCs w:val="16"/>
                <w:color w:val="auto"/>
              </w:rPr>
            </w:pPr>
          </w:p>
        </w:tc>
        <w:tc>
          <w:tcPr>
            <w:tcW w:w="2880" w:type="dxa"/>
            <w:vAlign w:val="bottom"/>
          </w:tcPr>
          <w:p>
            <w:pPr>
              <w:spacing w:after="0"/>
              <w:rPr>
                <w:sz w:val="16"/>
                <w:szCs w:val="16"/>
                <w:color w:val="auto"/>
              </w:rPr>
            </w:pPr>
          </w:p>
        </w:tc>
        <w:tc>
          <w:tcPr>
            <w:tcW w:w="34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(Dollars in thousands, except share amounts)</w:t>
            </w: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000" w:type="dxa"/>
            <w:vAlign w:val="bottom"/>
          </w:tcPr>
          <w:p>
            <w:pPr>
              <w:spacing w:after="0"/>
              <w:rPr>
                <w:sz w:val="17"/>
                <w:szCs w:val="17"/>
                <w:color w:val="auto"/>
              </w:rPr>
            </w:pPr>
          </w:p>
        </w:tc>
        <w:tc>
          <w:tcPr>
            <w:tcW w:w="2880" w:type="dxa"/>
            <w:vAlign w:val="bottom"/>
          </w:tcPr>
          <w:p>
            <w:pPr>
              <w:spacing w:after="0"/>
              <w:rPr>
                <w:sz w:val="17"/>
                <w:szCs w:val="17"/>
                <w:color w:val="auto"/>
              </w:rPr>
            </w:pPr>
          </w:p>
        </w:tc>
        <w:tc>
          <w:tcPr>
            <w:tcW w:w="2800" w:type="dxa"/>
            <w:vAlign w:val="bottom"/>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9"/>
              </w:rPr>
              <w:t>Fiscal Year Ended</w:t>
            </w:r>
          </w:p>
        </w:tc>
        <w:tc>
          <w:tcPr>
            <w:tcW w:w="14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1000" w:type="dxa"/>
            <w:vAlign w:val="bottom"/>
          </w:tcPr>
          <w:p>
            <w:pPr>
              <w:spacing w:after="0"/>
              <w:rPr>
                <w:sz w:val="15"/>
                <w:szCs w:val="15"/>
                <w:color w:val="auto"/>
              </w:rPr>
            </w:pPr>
          </w:p>
        </w:tc>
        <w:tc>
          <w:tcPr>
            <w:tcW w:w="2880" w:type="dxa"/>
            <w:vAlign w:val="bottom"/>
          </w:tcPr>
          <w:p>
            <w:pPr>
              <w:spacing w:after="0"/>
              <w:rPr>
                <w:sz w:val="15"/>
                <w:szCs w:val="15"/>
                <w:color w:val="auto"/>
              </w:rPr>
            </w:pPr>
          </w:p>
        </w:tc>
        <w:tc>
          <w:tcPr>
            <w:tcW w:w="2800" w:type="dxa"/>
            <w:vAlign w:val="bottom"/>
          </w:tcPr>
          <w:p>
            <w:pPr>
              <w:spacing w:after="0"/>
              <w:rPr>
                <w:sz w:val="15"/>
                <w:szCs w:val="15"/>
                <w:color w:val="auto"/>
              </w:rPr>
            </w:pPr>
          </w:p>
        </w:tc>
        <w:tc>
          <w:tcPr>
            <w:tcW w:w="1520" w:type="dxa"/>
            <w:vAlign w:val="bottom"/>
            <w:gridSpan w:val="3"/>
          </w:tcPr>
          <w:p>
            <w:pPr>
              <w:ind w:left="200"/>
              <w:spacing w:after="0"/>
              <w:rPr>
                <w:sz w:val="20"/>
                <w:szCs w:val="20"/>
                <w:color w:val="auto"/>
              </w:rPr>
            </w:pPr>
            <w:r>
              <w:rPr>
                <w:rFonts w:ascii="Times New Roman" w:cs="Times New Roman" w:eastAsia="Times New Roman" w:hAnsi="Times New Roman"/>
                <w:sz w:val="14"/>
                <w:szCs w:val="14"/>
                <w:b w:val="1"/>
                <w:bCs w:val="1"/>
                <w:color w:val="auto"/>
              </w:rPr>
              <w:t>January 25, 2025</w:t>
            </w:r>
          </w:p>
        </w:tc>
        <w:tc>
          <w:tcPr>
            <w:tcW w:w="120" w:type="dxa"/>
            <w:vAlign w:val="bottom"/>
          </w:tcPr>
          <w:p>
            <w:pPr>
              <w:spacing w:after="0"/>
              <w:rPr>
                <w:sz w:val="15"/>
                <w:szCs w:val="15"/>
                <w:color w:val="auto"/>
              </w:rPr>
            </w:pPr>
          </w:p>
        </w:tc>
        <w:tc>
          <w:tcPr>
            <w:tcW w:w="14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January 27, 2024</w:t>
            </w:r>
          </w:p>
        </w:tc>
        <w:tc>
          <w:tcPr>
            <w:tcW w:w="140" w:type="dxa"/>
            <w:vAlign w:val="bottom"/>
          </w:tcPr>
          <w:p>
            <w:pPr>
              <w:spacing w:after="0"/>
              <w:rPr>
                <w:sz w:val="15"/>
                <w:szCs w:val="15"/>
                <w:color w:val="auto"/>
              </w:rPr>
            </w:pPr>
          </w:p>
        </w:tc>
        <w:tc>
          <w:tcPr>
            <w:tcW w:w="1280" w:type="dxa"/>
            <w:vAlign w:val="bottom"/>
          </w:tcPr>
          <w:p>
            <w:pPr>
              <w:jc w:val="right"/>
              <w:ind w:right="109"/>
              <w:spacing w:after="0"/>
              <w:rPr>
                <w:sz w:val="20"/>
                <w:szCs w:val="20"/>
                <w:color w:val="auto"/>
              </w:rPr>
            </w:pPr>
            <w:r>
              <w:rPr>
                <w:rFonts w:ascii="Times New Roman" w:cs="Times New Roman" w:eastAsia="Times New Roman" w:hAnsi="Times New Roman"/>
                <w:sz w:val="14"/>
                <w:szCs w:val="14"/>
                <w:b w:val="1"/>
                <w:bCs w:val="1"/>
                <w:color w:val="auto"/>
              </w:rPr>
              <w:t>January 28, 2023</w:t>
            </w:r>
          </w:p>
        </w:tc>
        <w:tc>
          <w:tcPr>
            <w:tcW w:w="14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1000" w:type="dxa"/>
            <w:vAlign w:val="bottom"/>
          </w:tcPr>
          <w:p>
            <w:pPr>
              <w:spacing w:after="0"/>
              <w:rPr>
                <w:sz w:val="17"/>
                <w:szCs w:val="17"/>
                <w:color w:val="auto"/>
              </w:rPr>
            </w:pPr>
          </w:p>
        </w:tc>
        <w:tc>
          <w:tcPr>
            <w:tcW w:w="2880" w:type="dxa"/>
            <w:vAlign w:val="bottom"/>
          </w:tcPr>
          <w:p>
            <w:pPr>
              <w:spacing w:after="0"/>
              <w:rPr>
                <w:sz w:val="17"/>
                <w:szCs w:val="17"/>
                <w:color w:val="auto"/>
              </w:rPr>
            </w:pPr>
          </w:p>
        </w:tc>
        <w:tc>
          <w:tcPr>
            <w:tcW w:w="2800" w:type="dxa"/>
            <w:vAlign w:val="bottom"/>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0"/>
        </w:trPr>
        <w:tc>
          <w:tcPr>
            <w:tcW w:w="3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Contract revenues</w:t>
            </w:r>
          </w:p>
        </w:tc>
        <w:tc>
          <w:tcPr>
            <w:tcW w:w="3480" w:type="dxa"/>
            <w:vAlign w:val="bottom"/>
            <w:gridSpan w:val="2"/>
            <w:shd w:val="clear" w:color="auto" w:fill="CCEEFF"/>
          </w:tcPr>
          <w:p>
            <w:pPr>
              <w:jc w:val="right"/>
              <w:ind w:right="509"/>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4,702,014</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4,175,574</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3,808,462</w:t>
            </w:r>
          </w:p>
        </w:tc>
        <w:tc>
          <w:tcPr>
            <w:tcW w:w="100" w:type="dxa"/>
            <w:vAlign w:val="bottom"/>
            <w:shd w:val="clear" w:color="auto" w:fill="CCEEFF"/>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1000" w:type="dxa"/>
            <w:vAlign w:val="bottom"/>
          </w:tcPr>
          <w:p>
            <w:pPr>
              <w:spacing w:after="0"/>
              <w:rPr>
                <w:sz w:val="16"/>
                <w:szCs w:val="16"/>
                <w:color w:val="auto"/>
              </w:rPr>
            </w:pPr>
          </w:p>
        </w:tc>
        <w:tc>
          <w:tcPr>
            <w:tcW w:w="2880" w:type="dxa"/>
            <w:vAlign w:val="bottom"/>
          </w:tcPr>
          <w:p>
            <w:pPr>
              <w:spacing w:after="0"/>
              <w:rPr>
                <w:sz w:val="16"/>
                <w:szCs w:val="16"/>
                <w:color w:val="auto"/>
              </w:rPr>
            </w:pPr>
          </w:p>
        </w:tc>
        <w:tc>
          <w:tcPr>
            <w:tcW w:w="2800" w:type="dxa"/>
            <w:vAlign w:val="bottom"/>
          </w:tcPr>
          <w:p>
            <w:pPr>
              <w:spacing w:after="0"/>
              <w:rPr>
                <w:sz w:val="16"/>
                <w:szCs w:val="16"/>
                <w:color w:val="auto"/>
              </w:rPr>
            </w:pPr>
          </w:p>
        </w:tc>
        <w:tc>
          <w:tcPr>
            <w:tcW w:w="68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3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3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Costs of earned revenues, excluding depreciation and amortization</w:t>
            </w:r>
          </w:p>
        </w:tc>
        <w:tc>
          <w:tcPr>
            <w:tcW w:w="28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3,769,877</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3,361,815</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3,160,264</w:t>
            </w:r>
          </w:p>
        </w:tc>
        <w:tc>
          <w:tcPr>
            <w:tcW w:w="100" w:type="dxa"/>
            <w:vAlign w:val="bottom"/>
            <w:shd w:val="clear" w:color="auto" w:fill="CCEEFF"/>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8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General and administrative</w:t>
            </w:r>
          </w:p>
        </w:tc>
        <w:tc>
          <w:tcPr>
            <w:tcW w:w="28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393,030</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327,674</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293,478</w:t>
            </w: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2800" w:type="dxa"/>
            <w:vAlign w:val="bottom"/>
            <w:shd w:val="clear" w:color="auto" w:fill="CCEEFF"/>
          </w:tcPr>
          <w:p>
            <w:pPr>
              <w:spacing w:after="0"/>
              <w:rPr>
                <w:sz w:val="15"/>
                <w:szCs w:val="15"/>
                <w:color w:val="auto"/>
              </w:rPr>
            </w:pPr>
          </w:p>
        </w:tc>
        <w:tc>
          <w:tcPr>
            <w:tcW w:w="680" w:type="dxa"/>
            <w:vAlign w:val="bottom"/>
            <w:tcBorders>
              <w:bottom w:val="single" w:sz="8" w:color="auto"/>
            </w:tcBorders>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198,571</w:t>
            </w:r>
          </w:p>
        </w:tc>
        <w:tc>
          <w:tcPr>
            <w:tcW w:w="8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163,092</w:t>
            </w:r>
          </w:p>
        </w:tc>
        <w:tc>
          <w:tcPr>
            <w:tcW w:w="10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144,181</w:t>
            </w:r>
          </w:p>
        </w:tc>
        <w:tc>
          <w:tcPr>
            <w:tcW w:w="100" w:type="dxa"/>
            <w:vAlign w:val="bottom"/>
            <w:shd w:val="clear" w:color="auto" w:fill="CCEEFF"/>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88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Total</w:t>
            </w:r>
          </w:p>
        </w:tc>
        <w:tc>
          <w:tcPr>
            <w:tcW w:w="28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4,361,478</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3,852,581</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3,597,923</w:t>
            </w: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3880" w:type="dxa"/>
            <w:vAlign w:val="bottom"/>
            <w:gridSpan w:val="2"/>
          </w:tcPr>
          <w:p>
            <w:pPr>
              <w:spacing w:after="0"/>
              <w:rPr>
                <w:sz w:val="18"/>
                <w:szCs w:val="18"/>
                <w:color w:val="auto"/>
              </w:rPr>
            </w:pPr>
          </w:p>
        </w:tc>
        <w:tc>
          <w:tcPr>
            <w:tcW w:w="28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0"/>
        </w:trPr>
        <w:tc>
          <w:tcPr>
            <w:tcW w:w="3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 expense, net</w:t>
            </w:r>
          </w:p>
        </w:tc>
        <w:tc>
          <w:tcPr>
            <w:tcW w:w="28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(60,994)</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(52,603)</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(40,618)</w:t>
            </w:r>
          </w:p>
        </w:tc>
        <w:tc>
          <w:tcPr>
            <w:tcW w:w="100" w:type="dxa"/>
            <w:vAlign w:val="bottom"/>
            <w:shd w:val="clear" w:color="auto" w:fill="CCEEFF"/>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8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Loss on debt extinguishment</w:t>
            </w:r>
          </w:p>
        </w:tc>
        <w:tc>
          <w:tcPr>
            <w:tcW w:w="28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(965)</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income, net</w:t>
            </w:r>
          </w:p>
        </w:tc>
        <w:tc>
          <w:tcPr>
            <w:tcW w:w="2800" w:type="dxa"/>
            <w:vAlign w:val="bottom"/>
            <w:shd w:val="clear" w:color="auto" w:fill="CCEEFF"/>
          </w:tcPr>
          <w:p>
            <w:pPr>
              <w:spacing w:after="0"/>
              <w:rPr>
                <w:sz w:val="15"/>
                <w:szCs w:val="15"/>
                <w:color w:val="auto"/>
              </w:rPr>
            </w:pPr>
          </w:p>
        </w:tc>
        <w:tc>
          <w:tcPr>
            <w:tcW w:w="680" w:type="dxa"/>
            <w:vAlign w:val="bottom"/>
            <w:tcBorders>
              <w:bottom w:val="single" w:sz="8" w:color="auto"/>
            </w:tcBorders>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29,213</w:t>
            </w:r>
          </w:p>
        </w:tc>
        <w:tc>
          <w:tcPr>
            <w:tcW w:w="8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21,609</w:t>
            </w:r>
          </w:p>
        </w:tc>
        <w:tc>
          <w:tcPr>
            <w:tcW w:w="10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10,201</w:t>
            </w:r>
          </w:p>
        </w:tc>
        <w:tc>
          <w:tcPr>
            <w:tcW w:w="100" w:type="dxa"/>
            <w:vAlign w:val="bottom"/>
            <w:shd w:val="clear" w:color="auto" w:fill="CCEEFF"/>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38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Income before income taxes</w:t>
            </w:r>
          </w:p>
        </w:tc>
        <w:tc>
          <w:tcPr>
            <w:tcW w:w="28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307,790</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291,999</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180,122</w:t>
            </w: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3880" w:type="dxa"/>
            <w:vAlign w:val="bottom"/>
            <w:gridSpan w:val="2"/>
            <w:shd w:val="clear" w:color="auto" w:fill="CCEEFF"/>
          </w:tcPr>
          <w:p>
            <w:pPr>
              <w:spacing w:after="0"/>
              <w:rPr>
                <w:sz w:val="18"/>
                <w:szCs w:val="18"/>
                <w:color w:val="auto"/>
              </w:rPr>
            </w:pPr>
          </w:p>
        </w:tc>
        <w:tc>
          <w:tcPr>
            <w:tcW w:w="28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0"/>
        </w:trPr>
        <w:tc>
          <w:tcPr>
            <w:tcW w:w="3880" w:type="dxa"/>
            <w:vAlign w:val="bottom"/>
            <w:tcBorders>
              <w:bottom w:val="single" w:sz="8" w:color="CCEEFF"/>
            </w:tcBorders>
            <w:gridSpan w:val="2"/>
          </w:tcPr>
          <w:p>
            <w:pPr>
              <w:ind w:left="120"/>
              <w:spacing w:after="0"/>
              <w:rPr>
                <w:sz w:val="20"/>
                <w:szCs w:val="20"/>
                <w:color w:val="auto"/>
              </w:rPr>
            </w:pPr>
            <w:r>
              <w:rPr>
                <w:rFonts w:ascii="Times New Roman" w:cs="Times New Roman" w:eastAsia="Times New Roman" w:hAnsi="Times New Roman"/>
                <w:sz w:val="14"/>
                <w:szCs w:val="14"/>
                <w:color w:val="auto"/>
              </w:rPr>
              <w:t>Provision for income taxes</w:t>
            </w:r>
          </w:p>
        </w:tc>
        <w:tc>
          <w:tcPr>
            <w:tcW w:w="2800" w:type="dxa"/>
            <w:vAlign w:val="bottom"/>
            <w:tcBorders>
              <w:bottom w:val="single" w:sz="8" w:color="CCEEFF"/>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74,377</w:t>
            </w:r>
          </w:p>
        </w:tc>
        <w:tc>
          <w:tcPr>
            <w:tcW w:w="8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73,076</w:t>
            </w: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37,909</w:t>
            </w:r>
          </w:p>
        </w:tc>
        <w:tc>
          <w:tcPr>
            <w:tcW w:w="100" w:type="dxa"/>
            <w:vAlign w:val="bottom"/>
            <w:tcBorders>
              <w:bottom w:val="single" w:sz="8" w:color="CCEEFF"/>
            </w:tcBorders>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1000" w:type="dxa"/>
            <w:vAlign w:val="bottom"/>
            <w:shd w:val="clear" w:color="auto" w:fill="CCEEFF"/>
          </w:tcPr>
          <w:p>
            <w:pPr>
              <w:spacing w:after="0"/>
              <w:rPr>
                <w:sz w:val="16"/>
                <w:szCs w:val="16"/>
                <w:color w:val="auto"/>
              </w:rPr>
            </w:pPr>
          </w:p>
        </w:tc>
        <w:tc>
          <w:tcPr>
            <w:tcW w:w="2880" w:type="dxa"/>
            <w:vAlign w:val="bottom"/>
            <w:shd w:val="clear" w:color="auto" w:fill="CCEEFF"/>
          </w:tcPr>
          <w:p>
            <w:pPr>
              <w:spacing w:after="0"/>
              <w:rPr>
                <w:sz w:val="16"/>
                <w:szCs w:val="16"/>
                <w:color w:val="auto"/>
              </w:rPr>
            </w:pPr>
          </w:p>
        </w:tc>
        <w:tc>
          <w:tcPr>
            <w:tcW w:w="28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38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3480" w:type="dxa"/>
            <w:vAlign w:val="bottom"/>
            <w:gridSpan w:val="2"/>
          </w:tcPr>
          <w:p>
            <w:pPr>
              <w:jc w:val="right"/>
              <w:ind w:right="509"/>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233,413</w:t>
            </w:r>
          </w:p>
        </w:tc>
        <w:tc>
          <w:tcPr>
            <w:tcW w:w="8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218,923</w:t>
            </w:r>
          </w:p>
        </w:tc>
        <w:tc>
          <w:tcPr>
            <w:tcW w:w="10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142,213</w:t>
            </w: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8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Earnings per common share:</w:t>
            </w:r>
          </w:p>
        </w:tc>
        <w:tc>
          <w:tcPr>
            <w:tcW w:w="28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4"/>
        </w:trPr>
        <w:tc>
          <w:tcPr>
            <w:tcW w:w="3880" w:type="dxa"/>
            <w:vAlign w:val="bottom"/>
            <w:gridSpan w:val="2"/>
            <w:vMerge w:val="continue"/>
          </w:tcPr>
          <w:p>
            <w:pPr>
              <w:spacing w:after="0"/>
              <w:rPr>
                <w:sz w:val="24"/>
                <w:szCs w:val="24"/>
                <w:color w:val="auto"/>
              </w:rPr>
            </w:pPr>
          </w:p>
        </w:tc>
        <w:tc>
          <w:tcPr>
            <w:tcW w:w="28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1"/>
        </w:trPr>
        <w:tc>
          <w:tcPr>
            <w:tcW w:w="3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Basic earnings per common share</w:t>
            </w:r>
          </w:p>
        </w:tc>
        <w:tc>
          <w:tcPr>
            <w:tcW w:w="3480" w:type="dxa"/>
            <w:vAlign w:val="bottom"/>
            <w:gridSpan w:val="2"/>
            <w:shd w:val="clear" w:color="auto" w:fill="CCEEFF"/>
          </w:tcPr>
          <w:p>
            <w:pPr>
              <w:jc w:val="right"/>
              <w:ind w:right="509"/>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8.02</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7.46</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4.81</w:t>
            </w: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880" w:type="dxa"/>
            <w:vAlign w:val="bottom"/>
            <w:tcBorders>
              <w:top w:val="single" w:sz="8" w:color="CCEEFF"/>
            </w:tcBorders>
            <w:gridSpan w:val="2"/>
          </w:tcPr>
          <w:p>
            <w:pPr>
              <w:spacing w:after="0" w:line="20" w:lineRule="exact"/>
              <w:rPr>
                <w:sz w:val="1"/>
                <w:szCs w:val="1"/>
                <w:color w:val="auto"/>
              </w:rPr>
            </w:pPr>
          </w:p>
        </w:tc>
        <w:tc>
          <w:tcPr>
            <w:tcW w:w="28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1000" w:type="dxa"/>
            <w:vAlign w:val="bottom"/>
          </w:tcPr>
          <w:p>
            <w:pPr>
              <w:spacing w:after="0"/>
              <w:rPr>
                <w:sz w:val="13"/>
                <w:szCs w:val="13"/>
                <w:color w:val="auto"/>
              </w:rPr>
            </w:pPr>
          </w:p>
        </w:tc>
        <w:tc>
          <w:tcPr>
            <w:tcW w:w="2880" w:type="dxa"/>
            <w:vAlign w:val="bottom"/>
          </w:tcPr>
          <w:p>
            <w:pPr>
              <w:spacing w:after="0"/>
              <w:rPr>
                <w:sz w:val="13"/>
                <w:szCs w:val="13"/>
                <w:color w:val="auto"/>
              </w:rPr>
            </w:pPr>
          </w:p>
        </w:tc>
        <w:tc>
          <w:tcPr>
            <w:tcW w:w="28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0"/>
        </w:trPr>
        <w:tc>
          <w:tcPr>
            <w:tcW w:w="3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Diluted earnings per common share</w:t>
            </w:r>
          </w:p>
        </w:tc>
        <w:tc>
          <w:tcPr>
            <w:tcW w:w="3480" w:type="dxa"/>
            <w:vAlign w:val="bottom"/>
            <w:gridSpan w:val="2"/>
            <w:shd w:val="clear" w:color="auto" w:fill="CCEEFF"/>
          </w:tcPr>
          <w:p>
            <w:pPr>
              <w:jc w:val="right"/>
              <w:ind w:right="509"/>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7.92</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7.37</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4.74</w:t>
            </w: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88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Shares used in computing earnings per common share:</w:t>
            </w:r>
          </w:p>
        </w:tc>
        <w:tc>
          <w:tcPr>
            <w:tcW w:w="28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4"/>
        </w:trPr>
        <w:tc>
          <w:tcPr>
            <w:tcW w:w="3880" w:type="dxa"/>
            <w:vAlign w:val="bottom"/>
            <w:gridSpan w:val="2"/>
            <w:vMerge w:val="continue"/>
          </w:tcPr>
          <w:p>
            <w:pPr>
              <w:spacing w:after="0"/>
              <w:rPr>
                <w:sz w:val="24"/>
                <w:szCs w:val="24"/>
                <w:color w:val="auto"/>
              </w:rPr>
            </w:pPr>
          </w:p>
        </w:tc>
        <w:tc>
          <w:tcPr>
            <w:tcW w:w="28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38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Basic</w:t>
            </w:r>
          </w:p>
        </w:tc>
        <w:tc>
          <w:tcPr>
            <w:tcW w:w="280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29,112,573</w:t>
            </w: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29,333,054</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29,549,990</w:t>
            </w:r>
          </w:p>
        </w:tc>
        <w:tc>
          <w:tcPr>
            <w:tcW w:w="100" w:type="dxa"/>
            <w:vAlign w:val="bottom"/>
            <w:tcBorders>
              <w:bottom w:val="single" w:sz="8" w:color="CCEEFF"/>
            </w:tcBorders>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880" w:type="dxa"/>
            <w:vAlign w:val="bottom"/>
            <w:tcBorders>
              <w:top w:val="single" w:sz="8" w:color="CCEEFF"/>
            </w:tcBorders>
            <w:gridSpan w:val="2"/>
          </w:tcPr>
          <w:p>
            <w:pPr>
              <w:spacing w:after="0" w:line="20" w:lineRule="exact"/>
              <w:rPr>
                <w:sz w:val="1"/>
                <w:szCs w:val="1"/>
                <w:color w:val="auto"/>
              </w:rPr>
            </w:pPr>
          </w:p>
        </w:tc>
        <w:tc>
          <w:tcPr>
            <w:tcW w:w="28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1000" w:type="dxa"/>
            <w:vAlign w:val="bottom"/>
          </w:tcPr>
          <w:p>
            <w:pPr>
              <w:spacing w:after="0"/>
              <w:rPr>
                <w:sz w:val="13"/>
                <w:szCs w:val="13"/>
                <w:color w:val="auto"/>
              </w:rPr>
            </w:pPr>
          </w:p>
        </w:tc>
        <w:tc>
          <w:tcPr>
            <w:tcW w:w="2880" w:type="dxa"/>
            <w:vAlign w:val="bottom"/>
          </w:tcPr>
          <w:p>
            <w:pPr>
              <w:spacing w:after="0"/>
              <w:rPr>
                <w:sz w:val="13"/>
                <w:szCs w:val="13"/>
                <w:color w:val="auto"/>
              </w:rPr>
            </w:pPr>
          </w:p>
        </w:tc>
        <w:tc>
          <w:tcPr>
            <w:tcW w:w="28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5"/>
        </w:trPr>
        <w:tc>
          <w:tcPr>
            <w:tcW w:w="38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Diluted</w:t>
            </w:r>
          </w:p>
        </w:tc>
        <w:tc>
          <w:tcPr>
            <w:tcW w:w="280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29,481,791</w:t>
            </w: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29,698,926</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29,996,591</w:t>
            </w:r>
          </w:p>
        </w:tc>
        <w:tc>
          <w:tcPr>
            <w:tcW w:w="100" w:type="dxa"/>
            <w:vAlign w:val="bottom"/>
            <w:tcBorders>
              <w:bottom w:val="single" w:sz="8" w:color="CCEEFF"/>
            </w:tcBorders>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00" w:type="dxa"/>
            <w:vAlign w:val="bottom"/>
            <w:tcBorders>
              <w:top w:val="single" w:sz="8" w:color="CCEEFF"/>
            </w:tcBorders>
          </w:tcPr>
          <w:p>
            <w:pPr>
              <w:spacing w:after="0" w:line="20" w:lineRule="exact"/>
              <w:rPr>
                <w:sz w:val="1"/>
                <w:szCs w:val="1"/>
                <w:color w:val="auto"/>
              </w:rPr>
            </w:pPr>
          </w:p>
        </w:tc>
        <w:tc>
          <w:tcPr>
            <w:tcW w:w="2880" w:type="dxa"/>
            <w:vAlign w:val="bottom"/>
            <w:tcBorders>
              <w:top w:val="single" w:sz="8" w:color="CCEEFF"/>
            </w:tcBorders>
          </w:tcPr>
          <w:p>
            <w:pPr>
              <w:spacing w:after="0" w:line="20" w:lineRule="exact"/>
              <w:rPr>
                <w:sz w:val="1"/>
                <w:szCs w:val="1"/>
                <w:color w:val="auto"/>
              </w:rPr>
            </w:pPr>
          </w:p>
        </w:tc>
        <w:tc>
          <w:tcPr>
            <w:tcW w:w="28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3"/>
        </w:trPr>
        <w:tc>
          <w:tcPr>
            <w:tcW w:w="100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3480" w:type="dxa"/>
            <w:vAlign w:val="bottom"/>
            <w:gridSpan w:val="2"/>
          </w:tcPr>
          <w:p>
            <w:pPr>
              <w:jc w:val="right"/>
              <w:ind w:right="249"/>
              <w:spacing w:after="0"/>
              <w:rPr>
                <w:sz w:val="20"/>
                <w:szCs w:val="20"/>
                <w:color w:val="auto"/>
              </w:rPr>
            </w:pPr>
            <w:r>
              <w:rPr>
                <w:rFonts w:ascii="Times New Roman" w:cs="Times New Roman" w:eastAsia="Times New Roman" w:hAnsi="Times New Roman"/>
                <w:sz w:val="14"/>
                <w:szCs w:val="14"/>
                <w:color w:val="auto"/>
              </w:rPr>
              <w:t>See notes to the consolidated financial statements.</w:t>
            </w: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1"/>
        </w:trPr>
        <w:tc>
          <w:tcPr>
            <w:tcW w:w="100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2800" w:type="dxa"/>
            <w:vAlign w:val="bottom"/>
          </w:tcPr>
          <w:p>
            <w:pPr>
              <w:jc w:val="center"/>
              <w:ind w:left="669"/>
              <w:spacing w:after="0"/>
              <w:rPr>
                <w:sz w:val="20"/>
                <w:szCs w:val="20"/>
                <w:color w:val="auto"/>
              </w:rPr>
            </w:pPr>
            <w:r>
              <w:rPr>
                <w:rFonts w:ascii="Times New Roman" w:cs="Times New Roman" w:eastAsia="Times New Roman" w:hAnsi="Times New Roman"/>
                <w:sz w:val="14"/>
                <w:szCs w:val="14"/>
                <w:color w:val="auto"/>
                <w:w w:val="99"/>
              </w:rPr>
              <w:t>44</w:t>
            </w:r>
          </w:p>
        </w:tc>
        <w:tc>
          <w:tcPr>
            <w:tcW w:w="6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1000" w:type="dxa"/>
            <w:vAlign w:val="bottom"/>
            <w:tcBorders>
              <w:bottom w:val="single" w:sz="8" w:color="9A9A9A"/>
            </w:tcBorders>
          </w:tcPr>
          <w:p>
            <w:pPr>
              <w:spacing w:after="0"/>
              <w:rPr>
                <w:sz w:val="7"/>
                <w:szCs w:val="7"/>
                <w:color w:val="auto"/>
              </w:rPr>
            </w:pPr>
          </w:p>
        </w:tc>
        <w:tc>
          <w:tcPr>
            <w:tcW w:w="2880" w:type="dxa"/>
            <w:vAlign w:val="bottom"/>
            <w:tcBorders>
              <w:bottom w:val="single" w:sz="8" w:color="9A9A9A"/>
            </w:tcBorders>
          </w:tcPr>
          <w:p>
            <w:pPr>
              <w:spacing w:after="0"/>
              <w:rPr>
                <w:sz w:val="7"/>
                <w:szCs w:val="7"/>
                <w:color w:val="auto"/>
              </w:rPr>
            </w:pPr>
          </w:p>
        </w:tc>
        <w:tc>
          <w:tcPr>
            <w:tcW w:w="2800" w:type="dxa"/>
            <w:vAlign w:val="bottom"/>
            <w:tcBorders>
              <w:bottom w:val="single" w:sz="8" w:color="9A9A9A"/>
            </w:tcBorders>
          </w:tcPr>
          <w:p>
            <w:pPr>
              <w:spacing w:after="0"/>
              <w:rPr>
                <w:sz w:val="7"/>
                <w:szCs w:val="7"/>
                <w:color w:val="auto"/>
              </w:rPr>
            </w:pPr>
          </w:p>
        </w:tc>
        <w:tc>
          <w:tcPr>
            <w:tcW w:w="680" w:type="dxa"/>
            <w:vAlign w:val="bottom"/>
            <w:tcBorders>
              <w:bottom w:val="single" w:sz="8" w:color="9A9A9A"/>
            </w:tcBorders>
          </w:tcPr>
          <w:p>
            <w:pPr>
              <w:spacing w:after="0"/>
              <w:rPr>
                <w:sz w:val="7"/>
                <w:szCs w:val="7"/>
                <w:color w:val="auto"/>
              </w:rPr>
            </w:pPr>
          </w:p>
        </w:tc>
        <w:tc>
          <w:tcPr>
            <w:tcW w:w="76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130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128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16" w:right="319" w:bottom="1440" w:gutter="0" w:footer="0" w:header="0"/>
        </w:sectPr>
      </w:pPr>
    </w:p>
    <w:bookmarkStart w:id="44" w:name="page45"/>
    <w:bookmarkEnd w:id="44"/>
    <w:tbl>
      <w:tblPr>
        <w:tblLayout w:type="fixed"/>
        <w:tblInd w:w="0" w:type="dxa"/>
        <w:tblCellMar>
          <w:top w:w="0" w:type="dxa"/>
          <w:left w:w="0" w:type="dxa"/>
          <w:bottom w:w="0" w:type="dxa"/>
          <w:right w:w="0" w:type="dxa"/>
        </w:tblCellMar>
      </w:tblPr>
      <w:tr>
        <w:trPr>
          <w:trHeight w:val="161"/>
        </w:trPr>
        <w:tc>
          <w:tcPr>
            <w:tcW w:w="3260" w:type="dxa"/>
            <w:vAlign w:val="bottom"/>
            <w:gridSpan w:val="2"/>
          </w:tcPr>
          <w:p>
            <w:pPr>
              <w:spacing w:after="0"/>
              <w:rPr>
                <w:sz w:val="20"/>
                <w:szCs w:val="20"/>
                <w:color w:val="auto"/>
              </w:rPr>
            </w:pPr>
            <w:r>
              <w:rPr>
                <w:rFonts w:ascii="Times New Roman" w:cs="Times New Roman" w:eastAsia="Times New Roman" w:hAnsi="Times New Roman"/>
                <w:sz w:val="14"/>
                <w:szCs w:val="14"/>
                <w:color w:val="0000FF"/>
              </w:rPr>
              <w:t>Table of Contents</w:t>
            </w:r>
          </w:p>
        </w:tc>
        <w:tc>
          <w:tcPr>
            <w:tcW w:w="3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632"/>
        </w:trPr>
        <w:tc>
          <w:tcPr>
            <w:tcW w:w="1000" w:type="dxa"/>
            <w:vAlign w:val="bottom"/>
            <w:tcBorders>
              <w:top w:val="single" w:sz="8" w:color="0000FF"/>
            </w:tcBorders>
          </w:tcPr>
          <w:p>
            <w:pPr>
              <w:spacing w:after="0"/>
              <w:rPr>
                <w:sz w:val="24"/>
                <w:szCs w:val="24"/>
                <w:color w:val="auto"/>
              </w:rPr>
            </w:pPr>
          </w:p>
        </w:tc>
        <w:tc>
          <w:tcPr>
            <w:tcW w:w="2260" w:type="dxa"/>
            <w:vAlign w:val="bottom"/>
          </w:tcPr>
          <w:p>
            <w:pPr>
              <w:spacing w:after="0"/>
              <w:rPr>
                <w:sz w:val="24"/>
                <w:szCs w:val="24"/>
                <w:color w:val="auto"/>
              </w:rPr>
            </w:pPr>
          </w:p>
        </w:tc>
        <w:tc>
          <w:tcPr>
            <w:tcW w:w="4020" w:type="dxa"/>
            <w:vAlign w:val="bottom"/>
            <w:gridSpan w:val="2"/>
          </w:tcPr>
          <w:p>
            <w:pPr>
              <w:jc w:val="center"/>
              <w:ind w:left="669"/>
              <w:spacing w:after="0"/>
              <w:rPr>
                <w:sz w:val="20"/>
                <w:szCs w:val="20"/>
                <w:color w:val="auto"/>
              </w:rPr>
            </w:pPr>
            <w:r>
              <w:rPr>
                <w:rFonts w:ascii="Times New Roman" w:cs="Times New Roman" w:eastAsia="Times New Roman" w:hAnsi="Times New Roman"/>
                <w:sz w:val="14"/>
                <w:szCs w:val="14"/>
                <w:b w:val="1"/>
                <w:bCs w:val="1"/>
                <w:color w:val="auto"/>
              </w:rPr>
              <w:t>DYCOM INDUSTRIES, INC. AND SUBSIDIARIES</w:t>
            </w: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70"/>
        </w:trPr>
        <w:tc>
          <w:tcPr>
            <w:tcW w:w="100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5280" w:type="dxa"/>
            <w:vAlign w:val="bottom"/>
            <w:gridSpan w:val="4"/>
          </w:tcPr>
          <w:p>
            <w:pPr>
              <w:jc w:val="center"/>
              <w:ind w:right="520"/>
              <w:spacing w:after="0"/>
              <w:rPr>
                <w:sz w:val="20"/>
                <w:szCs w:val="20"/>
                <w:color w:val="auto"/>
              </w:rPr>
            </w:pPr>
            <w:r>
              <w:rPr>
                <w:rFonts w:ascii="Times New Roman" w:cs="Times New Roman" w:eastAsia="Times New Roman" w:hAnsi="Times New Roman"/>
                <w:sz w:val="14"/>
                <w:szCs w:val="14"/>
                <w:b w:val="1"/>
                <w:bCs w:val="1"/>
                <w:color w:val="auto"/>
              </w:rPr>
              <w:t>CONSOLIDATED STATEMENTS OF COMPREHENSIVE INCOME</w:t>
            </w:r>
          </w:p>
        </w:tc>
        <w:tc>
          <w:tcPr>
            <w:tcW w:w="1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86"/>
        </w:trPr>
        <w:tc>
          <w:tcPr>
            <w:tcW w:w="100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4020" w:type="dxa"/>
            <w:vAlign w:val="bottom"/>
            <w:gridSpan w:val="2"/>
          </w:tcPr>
          <w:p>
            <w:pPr>
              <w:jc w:val="center"/>
              <w:ind w:left="689"/>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1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03"/>
        </w:trPr>
        <w:tc>
          <w:tcPr>
            <w:tcW w:w="100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39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9"/>
              </w:rPr>
              <w:t>Fiscal Year Ended</w:t>
            </w:r>
          </w:p>
        </w:tc>
        <w:tc>
          <w:tcPr>
            <w:tcW w:w="10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182"/>
        </w:trPr>
        <w:tc>
          <w:tcPr>
            <w:tcW w:w="1000" w:type="dxa"/>
            <w:vAlign w:val="bottom"/>
          </w:tcPr>
          <w:p>
            <w:pPr>
              <w:spacing w:after="0"/>
              <w:rPr>
                <w:sz w:val="15"/>
                <w:szCs w:val="15"/>
                <w:color w:val="auto"/>
              </w:rPr>
            </w:pPr>
          </w:p>
        </w:tc>
        <w:tc>
          <w:tcPr>
            <w:tcW w:w="2260" w:type="dxa"/>
            <w:vAlign w:val="bottom"/>
          </w:tcPr>
          <w:p>
            <w:pPr>
              <w:spacing w:after="0"/>
              <w:rPr>
                <w:sz w:val="15"/>
                <w:szCs w:val="15"/>
                <w:color w:val="auto"/>
              </w:rPr>
            </w:pPr>
          </w:p>
        </w:tc>
        <w:tc>
          <w:tcPr>
            <w:tcW w:w="3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January 25, 2025</w:t>
            </w:r>
          </w:p>
        </w:tc>
        <w:tc>
          <w:tcPr>
            <w:tcW w:w="100" w:type="dxa"/>
            <w:vAlign w:val="bottom"/>
          </w:tcPr>
          <w:p>
            <w:pPr>
              <w:spacing w:after="0"/>
              <w:rPr>
                <w:sz w:val="15"/>
                <w:szCs w:val="15"/>
                <w:color w:val="auto"/>
              </w:rPr>
            </w:pPr>
          </w:p>
        </w:tc>
        <w:tc>
          <w:tcPr>
            <w:tcW w:w="12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January 27, 2024</w:t>
            </w:r>
          </w:p>
        </w:tc>
        <w:tc>
          <w:tcPr>
            <w:tcW w:w="100" w:type="dxa"/>
            <w:vAlign w:val="bottom"/>
          </w:tcPr>
          <w:p>
            <w:pPr>
              <w:spacing w:after="0"/>
              <w:rPr>
                <w:sz w:val="15"/>
                <w:szCs w:val="15"/>
                <w:color w:val="auto"/>
              </w:rPr>
            </w:pPr>
          </w:p>
        </w:tc>
        <w:tc>
          <w:tcPr>
            <w:tcW w:w="1160" w:type="dxa"/>
            <w:vAlign w:val="bottom"/>
          </w:tcPr>
          <w:p>
            <w:pPr>
              <w:jc w:val="right"/>
              <w:ind w:right="49"/>
              <w:spacing w:after="0"/>
              <w:rPr>
                <w:sz w:val="20"/>
                <w:szCs w:val="20"/>
                <w:color w:val="auto"/>
              </w:rPr>
            </w:pPr>
            <w:r>
              <w:rPr>
                <w:rFonts w:ascii="Times New Roman" w:cs="Times New Roman" w:eastAsia="Times New Roman" w:hAnsi="Times New Roman"/>
                <w:sz w:val="14"/>
                <w:szCs w:val="14"/>
                <w:b w:val="1"/>
                <w:bCs w:val="1"/>
                <w:color w:val="auto"/>
                <w:w w:val="99"/>
              </w:rPr>
              <w:t>January 28, 2023</w:t>
            </w:r>
          </w:p>
        </w:tc>
        <w:tc>
          <w:tcPr>
            <w:tcW w:w="100" w:type="dxa"/>
            <w:vAlign w:val="bottom"/>
          </w:tcPr>
          <w:p>
            <w:pPr>
              <w:spacing w:after="0"/>
              <w:rPr>
                <w:sz w:val="15"/>
                <w:szCs w:val="15"/>
                <w:color w:val="auto"/>
              </w:rPr>
            </w:pPr>
          </w:p>
        </w:tc>
      </w:tr>
      <w:tr>
        <w:trPr>
          <w:trHeight w:val="180"/>
        </w:trPr>
        <w:tc>
          <w:tcPr>
            <w:tcW w:w="326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39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233,413</w:t>
            </w:r>
          </w:p>
        </w:tc>
        <w:tc>
          <w:tcPr>
            <w:tcW w:w="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218,923</w:t>
            </w: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142,213</w:t>
            </w:r>
          </w:p>
        </w:tc>
        <w:tc>
          <w:tcPr>
            <w:tcW w:w="100" w:type="dxa"/>
            <w:vAlign w:val="bottom"/>
            <w:tcBorders>
              <w:top w:val="single" w:sz="8" w:color="CCEEFF"/>
            </w:tcBorders>
            <w:shd w:val="clear" w:color="auto" w:fill="CCEEFF"/>
          </w:tcPr>
          <w:p>
            <w:pPr>
              <w:spacing w:after="0"/>
              <w:rPr>
                <w:sz w:val="15"/>
                <w:szCs w:val="15"/>
                <w:color w:val="auto"/>
              </w:rPr>
            </w:pPr>
          </w:p>
        </w:tc>
      </w:tr>
      <w:tr>
        <w:trPr>
          <w:trHeight w:val="180"/>
        </w:trPr>
        <w:tc>
          <w:tcPr>
            <w:tcW w:w="32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Foreign currency translation gains (losses), net of tax</w:t>
            </w:r>
          </w:p>
        </w:tc>
        <w:tc>
          <w:tcPr>
            <w:tcW w:w="3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224</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Pr>
          <w:p>
            <w:pPr>
              <w:spacing w:after="0"/>
              <w:rPr>
                <w:sz w:val="15"/>
                <w:szCs w:val="15"/>
                <w:color w:val="auto"/>
              </w:rPr>
            </w:pPr>
          </w:p>
        </w:tc>
      </w:tr>
      <w:tr>
        <w:trPr>
          <w:trHeight w:val="180"/>
        </w:trPr>
        <w:tc>
          <w:tcPr>
            <w:tcW w:w="3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Disposal of foreign entity</w:t>
            </w:r>
          </w:p>
        </w:tc>
        <w:tc>
          <w:tcPr>
            <w:tcW w:w="3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1,547</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5"/>
                <w:szCs w:val="15"/>
                <w:color w:val="auto"/>
              </w:rPr>
            </w:pPr>
          </w:p>
        </w:tc>
        <w:tc>
          <w:tcPr>
            <w:tcW w:w="12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r>
      <w:tr>
        <w:trPr>
          <w:trHeight w:val="171"/>
        </w:trPr>
        <w:tc>
          <w:tcPr>
            <w:tcW w:w="32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Comprehensive income</w:t>
            </w:r>
          </w:p>
        </w:tc>
        <w:tc>
          <w:tcPr>
            <w:tcW w:w="392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234,960</w:t>
            </w:r>
          </w:p>
        </w:tc>
        <w:tc>
          <w:tcPr>
            <w:tcW w:w="8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219,147</w:t>
            </w:r>
          </w:p>
        </w:tc>
        <w:tc>
          <w:tcPr>
            <w:tcW w:w="10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142,211</w:t>
            </w:r>
          </w:p>
        </w:tc>
        <w:tc>
          <w:tcPr>
            <w:tcW w:w="100" w:type="dxa"/>
            <w:vAlign w:val="bottom"/>
          </w:tcPr>
          <w:p>
            <w:pPr>
              <w:spacing w:after="0"/>
              <w:rPr>
                <w:sz w:val="14"/>
                <w:szCs w:val="14"/>
                <w:color w:val="auto"/>
              </w:rPr>
            </w:pPr>
          </w:p>
        </w:tc>
      </w:tr>
      <w:tr>
        <w:trPr>
          <w:trHeight w:val="20"/>
        </w:trPr>
        <w:tc>
          <w:tcPr>
            <w:tcW w:w="100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See notes to the consolidated financial statements.</w:t>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6" w:right="319" w:bottom="1440" w:gutter="0" w:footer="0" w:header="0"/>
        </w:sectPr>
      </w:pPr>
    </w:p>
    <w:bookmarkStart w:id="45" w:name="page46"/>
    <w:bookmarkEnd w:id="45"/>
    <w:tbl>
      <w:tblPr>
        <w:tblLayout w:type="fixed"/>
        <w:tblInd w:w="0" w:type="dxa"/>
        <w:tblCellMar>
          <w:top w:w="0" w:type="dxa"/>
          <w:left w:w="0" w:type="dxa"/>
          <w:bottom w:w="0" w:type="dxa"/>
          <w:right w:w="0" w:type="dxa"/>
        </w:tblCellMar>
      </w:tblPr>
      <w:tr>
        <w:trPr>
          <w:trHeight w:val="161"/>
        </w:trPr>
        <w:tc>
          <w:tcPr>
            <w:tcW w:w="3520" w:type="dxa"/>
            <w:vAlign w:val="bottom"/>
            <w:gridSpan w:val="2"/>
          </w:tcPr>
          <w:p>
            <w:pPr>
              <w:spacing w:after="0"/>
              <w:rPr>
                <w:sz w:val="20"/>
                <w:szCs w:val="20"/>
                <w:color w:val="auto"/>
              </w:rPr>
            </w:pPr>
            <w:r>
              <w:rPr>
                <w:rFonts w:ascii="Times New Roman" w:cs="Times New Roman" w:eastAsia="Times New Roman" w:hAnsi="Times New Roman"/>
                <w:sz w:val="14"/>
                <w:szCs w:val="14"/>
                <w:color w:val="0000FF"/>
              </w:rPr>
              <w:t>Table of Contents</w:t>
            </w:r>
          </w:p>
        </w:tc>
        <w:tc>
          <w:tcPr>
            <w:tcW w:w="46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32"/>
        </w:trPr>
        <w:tc>
          <w:tcPr>
            <w:tcW w:w="1000" w:type="dxa"/>
            <w:vAlign w:val="bottom"/>
            <w:tcBorders>
              <w:top w:val="single" w:sz="8" w:color="0000FF"/>
            </w:tcBorders>
          </w:tcPr>
          <w:p>
            <w:pPr>
              <w:spacing w:after="0"/>
              <w:rPr>
                <w:sz w:val="24"/>
                <w:szCs w:val="24"/>
                <w:color w:val="auto"/>
              </w:rPr>
            </w:pPr>
          </w:p>
        </w:tc>
        <w:tc>
          <w:tcPr>
            <w:tcW w:w="25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520" w:type="dxa"/>
            <w:vAlign w:val="bottom"/>
            <w:gridSpan w:val="8"/>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DYCOM INDUSTRIES, INC. AND SUBSIDIARIES</w:t>
            </w: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0"/>
        </w:trPr>
        <w:tc>
          <w:tcPr>
            <w:tcW w:w="100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5540" w:type="dxa"/>
            <w:vAlign w:val="bottom"/>
            <w:gridSpan w:val="12"/>
          </w:tcPr>
          <w:p>
            <w:pPr>
              <w:jc w:val="center"/>
              <w:ind w:right="1300"/>
              <w:spacing w:after="0"/>
              <w:rPr>
                <w:sz w:val="20"/>
                <w:szCs w:val="20"/>
                <w:color w:val="auto"/>
              </w:rPr>
            </w:pPr>
            <w:r>
              <w:rPr>
                <w:rFonts w:ascii="Times New Roman" w:cs="Times New Roman" w:eastAsia="Times New Roman" w:hAnsi="Times New Roman"/>
                <w:sz w:val="14"/>
                <w:szCs w:val="14"/>
                <w:b w:val="1"/>
                <w:bCs w:val="1"/>
                <w:color w:val="auto"/>
                <w:w w:val="99"/>
              </w:rPr>
              <w:t>CONSOLIDATED STATEMENTS OF STOCKHOLDERS</w:t>
            </w:r>
            <w:r>
              <w:rPr>
                <w:rFonts w:ascii="Times New Roman" w:cs="Times New Roman" w:eastAsia="Times New Roman" w:hAnsi="Times New Roman"/>
                <w:sz w:val="14"/>
                <w:szCs w:val="14"/>
                <w:color w:val="auto"/>
                <w:w w:val="99"/>
              </w:rPr>
              <w:t>’</w:t>
            </w:r>
            <w:r>
              <w:rPr>
                <w:rFonts w:ascii="Times New Roman" w:cs="Times New Roman" w:eastAsia="Times New Roman" w:hAnsi="Times New Roman"/>
                <w:sz w:val="14"/>
                <w:szCs w:val="14"/>
                <w:b w:val="1"/>
                <w:bCs w:val="1"/>
                <w:color w:val="auto"/>
                <w:w w:val="99"/>
              </w:rPr>
              <w:t xml:space="preserve"> EQUITY</w:t>
            </w: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1000" w:type="dxa"/>
            <w:vAlign w:val="bottom"/>
          </w:tcPr>
          <w:p>
            <w:pPr>
              <w:spacing w:after="0"/>
              <w:rPr>
                <w:sz w:val="16"/>
                <w:szCs w:val="16"/>
                <w:color w:val="auto"/>
              </w:rPr>
            </w:pPr>
          </w:p>
        </w:tc>
        <w:tc>
          <w:tcPr>
            <w:tcW w:w="25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380" w:type="dxa"/>
            <w:vAlign w:val="bottom"/>
            <w:gridSpan w:val="5"/>
          </w:tcPr>
          <w:p>
            <w:pPr>
              <w:jc w:val="center"/>
              <w:ind w:left="889"/>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87"/>
        </w:trPr>
        <w:tc>
          <w:tcPr>
            <w:tcW w:w="100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580" w:type="dxa"/>
            <w:vAlign w:val="bottom"/>
            <w:gridSpan w:val="3"/>
          </w:tcPr>
          <w:p>
            <w:pPr>
              <w:ind w:left="700"/>
              <w:spacing w:after="0"/>
              <w:rPr>
                <w:sz w:val="20"/>
                <w:szCs w:val="20"/>
                <w:color w:val="auto"/>
              </w:rPr>
            </w:pPr>
            <w:r>
              <w:rPr>
                <w:rFonts w:ascii="Times New Roman" w:cs="Times New Roman" w:eastAsia="Times New Roman" w:hAnsi="Times New Roman"/>
                <w:sz w:val="14"/>
                <w:szCs w:val="14"/>
                <w:color w:val="auto"/>
                <w:w w:val="98"/>
              </w:rPr>
              <w:t>Common Stock</w:t>
            </w: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color w:val="auto"/>
                <w:w w:val="99"/>
              </w:rPr>
              <w:t>Accumulated Other</w:t>
            </w: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
        </w:trPr>
        <w:tc>
          <w:tcPr>
            <w:tcW w:w="100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gridSpan w:val="2"/>
            <w:vMerge w:val="restart"/>
          </w:tcPr>
          <w:p>
            <w:pPr>
              <w:jc w:val="center"/>
              <w:ind w:right="180"/>
              <w:spacing w:after="0" w:line="138" w:lineRule="exact"/>
              <w:rPr>
                <w:sz w:val="20"/>
                <w:szCs w:val="20"/>
                <w:color w:val="auto"/>
              </w:rPr>
            </w:pPr>
            <w:r>
              <w:rPr>
                <w:rFonts w:ascii="Times New Roman" w:cs="Times New Roman" w:eastAsia="Times New Roman" w:hAnsi="Times New Roman"/>
                <w:sz w:val="14"/>
                <w:szCs w:val="14"/>
                <w:color w:val="auto"/>
              </w:rPr>
              <w:t>Additional</w:t>
            </w:r>
          </w:p>
        </w:tc>
        <w:tc>
          <w:tcPr>
            <w:tcW w:w="120" w:type="dxa"/>
            <w:vAlign w:val="bottom"/>
          </w:tcPr>
          <w:p>
            <w:pPr>
              <w:spacing w:after="0" w:line="20" w:lineRule="exact"/>
              <w:rPr>
                <w:sz w:val="1"/>
                <w:szCs w:val="1"/>
                <w:color w:val="auto"/>
              </w:rPr>
            </w:pPr>
          </w:p>
        </w:tc>
        <w:tc>
          <w:tcPr>
            <w:tcW w:w="1440" w:type="dxa"/>
            <w:vAlign w:val="bottom"/>
            <w:gridSpan w:val="2"/>
            <w:vMerge w:val="restart"/>
          </w:tcPr>
          <w:p>
            <w:pPr>
              <w:jc w:val="center"/>
              <w:ind w:right="220"/>
              <w:spacing w:after="0" w:line="138" w:lineRule="exact"/>
              <w:rPr>
                <w:sz w:val="20"/>
                <w:szCs w:val="20"/>
                <w:color w:val="auto"/>
              </w:rPr>
            </w:pPr>
            <w:r>
              <w:rPr>
                <w:rFonts w:ascii="Times New Roman" w:cs="Times New Roman" w:eastAsia="Times New Roman" w:hAnsi="Times New Roman"/>
                <w:sz w:val="14"/>
                <w:szCs w:val="14"/>
                <w:color w:val="auto"/>
              </w:rPr>
              <w:t>Comprehensive</w:t>
            </w:r>
          </w:p>
        </w:tc>
        <w:tc>
          <w:tcPr>
            <w:tcW w:w="180" w:type="dxa"/>
            <w:vAlign w:val="bottom"/>
          </w:tcPr>
          <w:p>
            <w:pPr>
              <w:spacing w:after="0" w:line="20" w:lineRule="exact"/>
              <w:rPr>
                <w:sz w:val="1"/>
                <w:szCs w:val="1"/>
                <w:color w:val="auto"/>
              </w:rPr>
            </w:pPr>
          </w:p>
        </w:tc>
        <w:tc>
          <w:tcPr>
            <w:tcW w:w="980" w:type="dxa"/>
            <w:vAlign w:val="bottom"/>
            <w:gridSpan w:val="2"/>
            <w:vMerge w:val="restart"/>
          </w:tcPr>
          <w:p>
            <w:pPr>
              <w:ind w:left="100"/>
              <w:spacing w:after="0" w:line="138" w:lineRule="exact"/>
              <w:rPr>
                <w:sz w:val="20"/>
                <w:szCs w:val="20"/>
                <w:color w:val="auto"/>
              </w:rPr>
            </w:pPr>
            <w:r>
              <w:rPr>
                <w:rFonts w:ascii="Times New Roman" w:cs="Times New Roman" w:eastAsia="Times New Roman" w:hAnsi="Times New Roman"/>
                <w:sz w:val="14"/>
                <w:szCs w:val="14"/>
                <w:color w:val="auto"/>
              </w:rPr>
              <w:t>Retained</w:t>
            </w:r>
          </w:p>
        </w:tc>
        <w:tc>
          <w:tcPr>
            <w:tcW w:w="200" w:type="dxa"/>
            <w:vAlign w:val="bottom"/>
          </w:tcPr>
          <w:p>
            <w:pPr>
              <w:spacing w:after="0" w:line="20" w:lineRule="exact"/>
              <w:rPr>
                <w:sz w:val="1"/>
                <w:szCs w:val="1"/>
                <w:color w:val="auto"/>
              </w:rPr>
            </w:pPr>
          </w:p>
        </w:tc>
        <w:tc>
          <w:tcPr>
            <w:tcW w:w="840" w:type="dxa"/>
            <w:vAlign w:val="bottom"/>
            <w:vMerge w:val="restart"/>
          </w:tcPr>
          <w:p>
            <w:pPr>
              <w:jc w:val="right"/>
              <w:ind w:right="309"/>
              <w:spacing w:after="0" w:line="138" w:lineRule="exact"/>
              <w:rPr>
                <w:sz w:val="20"/>
                <w:szCs w:val="20"/>
                <w:color w:val="auto"/>
              </w:rPr>
            </w:pPr>
            <w:r>
              <w:rPr>
                <w:rFonts w:ascii="Times New Roman" w:cs="Times New Roman" w:eastAsia="Times New Roman" w:hAnsi="Times New Roman"/>
                <w:sz w:val="14"/>
                <w:szCs w:val="14"/>
                <w:color w:val="auto"/>
              </w:rPr>
              <w:t>Total</w:t>
            </w:r>
          </w:p>
        </w:tc>
        <w:tc>
          <w:tcPr>
            <w:tcW w:w="0" w:type="dxa"/>
            <w:vAlign w:val="bottom"/>
          </w:tcPr>
          <w:p>
            <w:pPr>
              <w:spacing w:after="0"/>
              <w:rPr>
                <w:sz w:val="1"/>
                <w:szCs w:val="1"/>
                <w:color w:val="auto"/>
              </w:rPr>
            </w:pPr>
          </w:p>
        </w:tc>
      </w:tr>
      <w:tr>
        <w:trPr>
          <w:trHeight w:val="95"/>
        </w:trPr>
        <w:tc>
          <w:tcPr>
            <w:tcW w:w="1000" w:type="dxa"/>
            <w:vAlign w:val="bottom"/>
          </w:tcPr>
          <w:p>
            <w:pPr>
              <w:spacing w:after="0"/>
              <w:rPr>
                <w:sz w:val="8"/>
                <w:szCs w:val="8"/>
                <w:color w:val="auto"/>
              </w:rPr>
            </w:pPr>
          </w:p>
        </w:tc>
        <w:tc>
          <w:tcPr>
            <w:tcW w:w="25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106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44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98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8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91"/>
        </w:trPr>
        <w:tc>
          <w:tcPr>
            <w:tcW w:w="1000" w:type="dxa"/>
            <w:vAlign w:val="bottom"/>
          </w:tcPr>
          <w:p>
            <w:pPr>
              <w:spacing w:after="0"/>
              <w:rPr>
                <w:sz w:val="16"/>
                <w:szCs w:val="16"/>
                <w:color w:val="auto"/>
              </w:rPr>
            </w:pPr>
          </w:p>
        </w:tc>
        <w:tc>
          <w:tcPr>
            <w:tcW w:w="25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360" w:type="dxa"/>
            <w:vAlign w:val="bottom"/>
            <w:gridSpan w:val="2"/>
          </w:tcPr>
          <w:p>
            <w:pPr>
              <w:ind w:left="440"/>
              <w:spacing w:after="0"/>
              <w:rPr>
                <w:sz w:val="20"/>
                <w:szCs w:val="20"/>
                <w:color w:val="auto"/>
              </w:rPr>
            </w:pPr>
            <w:r>
              <w:rPr>
                <w:rFonts w:ascii="Times New Roman" w:cs="Times New Roman" w:eastAsia="Times New Roman" w:hAnsi="Times New Roman"/>
                <w:sz w:val="14"/>
                <w:szCs w:val="14"/>
                <w:color w:val="auto"/>
              </w:rPr>
              <w:t>Shares</w:t>
            </w:r>
          </w:p>
        </w:tc>
        <w:tc>
          <w:tcPr>
            <w:tcW w:w="220" w:type="dxa"/>
            <w:vAlign w:val="bottom"/>
          </w:tcPr>
          <w:p>
            <w:pPr>
              <w:spacing w:after="0"/>
              <w:rPr>
                <w:sz w:val="16"/>
                <w:szCs w:val="16"/>
                <w:color w:val="auto"/>
              </w:rPr>
            </w:pPr>
          </w:p>
        </w:tc>
        <w:tc>
          <w:tcPr>
            <w:tcW w:w="8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Amount</w:t>
            </w:r>
          </w:p>
        </w:tc>
        <w:tc>
          <w:tcPr>
            <w:tcW w:w="80" w:type="dxa"/>
            <w:vAlign w:val="bottom"/>
          </w:tcPr>
          <w:p>
            <w:pPr>
              <w:spacing w:after="0"/>
              <w:rPr>
                <w:sz w:val="16"/>
                <w:szCs w:val="16"/>
                <w:color w:val="auto"/>
              </w:rPr>
            </w:pPr>
          </w:p>
        </w:tc>
        <w:tc>
          <w:tcPr>
            <w:tcW w:w="106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color w:val="auto"/>
                <w:w w:val="99"/>
              </w:rPr>
              <w:t>Paid-in Capital</w:t>
            </w:r>
          </w:p>
        </w:tc>
        <w:tc>
          <w:tcPr>
            <w:tcW w:w="120" w:type="dxa"/>
            <w:vAlign w:val="bottom"/>
          </w:tcPr>
          <w:p>
            <w:pPr>
              <w:spacing w:after="0"/>
              <w:rPr>
                <w:sz w:val="16"/>
                <w:szCs w:val="16"/>
                <w:color w:val="auto"/>
              </w:rPr>
            </w:pPr>
          </w:p>
        </w:tc>
        <w:tc>
          <w:tcPr>
            <w:tcW w:w="14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color w:val="auto"/>
              </w:rPr>
              <w:t>Income (Loss)</w:t>
            </w:r>
          </w:p>
        </w:tc>
        <w:tc>
          <w:tcPr>
            <w:tcW w:w="180" w:type="dxa"/>
            <w:vAlign w:val="bottom"/>
          </w:tcPr>
          <w:p>
            <w:pPr>
              <w:spacing w:after="0"/>
              <w:rPr>
                <w:sz w:val="16"/>
                <w:szCs w:val="16"/>
                <w:color w:val="auto"/>
              </w:rPr>
            </w:pPr>
          </w:p>
        </w:tc>
        <w:tc>
          <w:tcPr>
            <w:tcW w:w="98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Earnings</w:t>
            </w:r>
          </w:p>
        </w:tc>
        <w:tc>
          <w:tcPr>
            <w:tcW w:w="200" w:type="dxa"/>
            <w:vAlign w:val="bottom"/>
          </w:tcPr>
          <w:p>
            <w:pPr>
              <w:spacing w:after="0"/>
              <w:rPr>
                <w:sz w:val="16"/>
                <w:szCs w:val="16"/>
                <w:color w:val="auto"/>
              </w:rPr>
            </w:pPr>
          </w:p>
        </w:tc>
        <w:tc>
          <w:tcPr>
            <w:tcW w:w="840" w:type="dxa"/>
            <w:vAlign w:val="bottom"/>
          </w:tcPr>
          <w:p>
            <w:pPr>
              <w:jc w:val="right"/>
              <w:ind w:right="269"/>
              <w:spacing w:after="0"/>
              <w:rPr>
                <w:sz w:val="20"/>
                <w:szCs w:val="20"/>
                <w:color w:val="auto"/>
              </w:rPr>
            </w:pPr>
            <w:r>
              <w:rPr>
                <w:rFonts w:ascii="Times New Roman" w:cs="Times New Roman" w:eastAsia="Times New Roman" w:hAnsi="Times New Roman"/>
                <w:sz w:val="14"/>
                <w:szCs w:val="14"/>
                <w:color w:val="auto"/>
              </w:rPr>
              <w:t>Equity</w:t>
            </w:r>
          </w:p>
        </w:tc>
        <w:tc>
          <w:tcPr>
            <w:tcW w:w="0" w:type="dxa"/>
            <w:vAlign w:val="bottom"/>
          </w:tcPr>
          <w:p>
            <w:pPr>
              <w:spacing w:after="0"/>
              <w:rPr>
                <w:sz w:val="1"/>
                <w:szCs w:val="1"/>
                <w:color w:val="auto"/>
              </w:rPr>
            </w:pPr>
          </w:p>
        </w:tc>
      </w:tr>
      <w:tr>
        <w:trPr>
          <w:trHeight w:val="171"/>
        </w:trPr>
        <w:tc>
          <w:tcPr>
            <w:tcW w:w="352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Balances as of January 29, 2022</w:t>
            </w:r>
          </w:p>
        </w:tc>
        <w:tc>
          <w:tcPr>
            <w:tcW w:w="460" w:type="dxa"/>
            <w:vAlign w:val="bottom"/>
            <w:tcBorders>
              <w:top w:val="single" w:sz="8" w:color="CCEEFF"/>
            </w:tcBorders>
            <w:shd w:val="clear" w:color="auto" w:fill="CCEEFF"/>
          </w:tcPr>
          <w:p>
            <w:pPr>
              <w:spacing w:after="0"/>
              <w:rPr>
                <w:sz w:val="14"/>
                <w:szCs w:val="14"/>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29,612,867</w:t>
            </w:r>
          </w:p>
        </w:tc>
        <w:tc>
          <w:tcPr>
            <w:tcW w:w="10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9,871</w:t>
            </w:r>
          </w:p>
        </w:tc>
        <w:tc>
          <w:tcPr>
            <w:tcW w:w="10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2,028</w:t>
            </w: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(1,769)</w:t>
            </w:r>
          </w:p>
        </w:tc>
        <w:tc>
          <w:tcPr>
            <w:tcW w:w="8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748,414</w:t>
            </w:r>
          </w:p>
        </w:tc>
        <w:tc>
          <w:tcPr>
            <w:tcW w:w="10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758,544</w:t>
            </w:r>
          </w:p>
        </w:tc>
        <w:tc>
          <w:tcPr>
            <w:tcW w:w="0" w:type="dxa"/>
            <w:vAlign w:val="bottom"/>
          </w:tcPr>
          <w:p>
            <w:pPr>
              <w:spacing w:after="0"/>
              <w:rPr>
                <w:sz w:val="1"/>
                <w:szCs w:val="1"/>
                <w:color w:val="auto"/>
              </w:rPr>
            </w:pPr>
          </w:p>
        </w:tc>
      </w:tr>
      <w:tr>
        <w:trPr>
          <w:trHeight w:val="180"/>
        </w:trPr>
        <w:tc>
          <w:tcPr>
            <w:tcW w:w="35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Stock options exercised</w:t>
            </w:r>
          </w:p>
        </w:tc>
        <w:tc>
          <w:tcPr>
            <w:tcW w:w="17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119,430</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4,517</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5"/>
                <w:szCs w:val="15"/>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4,557</w:t>
            </w:r>
          </w:p>
        </w:tc>
        <w:tc>
          <w:tcPr>
            <w:tcW w:w="0" w:type="dxa"/>
            <w:vAlign w:val="bottom"/>
          </w:tcPr>
          <w:p>
            <w:pPr>
              <w:spacing w:after="0"/>
              <w:rPr>
                <w:sz w:val="1"/>
                <w:szCs w:val="1"/>
                <w:color w:val="auto"/>
              </w:rPr>
            </w:pPr>
          </w:p>
        </w:tc>
      </w:tr>
      <w:tr>
        <w:trPr>
          <w:trHeight w:val="180"/>
        </w:trPr>
        <w:tc>
          <w:tcPr>
            <w:tcW w:w="35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Stock-based compensation</w:t>
            </w:r>
          </w:p>
        </w:tc>
        <w:tc>
          <w:tcPr>
            <w:tcW w:w="1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1,824</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17,926</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17,927</w:t>
            </w:r>
          </w:p>
        </w:tc>
        <w:tc>
          <w:tcPr>
            <w:tcW w:w="0" w:type="dxa"/>
            <w:vAlign w:val="bottom"/>
          </w:tcPr>
          <w:p>
            <w:pPr>
              <w:spacing w:after="0"/>
              <w:rPr>
                <w:sz w:val="1"/>
                <w:szCs w:val="1"/>
                <w:color w:val="auto"/>
              </w:rPr>
            </w:pPr>
          </w:p>
        </w:tc>
      </w:tr>
      <w:tr>
        <w:trPr>
          <w:trHeight w:val="180"/>
        </w:trPr>
        <w:tc>
          <w:tcPr>
            <w:tcW w:w="35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Issuance of restricted stock, net of tax withholdings</w:t>
            </w:r>
          </w:p>
        </w:tc>
        <w:tc>
          <w:tcPr>
            <w:tcW w:w="17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129,930</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(3,449)</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(2,346)</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(5,752)</w:t>
            </w:r>
          </w:p>
        </w:tc>
        <w:tc>
          <w:tcPr>
            <w:tcW w:w="0" w:type="dxa"/>
            <w:vAlign w:val="bottom"/>
          </w:tcPr>
          <w:p>
            <w:pPr>
              <w:spacing w:after="0"/>
              <w:rPr>
                <w:sz w:val="1"/>
                <w:szCs w:val="1"/>
                <w:color w:val="auto"/>
              </w:rPr>
            </w:pPr>
          </w:p>
        </w:tc>
      </w:tr>
      <w:tr>
        <w:trPr>
          <w:trHeight w:val="180"/>
        </w:trPr>
        <w:tc>
          <w:tcPr>
            <w:tcW w:w="35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Repurchase of common stock</w:t>
            </w:r>
          </w:p>
        </w:tc>
        <w:tc>
          <w:tcPr>
            <w:tcW w:w="1720" w:type="dxa"/>
            <w:vAlign w:val="bottom"/>
            <w:gridSpan w:val="2"/>
            <w:shd w:val="clear" w:color="auto" w:fill="CCEEFF"/>
          </w:tcPr>
          <w:p>
            <w:pPr>
              <w:ind w:left="1160"/>
              <w:spacing w:after="0"/>
              <w:rPr>
                <w:sz w:val="20"/>
                <w:szCs w:val="20"/>
                <w:color w:val="auto"/>
              </w:rPr>
            </w:pPr>
            <w:r>
              <w:rPr>
                <w:rFonts w:ascii="Times New Roman" w:cs="Times New Roman" w:eastAsia="Times New Roman" w:hAnsi="Times New Roman"/>
                <w:sz w:val="14"/>
                <w:szCs w:val="14"/>
                <w:color w:val="auto"/>
                <w:w w:val="98"/>
              </w:rPr>
              <w:t>(514,030)</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(172)</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(15,368)</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(33,192)</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(48,732)</w:t>
            </w:r>
          </w:p>
        </w:tc>
        <w:tc>
          <w:tcPr>
            <w:tcW w:w="0" w:type="dxa"/>
            <w:vAlign w:val="bottom"/>
          </w:tcPr>
          <w:p>
            <w:pPr>
              <w:spacing w:after="0"/>
              <w:rPr>
                <w:sz w:val="1"/>
                <w:szCs w:val="1"/>
                <w:color w:val="auto"/>
              </w:rPr>
            </w:pPr>
          </w:p>
        </w:tc>
      </w:tr>
      <w:tr>
        <w:trPr>
          <w:trHeight w:val="180"/>
        </w:trPr>
        <w:tc>
          <w:tcPr>
            <w:tcW w:w="35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Other comprehensive loss</w:t>
            </w:r>
          </w:p>
        </w:tc>
        <w:tc>
          <w:tcPr>
            <w:tcW w:w="460" w:type="dxa"/>
            <w:vAlign w:val="bottom"/>
          </w:tcPr>
          <w:p>
            <w:pPr>
              <w:spacing w:after="0"/>
              <w:rPr>
                <w:sz w:val="15"/>
                <w:szCs w:val="15"/>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0" w:type="dxa"/>
            <w:vAlign w:val="bottom"/>
          </w:tcPr>
          <w:p>
            <w:pPr>
              <w:spacing w:after="0"/>
              <w:rPr>
                <w:sz w:val="1"/>
                <w:szCs w:val="1"/>
                <w:color w:val="auto"/>
              </w:rPr>
            </w:pPr>
          </w:p>
        </w:tc>
      </w:tr>
      <w:tr>
        <w:trPr>
          <w:trHeight w:val="180"/>
        </w:trPr>
        <w:tc>
          <w:tcPr>
            <w:tcW w:w="35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460" w:type="dxa"/>
            <w:vAlign w:val="bottom"/>
            <w:shd w:val="clear" w:color="auto" w:fill="CCEEFF"/>
          </w:tcPr>
          <w:p>
            <w:pPr>
              <w:spacing w:after="0"/>
              <w:rPr>
                <w:sz w:val="15"/>
                <w:szCs w:val="15"/>
                <w:color w:val="auto"/>
              </w:rPr>
            </w:pP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5"/>
                <w:szCs w:val="15"/>
                <w:color w:val="auto"/>
              </w:rPr>
            </w:pPr>
          </w:p>
        </w:tc>
        <w:tc>
          <w:tcPr>
            <w:tcW w:w="14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142,213</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142,213</w:t>
            </w:r>
          </w:p>
        </w:tc>
        <w:tc>
          <w:tcPr>
            <w:tcW w:w="0" w:type="dxa"/>
            <w:vAlign w:val="bottom"/>
          </w:tcPr>
          <w:p>
            <w:pPr>
              <w:spacing w:after="0"/>
              <w:rPr>
                <w:sz w:val="1"/>
                <w:szCs w:val="1"/>
                <w:color w:val="auto"/>
              </w:rPr>
            </w:pPr>
          </w:p>
        </w:tc>
      </w:tr>
      <w:tr>
        <w:trPr>
          <w:trHeight w:val="171"/>
        </w:trPr>
        <w:tc>
          <w:tcPr>
            <w:tcW w:w="35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Balances as of January 28, 2023</w:t>
            </w:r>
          </w:p>
        </w:tc>
        <w:tc>
          <w:tcPr>
            <w:tcW w:w="460" w:type="dxa"/>
            <w:vAlign w:val="bottom"/>
          </w:tcPr>
          <w:p>
            <w:pPr>
              <w:spacing w:after="0"/>
              <w:rPr>
                <w:sz w:val="14"/>
                <w:szCs w:val="14"/>
                <w:color w:val="auto"/>
              </w:rPr>
            </w:pP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29,350,021</w:t>
            </w:r>
          </w:p>
        </w:tc>
        <w:tc>
          <w:tcPr>
            <w:tcW w:w="10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9,783</w:t>
            </w:r>
          </w:p>
        </w:tc>
        <w:tc>
          <w:tcPr>
            <w:tcW w:w="10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5,654</w:t>
            </w:r>
          </w:p>
        </w:tc>
        <w:tc>
          <w:tcPr>
            <w:tcW w:w="10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(1,771)</w:t>
            </w:r>
          </w:p>
        </w:tc>
        <w:tc>
          <w:tcPr>
            <w:tcW w:w="8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855,089</w:t>
            </w:r>
          </w:p>
        </w:tc>
        <w:tc>
          <w:tcPr>
            <w:tcW w:w="10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868,755</w:t>
            </w:r>
          </w:p>
        </w:tc>
        <w:tc>
          <w:tcPr>
            <w:tcW w:w="0" w:type="dxa"/>
            <w:vAlign w:val="bottom"/>
          </w:tcPr>
          <w:p>
            <w:pPr>
              <w:spacing w:after="0"/>
              <w:rPr>
                <w:sz w:val="1"/>
                <w:szCs w:val="1"/>
                <w:color w:val="auto"/>
              </w:rPr>
            </w:pPr>
          </w:p>
        </w:tc>
      </w:tr>
      <w:tr>
        <w:trPr>
          <w:trHeight w:val="180"/>
        </w:trPr>
        <w:tc>
          <w:tcPr>
            <w:tcW w:w="35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Stock options exercised</w:t>
            </w:r>
          </w:p>
        </w:tc>
        <w:tc>
          <w:tcPr>
            <w:tcW w:w="1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19,736</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1,142</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1,149</w:t>
            </w:r>
          </w:p>
        </w:tc>
        <w:tc>
          <w:tcPr>
            <w:tcW w:w="0" w:type="dxa"/>
            <w:vAlign w:val="bottom"/>
          </w:tcPr>
          <w:p>
            <w:pPr>
              <w:spacing w:after="0"/>
              <w:rPr>
                <w:sz w:val="1"/>
                <w:szCs w:val="1"/>
                <w:color w:val="auto"/>
              </w:rPr>
            </w:pPr>
          </w:p>
        </w:tc>
      </w:tr>
      <w:tr>
        <w:trPr>
          <w:trHeight w:val="180"/>
        </w:trPr>
        <w:tc>
          <w:tcPr>
            <w:tcW w:w="35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Stock-based compensation</w:t>
            </w:r>
          </w:p>
        </w:tc>
        <w:tc>
          <w:tcPr>
            <w:tcW w:w="17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1,759</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25,456</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5"/>
                <w:szCs w:val="15"/>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25,457</w:t>
            </w:r>
          </w:p>
        </w:tc>
        <w:tc>
          <w:tcPr>
            <w:tcW w:w="0" w:type="dxa"/>
            <w:vAlign w:val="bottom"/>
          </w:tcPr>
          <w:p>
            <w:pPr>
              <w:spacing w:after="0"/>
              <w:rPr>
                <w:sz w:val="1"/>
                <w:szCs w:val="1"/>
                <w:color w:val="auto"/>
              </w:rPr>
            </w:pPr>
          </w:p>
        </w:tc>
      </w:tr>
      <w:tr>
        <w:trPr>
          <w:trHeight w:val="180"/>
        </w:trPr>
        <w:tc>
          <w:tcPr>
            <w:tcW w:w="35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Issuance of restricted stock, net of tax withholdings</w:t>
            </w:r>
          </w:p>
        </w:tc>
        <w:tc>
          <w:tcPr>
            <w:tcW w:w="1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204,762</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(6,072)</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(3,899)</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(9,903)</w:t>
            </w:r>
          </w:p>
        </w:tc>
        <w:tc>
          <w:tcPr>
            <w:tcW w:w="0" w:type="dxa"/>
            <w:vAlign w:val="bottom"/>
          </w:tcPr>
          <w:p>
            <w:pPr>
              <w:spacing w:after="0"/>
              <w:rPr>
                <w:sz w:val="1"/>
                <w:szCs w:val="1"/>
                <w:color w:val="auto"/>
              </w:rPr>
            </w:pPr>
          </w:p>
        </w:tc>
      </w:tr>
      <w:tr>
        <w:trPr>
          <w:trHeight w:val="180"/>
        </w:trPr>
        <w:tc>
          <w:tcPr>
            <w:tcW w:w="35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Repurchase of common stock, including applicable excise tax</w:t>
            </w:r>
          </w:p>
        </w:tc>
        <w:tc>
          <w:tcPr>
            <w:tcW w:w="1720" w:type="dxa"/>
            <w:vAlign w:val="bottom"/>
            <w:gridSpan w:val="2"/>
          </w:tcPr>
          <w:p>
            <w:pPr>
              <w:ind w:left="1160"/>
              <w:spacing w:after="0"/>
              <w:rPr>
                <w:sz w:val="20"/>
                <w:szCs w:val="20"/>
                <w:color w:val="auto"/>
              </w:rPr>
            </w:pPr>
            <w:r>
              <w:rPr>
                <w:rFonts w:ascii="Times New Roman" w:cs="Times New Roman" w:eastAsia="Times New Roman" w:hAnsi="Times New Roman"/>
                <w:sz w:val="14"/>
                <w:szCs w:val="14"/>
                <w:color w:val="auto"/>
                <w:w w:val="98"/>
              </w:rPr>
              <w:t>(485,000)</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(162)</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(19,963)</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(29,824)</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(49,949)</w:t>
            </w:r>
          </w:p>
        </w:tc>
        <w:tc>
          <w:tcPr>
            <w:tcW w:w="0" w:type="dxa"/>
            <w:vAlign w:val="bottom"/>
          </w:tcPr>
          <w:p>
            <w:pPr>
              <w:spacing w:after="0"/>
              <w:rPr>
                <w:sz w:val="1"/>
                <w:szCs w:val="1"/>
                <w:color w:val="auto"/>
              </w:rPr>
            </w:pPr>
          </w:p>
        </w:tc>
      </w:tr>
      <w:tr>
        <w:trPr>
          <w:trHeight w:val="180"/>
        </w:trPr>
        <w:tc>
          <w:tcPr>
            <w:tcW w:w="35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comprehensive income</w:t>
            </w:r>
          </w:p>
        </w:tc>
        <w:tc>
          <w:tcPr>
            <w:tcW w:w="460" w:type="dxa"/>
            <w:vAlign w:val="bottom"/>
            <w:shd w:val="clear" w:color="auto" w:fill="CCEEFF"/>
          </w:tcPr>
          <w:p>
            <w:pPr>
              <w:spacing w:after="0"/>
              <w:rPr>
                <w:sz w:val="15"/>
                <w:szCs w:val="15"/>
                <w:color w:val="auto"/>
              </w:rPr>
            </w:pP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5"/>
                <w:szCs w:val="15"/>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224</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224</w:t>
            </w:r>
          </w:p>
        </w:tc>
        <w:tc>
          <w:tcPr>
            <w:tcW w:w="0" w:type="dxa"/>
            <w:vAlign w:val="bottom"/>
          </w:tcPr>
          <w:p>
            <w:pPr>
              <w:spacing w:after="0"/>
              <w:rPr>
                <w:sz w:val="1"/>
                <w:szCs w:val="1"/>
                <w:color w:val="auto"/>
              </w:rPr>
            </w:pPr>
          </w:p>
        </w:tc>
      </w:tr>
      <w:tr>
        <w:trPr>
          <w:trHeight w:val="180"/>
        </w:trPr>
        <w:tc>
          <w:tcPr>
            <w:tcW w:w="35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460" w:type="dxa"/>
            <w:vAlign w:val="bottom"/>
          </w:tcPr>
          <w:p>
            <w:pPr>
              <w:spacing w:after="0"/>
              <w:rPr>
                <w:sz w:val="15"/>
                <w:szCs w:val="15"/>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4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218,923</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218,923</w:t>
            </w:r>
          </w:p>
        </w:tc>
        <w:tc>
          <w:tcPr>
            <w:tcW w:w="0" w:type="dxa"/>
            <w:vAlign w:val="bottom"/>
          </w:tcPr>
          <w:p>
            <w:pPr>
              <w:spacing w:after="0"/>
              <w:rPr>
                <w:sz w:val="1"/>
                <w:szCs w:val="1"/>
                <w:color w:val="auto"/>
              </w:rPr>
            </w:pPr>
          </w:p>
        </w:tc>
      </w:tr>
      <w:tr>
        <w:trPr>
          <w:trHeight w:val="171"/>
        </w:trPr>
        <w:tc>
          <w:tcPr>
            <w:tcW w:w="352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Balances as of January 27, 2024</w:t>
            </w:r>
          </w:p>
        </w:tc>
        <w:tc>
          <w:tcPr>
            <w:tcW w:w="460" w:type="dxa"/>
            <w:vAlign w:val="bottom"/>
            <w:tcBorders>
              <w:top w:val="single" w:sz="8" w:color="CCEEFF"/>
            </w:tcBorders>
            <w:shd w:val="clear" w:color="auto" w:fill="CCEEFF"/>
          </w:tcPr>
          <w:p>
            <w:pPr>
              <w:spacing w:after="0"/>
              <w:rPr>
                <w:sz w:val="14"/>
                <w:szCs w:val="14"/>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29,091,278</w:t>
            </w:r>
          </w:p>
        </w:tc>
        <w:tc>
          <w:tcPr>
            <w:tcW w:w="10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spacing w:after="0"/>
              <w:rPr>
                <w:sz w:val="14"/>
                <w:szCs w:val="14"/>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9,697</w:t>
            </w:r>
          </w:p>
        </w:tc>
        <w:tc>
          <w:tcPr>
            <w:tcW w:w="10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6,217</w:t>
            </w: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(1,547)</w:t>
            </w:r>
          </w:p>
        </w:tc>
        <w:tc>
          <w:tcPr>
            <w:tcW w:w="8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1,040,289</w:t>
            </w:r>
          </w:p>
        </w:tc>
        <w:tc>
          <w:tcPr>
            <w:tcW w:w="10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1,054,656</w:t>
            </w:r>
          </w:p>
        </w:tc>
        <w:tc>
          <w:tcPr>
            <w:tcW w:w="0" w:type="dxa"/>
            <w:vAlign w:val="bottom"/>
          </w:tcPr>
          <w:p>
            <w:pPr>
              <w:spacing w:after="0"/>
              <w:rPr>
                <w:sz w:val="1"/>
                <w:szCs w:val="1"/>
                <w:color w:val="auto"/>
              </w:rPr>
            </w:pPr>
          </w:p>
        </w:tc>
      </w:tr>
      <w:tr>
        <w:trPr>
          <w:trHeight w:val="180"/>
        </w:trPr>
        <w:tc>
          <w:tcPr>
            <w:tcW w:w="35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Stock options exercised</w:t>
            </w:r>
          </w:p>
        </w:tc>
        <w:tc>
          <w:tcPr>
            <w:tcW w:w="17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74,669</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(7,984)</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5"/>
                <w:szCs w:val="15"/>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(7,959)</w:t>
            </w:r>
          </w:p>
        </w:tc>
        <w:tc>
          <w:tcPr>
            <w:tcW w:w="0" w:type="dxa"/>
            <w:vAlign w:val="bottom"/>
          </w:tcPr>
          <w:p>
            <w:pPr>
              <w:spacing w:after="0"/>
              <w:rPr>
                <w:sz w:val="1"/>
                <w:szCs w:val="1"/>
                <w:color w:val="auto"/>
              </w:rPr>
            </w:pPr>
          </w:p>
        </w:tc>
      </w:tr>
      <w:tr>
        <w:trPr>
          <w:trHeight w:val="180"/>
        </w:trPr>
        <w:tc>
          <w:tcPr>
            <w:tcW w:w="35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Stock-based compensation</w:t>
            </w:r>
          </w:p>
        </w:tc>
        <w:tc>
          <w:tcPr>
            <w:tcW w:w="1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1,075</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40,320</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40,320</w:t>
            </w:r>
          </w:p>
        </w:tc>
        <w:tc>
          <w:tcPr>
            <w:tcW w:w="0" w:type="dxa"/>
            <w:vAlign w:val="bottom"/>
          </w:tcPr>
          <w:p>
            <w:pPr>
              <w:spacing w:after="0"/>
              <w:rPr>
                <w:sz w:val="1"/>
                <w:szCs w:val="1"/>
                <w:color w:val="auto"/>
              </w:rPr>
            </w:pPr>
          </w:p>
        </w:tc>
      </w:tr>
      <w:tr>
        <w:trPr>
          <w:trHeight w:val="180"/>
        </w:trPr>
        <w:tc>
          <w:tcPr>
            <w:tcW w:w="35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Issuance of restricted stock, net of tax withholdings</w:t>
            </w:r>
          </w:p>
        </w:tc>
        <w:tc>
          <w:tcPr>
            <w:tcW w:w="17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221,927</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(6,815)</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(10,303)</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(17,044)</w:t>
            </w:r>
          </w:p>
        </w:tc>
        <w:tc>
          <w:tcPr>
            <w:tcW w:w="0" w:type="dxa"/>
            <w:vAlign w:val="bottom"/>
          </w:tcPr>
          <w:p>
            <w:pPr>
              <w:spacing w:after="0"/>
              <w:rPr>
                <w:sz w:val="1"/>
                <w:szCs w:val="1"/>
                <w:color w:val="auto"/>
              </w:rPr>
            </w:pPr>
          </w:p>
        </w:tc>
      </w:tr>
      <w:tr>
        <w:trPr>
          <w:trHeight w:val="180"/>
        </w:trPr>
        <w:tc>
          <w:tcPr>
            <w:tcW w:w="35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Repurchase of common stock, including applicable excise tax</w:t>
            </w:r>
          </w:p>
        </w:tc>
        <w:tc>
          <w:tcPr>
            <w:tcW w:w="1720" w:type="dxa"/>
            <w:vAlign w:val="bottom"/>
            <w:gridSpan w:val="2"/>
            <w:shd w:val="clear" w:color="auto" w:fill="CCEEFF"/>
          </w:tcPr>
          <w:p>
            <w:pPr>
              <w:ind w:left="1160"/>
              <w:spacing w:after="0"/>
              <w:rPr>
                <w:sz w:val="20"/>
                <w:szCs w:val="20"/>
                <w:color w:val="auto"/>
              </w:rPr>
            </w:pPr>
            <w:r>
              <w:rPr>
                <w:rFonts w:ascii="Times New Roman" w:cs="Times New Roman" w:eastAsia="Times New Roman" w:hAnsi="Times New Roman"/>
                <w:sz w:val="14"/>
                <w:szCs w:val="14"/>
                <w:color w:val="auto"/>
                <w:w w:val="98"/>
              </w:rPr>
              <w:t>(410,000)</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(137)</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(22,747)</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(42,952)</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(65,836)</w:t>
            </w:r>
          </w:p>
        </w:tc>
        <w:tc>
          <w:tcPr>
            <w:tcW w:w="0" w:type="dxa"/>
            <w:vAlign w:val="bottom"/>
          </w:tcPr>
          <w:p>
            <w:pPr>
              <w:spacing w:after="0"/>
              <w:rPr>
                <w:sz w:val="1"/>
                <w:szCs w:val="1"/>
                <w:color w:val="auto"/>
              </w:rPr>
            </w:pPr>
          </w:p>
        </w:tc>
      </w:tr>
      <w:tr>
        <w:trPr>
          <w:trHeight w:val="180"/>
        </w:trPr>
        <w:tc>
          <w:tcPr>
            <w:tcW w:w="35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Disposal of foreign entity</w:t>
            </w:r>
          </w:p>
        </w:tc>
        <w:tc>
          <w:tcPr>
            <w:tcW w:w="460" w:type="dxa"/>
            <w:vAlign w:val="bottom"/>
          </w:tcPr>
          <w:p>
            <w:pPr>
              <w:spacing w:after="0"/>
              <w:rPr>
                <w:sz w:val="15"/>
                <w:szCs w:val="15"/>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1,547</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1,547</w:t>
            </w:r>
          </w:p>
        </w:tc>
        <w:tc>
          <w:tcPr>
            <w:tcW w:w="0" w:type="dxa"/>
            <w:vAlign w:val="bottom"/>
          </w:tcPr>
          <w:p>
            <w:pPr>
              <w:spacing w:after="0"/>
              <w:rPr>
                <w:sz w:val="1"/>
                <w:szCs w:val="1"/>
                <w:color w:val="auto"/>
              </w:rPr>
            </w:pPr>
          </w:p>
        </w:tc>
      </w:tr>
      <w:tr>
        <w:trPr>
          <w:trHeight w:val="180"/>
        </w:trPr>
        <w:tc>
          <w:tcPr>
            <w:tcW w:w="35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460" w:type="dxa"/>
            <w:vAlign w:val="bottom"/>
            <w:shd w:val="clear" w:color="auto" w:fill="CCEEFF"/>
          </w:tcPr>
          <w:p>
            <w:pPr>
              <w:spacing w:after="0"/>
              <w:rPr>
                <w:sz w:val="15"/>
                <w:szCs w:val="15"/>
                <w:color w:val="auto"/>
              </w:rPr>
            </w:pP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5"/>
                <w:szCs w:val="15"/>
                <w:color w:val="auto"/>
              </w:rPr>
            </w:pPr>
          </w:p>
        </w:tc>
        <w:tc>
          <w:tcPr>
            <w:tcW w:w="14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233,413</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233,413</w:t>
            </w:r>
          </w:p>
        </w:tc>
        <w:tc>
          <w:tcPr>
            <w:tcW w:w="0" w:type="dxa"/>
            <w:vAlign w:val="bottom"/>
          </w:tcPr>
          <w:p>
            <w:pPr>
              <w:spacing w:after="0"/>
              <w:rPr>
                <w:sz w:val="1"/>
                <w:szCs w:val="1"/>
                <w:color w:val="auto"/>
              </w:rPr>
            </w:pPr>
          </w:p>
        </w:tc>
      </w:tr>
      <w:tr>
        <w:trPr>
          <w:trHeight w:val="171"/>
        </w:trPr>
        <w:tc>
          <w:tcPr>
            <w:tcW w:w="35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Balances as of January 25, 2025</w:t>
            </w:r>
          </w:p>
        </w:tc>
        <w:tc>
          <w:tcPr>
            <w:tcW w:w="460" w:type="dxa"/>
            <w:vAlign w:val="bottom"/>
          </w:tcPr>
          <w:p>
            <w:pPr>
              <w:spacing w:after="0"/>
              <w:rPr>
                <w:sz w:val="14"/>
                <w:szCs w:val="14"/>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28,978,949</w:t>
            </w:r>
          </w:p>
        </w:tc>
        <w:tc>
          <w:tcPr>
            <w:tcW w:w="100" w:type="dxa"/>
            <w:vAlign w:val="bottom"/>
          </w:tcPr>
          <w:p>
            <w:pPr>
              <w:spacing w:after="0"/>
              <w:rPr>
                <w:sz w:val="14"/>
                <w:szCs w:val="14"/>
                <w:color w:val="auto"/>
              </w:rPr>
            </w:pPr>
          </w:p>
        </w:tc>
        <w:tc>
          <w:tcPr>
            <w:tcW w:w="220" w:type="dxa"/>
            <w:vAlign w:val="bottom"/>
            <w:tcBorders>
              <w:top w:val="single" w:sz="8" w:color="auto"/>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9,659</w:t>
            </w:r>
          </w:p>
        </w:tc>
        <w:tc>
          <w:tcPr>
            <w:tcW w:w="100" w:type="dxa"/>
            <w:vAlign w:val="bottom"/>
          </w:tcPr>
          <w:p>
            <w:pPr>
              <w:spacing w:after="0"/>
              <w:rPr>
                <w:sz w:val="14"/>
                <w:szCs w:val="14"/>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8,991</w:t>
            </w:r>
          </w:p>
        </w:tc>
        <w:tc>
          <w:tcPr>
            <w:tcW w:w="10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180" w:type="dxa"/>
            <w:vAlign w:val="bottom"/>
            <w:tcBorders>
              <w:top w:val="single" w:sz="8" w:color="auto"/>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1,220,447</w:t>
            </w:r>
          </w:p>
        </w:tc>
        <w:tc>
          <w:tcPr>
            <w:tcW w:w="100" w:type="dxa"/>
            <w:vAlign w:val="bottom"/>
          </w:tcPr>
          <w:p>
            <w:pPr>
              <w:spacing w:after="0"/>
              <w:rPr>
                <w:sz w:val="14"/>
                <w:szCs w:val="14"/>
                <w:color w:val="auto"/>
              </w:rPr>
            </w:pPr>
          </w:p>
        </w:tc>
        <w:tc>
          <w:tcPr>
            <w:tcW w:w="200" w:type="dxa"/>
            <w:vAlign w:val="bottom"/>
            <w:tcBorders>
              <w:top w:val="single" w:sz="8" w:color="auto"/>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1,239,097</w:t>
            </w: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See notes to the consolidated financial statements.</w:t>
      </w:r>
    </w:p>
    <w:p>
      <w:pPr>
        <w:spacing w:after="0" w:line="200" w:lineRule="exact"/>
        <w:rPr>
          <w:sz w:val="20"/>
          <w:szCs w:val="20"/>
          <w:color w:val="auto"/>
        </w:rPr>
      </w:pPr>
    </w:p>
    <w:p>
      <w:pPr>
        <w:spacing w:after="0" w:line="2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16"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DYCOM INDUSTRIES, INC. 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(Dollars in thousands)</w:t>
      </w:r>
    </w:p>
    <w:p>
      <w:pPr>
        <w:spacing w:after="0" w:line="200" w:lineRule="exact"/>
        <w:rPr>
          <w:sz w:val="20"/>
          <w:szCs w:val="20"/>
          <w:color w:val="auto"/>
        </w:rPr>
      </w:pP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5220" w:type="dxa"/>
            <w:vAlign w:val="bottom"/>
          </w:tcPr>
          <w:p>
            <w:pPr>
              <w:spacing w:after="0"/>
              <w:rPr>
                <w:sz w:val="16"/>
                <w:szCs w:val="16"/>
                <w:color w:val="auto"/>
              </w:rPr>
            </w:pPr>
          </w:p>
        </w:tc>
        <w:tc>
          <w:tcPr>
            <w:tcW w:w="214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9"/>
              </w:rPr>
              <w:t>Fiscal Year Ended</w:t>
            </w:r>
          </w:p>
        </w:tc>
        <w:tc>
          <w:tcPr>
            <w:tcW w:w="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82"/>
        </w:trPr>
        <w:tc>
          <w:tcPr>
            <w:tcW w:w="5220" w:type="dxa"/>
            <w:vAlign w:val="bottom"/>
          </w:tcPr>
          <w:p>
            <w:pPr>
              <w:spacing w:after="0"/>
              <w:rPr>
                <w:sz w:val="15"/>
                <w:szCs w:val="15"/>
                <w:color w:val="auto"/>
              </w:rPr>
            </w:pPr>
          </w:p>
        </w:tc>
        <w:tc>
          <w:tcPr>
            <w:tcW w:w="2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January 25, 2025</w:t>
            </w:r>
          </w:p>
        </w:tc>
        <w:tc>
          <w:tcPr>
            <w:tcW w:w="80" w:type="dxa"/>
            <w:vAlign w:val="bottom"/>
          </w:tcPr>
          <w:p>
            <w:pPr>
              <w:spacing w:after="0"/>
              <w:rPr>
                <w:sz w:val="15"/>
                <w:szCs w:val="15"/>
                <w:color w:val="auto"/>
              </w:rPr>
            </w:pPr>
          </w:p>
        </w:tc>
        <w:tc>
          <w:tcPr>
            <w:tcW w:w="122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January 27, 2024</w:t>
            </w:r>
          </w:p>
        </w:tc>
        <w:tc>
          <w:tcPr>
            <w:tcW w:w="80" w:type="dxa"/>
            <w:vAlign w:val="bottom"/>
          </w:tcPr>
          <w:p>
            <w:pPr>
              <w:spacing w:after="0"/>
              <w:rPr>
                <w:sz w:val="15"/>
                <w:szCs w:val="15"/>
                <w:color w:val="auto"/>
              </w:rPr>
            </w:pPr>
          </w:p>
        </w:tc>
        <w:tc>
          <w:tcPr>
            <w:tcW w:w="1120" w:type="dxa"/>
            <w:vAlign w:val="bottom"/>
          </w:tcPr>
          <w:p>
            <w:pPr>
              <w:jc w:val="right"/>
              <w:ind w:right="9"/>
              <w:spacing w:after="0"/>
              <w:rPr>
                <w:sz w:val="20"/>
                <w:szCs w:val="20"/>
                <w:color w:val="auto"/>
              </w:rPr>
            </w:pPr>
            <w:r>
              <w:rPr>
                <w:rFonts w:ascii="Times New Roman" w:cs="Times New Roman" w:eastAsia="Times New Roman" w:hAnsi="Times New Roman"/>
                <w:sz w:val="14"/>
                <w:szCs w:val="14"/>
                <w:b w:val="1"/>
                <w:bCs w:val="1"/>
                <w:color w:val="auto"/>
                <w:w w:val="99"/>
              </w:rPr>
              <w:t>January 28, 2023</w:t>
            </w:r>
          </w:p>
        </w:tc>
        <w:tc>
          <w:tcPr>
            <w:tcW w:w="100" w:type="dxa"/>
            <w:vAlign w:val="bottom"/>
          </w:tcPr>
          <w:p>
            <w:pPr>
              <w:spacing w:after="0"/>
              <w:rPr>
                <w:sz w:val="15"/>
                <w:szCs w:val="15"/>
                <w:color w:val="auto"/>
              </w:rPr>
            </w:pPr>
          </w:p>
        </w:tc>
      </w:tr>
      <w:tr>
        <w:trPr>
          <w:trHeight w:val="180"/>
        </w:trPr>
        <w:tc>
          <w:tcPr>
            <w:tcW w:w="52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operating activities:</w:t>
            </w:r>
          </w:p>
        </w:tc>
        <w:tc>
          <w:tcPr>
            <w:tcW w:w="214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1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1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1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81"/>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2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233,413</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218,923</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142,213</w:t>
            </w:r>
          </w:p>
        </w:tc>
        <w:tc>
          <w:tcPr>
            <w:tcW w:w="100" w:type="dxa"/>
            <w:vAlign w:val="bottom"/>
            <w:shd w:val="clear" w:color="auto" w:fill="CCEEFF"/>
          </w:tcPr>
          <w:p>
            <w:pPr>
              <w:spacing w:after="0"/>
              <w:rPr>
                <w:sz w:val="15"/>
                <w:szCs w:val="15"/>
                <w:color w:val="auto"/>
              </w:rPr>
            </w:pPr>
          </w:p>
        </w:tc>
      </w:tr>
      <w:tr>
        <w:trPr>
          <w:trHeight w:val="180"/>
        </w:trPr>
        <w:tc>
          <w:tcPr>
            <w:tcW w:w="5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Adjustments to reconcile net income to net cash provided by operating activities:</w:t>
            </w:r>
          </w:p>
        </w:tc>
        <w:tc>
          <w:tcPr>
            <w:tcW w:w="2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80"/>
        </w:trPr>
        <w:tc>
          <w:tcPr>
            <w:tcW w:w="52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2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198,571</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163,092</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144,181</w:t>
            </w:r>
          </w:p>
        </w:tc>
        <w:tc>
          <w:tcPr>
            <w:tcW w:w="100" w:type="dxa"/>
            <w:vAlign w:val="bottom"/>
            <w:shd w:val="clear" w:color="auto" w:fill="CCEEFF"/>
          </w:tcPr>
          <w:p>
            <w:pPr>
              <w:spacing w:after="0"/>
              <w:rPr>
                <w:sz w:val="15"/>
                <w:szCs w:val="15"/>
                <w:color w:val="auto"/>
              </w:rPr>
            </w:pPr>
          </w:p>
        </w:tc>
      </w:tr>
      <w:tr>
        <w:trPr>
          <w:trHeight w:val="180"/>
        </w:trPr>
        <w:tc>
          <w:tcPr>
            <w:tcW w:w="52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Non-cash lease expense</w:t>
            </w:r>
          </w:p>
        </w:tc>
        <w:tc>
          <w:tcPr>
            <w:tcW w:w="2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41,030</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35,181</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32,069</w:t>
            </w:r>
          </w:p>
        </w:tc>
        <w:tc>
          <w:tcPr>
            <w:tcW w:w="100" w:type="dxa"/>
            <w:vAlign w:val="bottom"/>
          </w:tcPr>
          <w:p>
            <w:pPr>
              <w:spacing w:after="0"/>
              <w:rPr>
                <w:sz w:val="15"/>
                <w:szCs w:val="15"/>
                <w:color w:val="auto"/>
              </w:rPr>
            </w:pPr>
          </w:p>
        </w:tc>
      </w:tr>
      <w:tr>
        <w:trPr>
          <w:trHeight w:val="180"/>
        </w:trPr>
        <w:tc>
          <w:tcPr>
            <w:tcW w:w="52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Deferred income tax (benefit) provision</w:t>
            </w:r>
          </w:p>
        </w:tc>
        <w:tc>
          <w:tcPr>
            <w:tcW w:w="2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(17,390)</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(10,643)</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4,532</w:t>
            </w:r>
          </w:p>
        </w:tc>
        <w:tc>
          <w:tcPr>
            <w:tcW w:w="100" w:type="dxa"/>
            <w:vAlign w:val="bottom"/>
            <w:shd w:val="clear" w:color="auto" w:fill="CCEEFF"/>
          </w:tcPr>
          <w:p>
            <w:pPr>
              <w:spacing w:after="0"/>
              <w:rPr>
                <w:sz w:val="15"/>
                <w:szCs w:val="15"/>
                <w:color w:val="auto"/>
              </w:rPr>
            </w:pPr>
          </w:p>
        </w:tc>
      </w:tr>
      <w:tr>
        <w:trPr>
          <w:trHeight w:val="180"/>
        </w:trPr>
        <w:tc>
          <w:tcPr>
            <w:tcW w:w="52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Stock-based compensation</w:t>
            </w:r>
          </w:p>
        </w:tc>
        <w:tc>
          <w:tcPr>
            <w:tcW w:w="2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40,320</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25,457</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17,927</w:t>
            </w:r>
          </w:p>
        </w:tc>
        <w:tc>
          <w:tcPr>
            <w:tcW w:w="100" w:type="dxa"/>
            <w:vAlign w:val="bottom"/>
          </w:tcPr>
          <w:p>
            <w:pPr>
              <w:spacing w:after="0"/>
              <w:rPr>
                <w:sz w:val="15"/>
                <w:szCs w:val="15"/>
                <w:color w:val="auto"/>
              </w:rPr>
            </w:pPr>
          </w:p>
        </w:tc>
      </w:tr>
      <w:tr>
        <w:trPr>
          <w:trHeight w:val="180"/>
        </w:trPr>
        <w:tc>
          <w:tcPr>
            <w:tcW w:w="52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(Recovery of) provision for bad debt, net</w:t>
            </w:r>
          </w:p>
        </w:tc>
        <w:tc>
          <w:tcPr>
            <w:tcW w:w="2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(1,184)</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274</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2,600</w:t>
            </w:r>
          </w:p>
        </w:tc>
        <w:tc>
          <w:tcPr>
            <w:tcW w:w="100" w:type="dxa"/>
            <w:vAlign w:val="bottom"/>
            <w:shd w:val="clear" w:color="auto" w:fill="CCEEFF"/>
          </w:tcPr>
          <w:p>
            <w:pPr>
              <w:spacing w:after="0"/>
              <w:rPr>
                <w:sz w:val="15"/>
                <w:szCs w:val="15"/>
                <w:color w:val="auto"/>
              </w:rPr>
            </w:pPr>
          </w:p>
        </w:tc>
      </w:tr>
      <w:tr>
        <w:trPr>
          <w:trHeight w:val="180"/>
        </w:trPr>
        <w:tc>
          <w:tcPr>
            <w:tcW w:w="52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Gain on sale of fixed assets</w:t>
            </w:r>
          </w:p>
        </w:tc>
        <w:tc>
          <w:tcPr>
            <w:tcW w:w="2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(36,461)</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(28,348)</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(16,759)</w:t>
            </w:r>
          </w:p>
        </w:tc>
        <w:tc>
          <w:tcPr>
            <w:tcW w:w="100" w:type="dxa"/>
            <w:vAlign w:val="bottom"/>
          </w:tcPr>
          <w:p>
            <w:pPr>
              <w:spacing w:after="0"/>
              <w:rPr>
                <w:sz w:val="15"/>
                <w:szCs w:val="15"/>
                <w:color w:val="auto"/>
              </w:rPr>
            </w:pPr>
          </w:p>
        </w:tc>
      </w:tr>
      <w:tr>
        <w:trPr>
          <w:trHeight w:val="180"/>
        </w:trPr>
        <w:tc>
          <w:tcPr>
            <w:tcW w:w="52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Loss on debt extinguishment</w:t>
            </w:r>
          </w:p>
        </w:tc>
        <w:tc>
          <w:tcPr>
            <w:tcW w:w="2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965</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5"/>
                <w:szCs w:val="15"/>
                <w:color w:val="auto"/>
              </w:rPr>
            </w:pPr>
          </w:p>
        </w:tc>
        <w:tc>
          <w:tcPr>
            <w:tcW w:w="12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52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Amortization of debt issuance costs and other</w:t>
            </w:r>
          </w:p>
        </w:tc>
        <w:tc>
          <w:tcPr>
            <w:tcW w:w="2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4,431</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2,984</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2,835</w:t>
            </w:r>
          </w:p>
        </w:tc>
        <w:tc>
          <w:tcPr>
            <w:tcW w:w="100" w:type="dxa"/>
            <w:vAlign w:val="bottom"/>
          </w:tcPr>
          <w:p>
            <w:pPr>
              <w:spacing w:after="0"/>
              <w:rPr>
                <w:sz w:val="15"/>
                <w:szCs w:val="15"/>
                <w:color w:val="auto"/>
              </w:rPr>
            </w:pPr>
          </w:p>
        </w:tc>
      </w:tr>
      <w:tr>
        <w:trPr>
          <w:trHeight w:val="180"/>
        </w:trPr>
        <w:tc>
          <w:tcPr>
            <w:tcW w:w="52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Change in operating assets and liabilities, net of acquisitions:</w:t>
            </w:r>
          </w:p>
        </w:tc>
        <w:tc>
          <w:tcPr>
            <w:tcW w:w="2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r>
        <w:trPr>
          <w:trHeight w:val="180"/>
        </w:trPr>
        <w:tc>
          <w:tcPr>
            <w:tcW w:w="52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Accounts receivable, net</w:t>
            </w:r>
          </w:p>
        </w:tc>
        <w:tc>
          <w:tcPr>
            <w:tcW w:w="2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(117,766)</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(142,383)</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(173,714)</w:t>
            </w:r>
          </w:p>
        </w:tc>
        <w:tc>
          <w:tcPr>
            <w:tcW w:w="100" w:type="dxa"/>
            <w:vAlign w:val="bottom"/>
          </w:tcPr>
          <w:p>
            <w:pPr>
              <w:spacing w:after="0"/>
              <w:rPr>
                <w:sz w:val="15"/>
                <w:szCs w:val="15"/>
                <w:color w:val="auto"/>
              </w:rPr>
            </w:pPr>
          </w:p>
        </w:tc>
      </w:tr>
      <w:tr>
        <w:trPr>
          <w:trHeight w:val="180"/>
        </w:trPr>
        <w:tc>
          <w:tcPr>
            <w:tcW w:w="52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Contract assets/liabilities, net</w:t>
            </w:r>
          </w:p>
        </w:tc>
        <w:tc>
          <w:tcPr>
            <w:tcW w:w="2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31,191</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23,034</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(18,394)</w:t>
            </w:r>
          </w:p>
        </w:tc>
        <w:tc>
          <w:tcPr>
            <w:tcW w:w="100" w:type="dxa"/>
            <w:vAlign w:val="bottom"/>
            <w:shd w:val="clear" w:color="auto" w:fill="CCEEFF"/>
          </w:tcPr>
          <w:p>
            <w:pPr>
              <w:spacing w:after="0"/>
              <w:rPr>
                <w:sz w:val="15"/>
                <w:szCs w:val="15"/>
                <w:color w:val="auto"/>
              </w:rPr>
            </w:pPr>
          </w:p>
        </w:tc>
      </w:tr>
      <w:tr>
        <w:trPr>
          <w:trHeight w:val="180"/>
        </w:trPr>
        <w:tc>
          <w:tcPr>
            <w:tcW w:w="52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Other current assets and inventories</w:t>
            </w:r>
          </w:p>
        </w:tc>
        <w:tc>
          <w:tcPr>
            <w:tcW w:w="2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4,284</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3,085</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(41,270)</w:t>
            </w:r>
          </w:p>
        </w:tc>
        <w:tc>
          <w:tcPr>
            <w:tcW w:w="100" w:type="dxa"/>
            <w:vAlign w:val="bottom"/>
          </w:tcPr>
          <w:p>
            <w:pPr>
              <w:spacing w:after="0"/>
              <w:rPr>
                <w:sz w:val="15"/>
                <w:szCs w:val="15"/>
                <w:color w:val="auto"/>
              </w:rPr>
            </w:pPr>
          </w:p>
        </w:tc>
      </w:tr>
      <w:tr>
        <w:trPr>
          <w:trHeight w:val="180"/>
        </w:trPr>
        <w:tc>
          <w:tcPr>
            <w:tcW w:w="52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Other assets</w:t>
            </w:r>
          </w:p>
        </w:tc>
        <w:tc>
          <w:tcPr>
            <w:tcW w:w="2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(20,956)</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408</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5,666</w:t>
            </w:r>
          </w:p>
        </w:tc>
        <w:tc>
          <w:tcPr>
            <w:tcW w:w="100" w:type="dxa"/>
            <w:vAlign w:val="bottom"/>
            <w:shd w:val="clear" w:color="auto" w:fill="CCEEFF"/>
          </w:tcPr>
          <w:p>
            <w:pPr>
              <w:spacing w:after="0"/>
              <w:rPr>
                <w:sz w:val="15"/>
                <w:szCs w:val="15"/>
                <w:color w:val="auto"/>
              </w:rPr>
            </w:pPr>
          </w:p>
        </w:tc>
      </w:tr>
      <w:tr>
        <w:trPr>
          <w:trHeight w:val="180"/>
        </w:trPr>
        <w:tc>
          <w:tcPr>
            <w:tcW w:w="52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Income taxes receivable/payable</w:t>
            </w:r>
          </w:p>
        </w:tc>
        <w:tc>
          <w:tcPr>
            <w:tcW w:w="2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26,476</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(14,205)</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23,463</w:t>
            </w:r>
          </w:p>
        </w:tc>
        <w:tc>
          <w:tcPr>
            <w:tcW w:w="100" w:type="dxa"/>
            <w:vAlign w:val="bottom"/>
          </w:tcPr>
          <w:p>
            <w:pPr>
              <w:spacing w:after="0"/>
              <w:rPr>
                <w:sz w:val="15"/>
                <w:szCs w:val="15"/>
                <w:color w:val="auto"/>
              </w:rPr>
            </w:pPr>
          </w:p>
        </w:tc>
      </w:tr>
      <w:tr>
        <w:trPr>
          <w:trHeight w:val="180"/>
        </w:trPr>
        <w:tc>
          <w:tcPr>
            <w:tcW w:w="52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Accounts payable</w:t>
            </w:r>
          </w:p>
        </w:tc>
        <w:tc>
          <w:tcPr>
            <w:tcW w:w="2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(16,810)</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6,989</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49,396</w:t>
            </w:r>
          </w:p>
        </w:tc>
        <w:tc>
          <w:tcPr>
            <w:tcW w:w="100" w:type="dxa"/>
            <w:vAlign w:val="bottom"/>
            <w:shd w:val="clear" w:color="auto" w:fill="CCEEFF"/>
          </w:tcPr>
          <w:p>
            <w:pPr>
              <w:spacing w:after="0"/>
              <w:rPr>
                <w:sz w:val="15"/>
                <w:szCs w:val="15"/>
                <w:color w:val="auto"/>
              </w:rPr>
            </w:pPr>
          </w:p>
        </w:tc>
      </w:tr>
      <w:tr>
        <w:trPr>
          <w:trHeight w:val="180"/>
        </w:trPr>
        <w:tc>
          <w:tcPr>
            <w:tcW w:w="522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4"/>
                <w:szCs w:val="14"/>
                <w:color w:val="auto"/>
              </w:rPr>
              <w:t>Accrued liabilities, insurance claims, operating lease liabilities, and other liabilities</w:t>
            </w:r>
          </w:p>
        </w:tc>
        <w:tc>
          <w:tcPr>
            <w:tcW w:w="214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(21,018)</w:t>
            </w:r>
          </w:p>
        </w:tc>
        <w:tc>
          <w:tcPr>
            <w:tcW w:w="10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(24,872)</w:t>
            </w:r>
          </w:p>
        </w:tc>
        <w:tc>
          <w:tcPr>
            <w:tcW w:w="10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(9,956)</w:t>
            </w:r>
          </w:p>
        </w:tc>
        <w:tc>
          <w:tcPr>
            <w:tcW w:w="100" w:type="dxa"/>
            <w:vAlign w:val="bottom"/>
            <w:tcBorders>
              <w:bottom w:val="single" w:sz="8" w:color="CCEEFF"/>
            </w:tcBorders>
          </w:tcPr>
          <w:p>
            <w:pPr>
              <w:spacing w:after="0"/>
              <w:rPr>
                <w:sz w:val="15"/>
                <w:szCs w:val="15"/>
                <w:color w:val="auto"/>
              </w:rPr>
            </w:pPr>
          </w:p>
        </w:tc>
      </w:tr>
      <w:tr>
        <w:trPr>
          <w:trHeight w:val="171"/>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cash provided by operating activities</w:t>
            </w:r>
          </w:p>
        </w:tc>
        <w:tc>
          <w:tcPr>
            <w:tcW w:w="214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349,096</w:t>
            </w:r>
          </w:p>
        </w:tc>
        <w:tc>
          <w:tcPr>
            <w:tcW w:w="10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258,976</w:t>
            </w:r>
          </w:p>
        </w:tc>
        <w:tc>
          <w:tcPr>
            <w:tcW w:w="10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164,789</w:t>
            </w:r>
          </w:p>
        </w:tc>
        <w:tc>
          <w:tcPr>
            <w:tcW w:w="100" w:type="dxa"/>
            <w:vAlign w:val="bottom"/>
            <w:shd w:val="clear" w:color="auto" w:fill="CCEEFF"/>
          </w:tcPr>
          <w:p>
            <w:pPr>
              <w:spacing w:after="0"/>
              <w:rPr>
                <w:sz w:val="14"/>
                <w:szCs w:val="14"/>
                <w:color w:val="auto"/>
              </w:rPr>
            </w:pPr>
          </w:p>
        </w:tc>
      </w:tr>
      <w:tr>
        <w:trPr>
          <w:trHeight w:val="160"/>
        </w:trPr>
        <w:tc>
          <w:tcPr>
            <w:tcW w:w="52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investing activities:</w:t>
            </w:r>
          </w:p>
        </w:tc>
        <w:tc>
          <w:tcPr>
            <w:tcW w:w="2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80"/>
        </w:trPr>
        <w:tc>
          <w:tcPr>
            <w:tcW w:w="52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Capital expenditures</w:t>
            </w:r>
          </w:p>
        </w:tc>
        <w:tc>
          <w:tcPr>
            <w:tcW w:w="2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(250,457)</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(218,492)</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(200,955)</w:t>
            </w:r>
          </w:p>
        </w:tc>
        <w:tc>
          <w:tcPr>
            <w:tcW w:w="100" w:type="dxa"/>
            <w:vAlign w:val="bottom"/>
            <w:shd w:val="clear" w:color="auto" w:fill="CCEEFF"/>
          </w:tcPr>
          <w:p>
            <w:pPr>
              <w:spacing w:after="0"/>
              <w:rPr>
                <w:sz w:val="15"/>
                <w:szCs w:val="15"/>
                <w:color w:val="auto"/>
              </w:rPr>
            </w:pPr>
          </w:p>
        </w:tc>
      </w:tr>
      <w:tr>
        <w:trPr>
          <w:trHeight w:val="180"/>
        </w:trPr>
        <w:tc>
          <w:tcPr>
            <w:tcW w:w="52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Proceeds from sale of assets</w:t>
            </w:r>
          </w:p>
        </w:tc>
        <w:tc>
          <w:tcPr>
            <w:tcW w:w="2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39,135</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35,231</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17,372</w:t>
            </w:r>
          </w:p>
        </w:tc>
        <w:tc>
          <w:tcPr>
            <w:tcW w:w="100" w:type="dxa"/>
            <w:vAlign w:val="bottom"/>
          </w:tcPr>
          <w:p>
            <w:pPr>
              <w:spacing w:after="0"/>
              <w:rPr>
                <w:sz w:val="15"/>
                <w:szCs w:val="15"/>
                <w:color w:val="auto"/>
              </w:rPr>
            </w:pPr>
          </w:p>
        </w:tc>
      </w:tr>
      <w:tr>
        <w:trPr>
          <w:trHeight w:val="180"/>
        </w:trPr>
        <w:tc>
          <w:tcPr>
            <w:tcW w:w="52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Cash paid for acquisitions, net of cash acquired</w:t>
            </w:r>
          </w:p>
        </w:tc>
        <w:tc>
          <w:tcPr>
            <w:tcW w:w="214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(183,876)</w:t>
            </w:r>
          </w:p>
        </w:tc>
        <w:tc>
          <w:tcPr>
            <w:tcW w:w="100" w:type="dxa"/>
            <w:vAlign w:val="bottom"/>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(122,902)</w:t>
            </w:r>
          </w:p>
        </w:tc>
        <w:tc>
          <w:tcPr>
            <w:tcW w:w="100" w:type="dxa"/>
            <w:vAlign w:val="bottom"/>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(350)</w:t>
            </w:r>
          </w:p>
        </w:tc>
        <w:tc>
          <w:tcPr>
            <w:tcW w:w="100" w:type="dxa"/>
            <w:vAlign w:val="bottom"/>
            <w:shd w:val="clear" w:color="auto" w:fill="CCEEFF"/>
          </w:tcPr>
          <w:p>
            <w:pPr>
              <w:spacing w:after="0"/>
              <w:rPr>
                <w:sz w:val="15"/>
                <w:szCs w:val="15"/>
                <w:color w:val="auto"/>
              </w:rPr>
            </w:pPr>
          </w:p>
        </w:tc>
      </w:tr>
      <w:tr>
        <w:trPr>
          <w:trHeight w:val="171"/>
        </w:trPr>
        <w:tc>
          <w:tcPr>
            <w:tcW w:w="52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Net cash used in investing activities</w:t>
            </w:r>
          </w:p>
        </w:tc>
        <w:tc>
          <w:tcPr>
            <w:tcW w:w="21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(395,198)</w:t>
            </w:r>
          </w:p>
        </w:tc>
        <w:tc>
          <w:tcPr>
            <w:tcW w:w="10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(306,163)</w:t>
            </w:r>
          </w:p>
        </w:tc>
        <w:tc>
          <w:tcPr>
            <w:tcW w:w="10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(183,933)</w:t>
            </w:r>
          </w:p>
        </w:tc>
        <w:tc>
          <w:tcPr>
            <w:tcW w:w="100" w:type="dxa"/>
            <w:vAlign w:val="bottom"/>
            <w:tcBorders>
              <w:bottom w:val="single" w:sz="8" w:color="CCEEFF"/>
            </w:tcBorders>
          </w:tcPr>
          <w:p>
            <w:pPr>
              <w:spacing w:after="0"/>
              <w:rPr>
                <w:sz w:val="14"/>
                <w:szCs w:val="14"/>
                <w:color w:val="auto"/>
              </w:rPr>
            </w:pPr>
          </w:p>
        </w:tc>
      </w:tr>
      <w:tr>
        <w:trPr>
          <w:trHeight w:val="160"/>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financing activities:</w:t>
            </w:r>
          </w:p>
        </w:tc>
        <w:tc>
          <w:tcPr>
            <w:tcW w:w="2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180"/>
        </w:trPr>
        <w:tc>
          <w:tcPr>
            <w:tcW w:w="52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Proceeds from borrowings on senior credit agreement, including term loans</w:t>
            </w:r>
          </w:p>
        </w:tc>
        <w:tc>
          <w:tcPr>
            <w:tcW w:w="2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987,375</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763,000</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52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Principal payments on senior credit agreement, including term loans</w:t>
            </w:r>
          </w:p>
        </w:tc>
        <w:tc>
          <w:tcPr>
            <w:tcW w:w="2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(852,375)</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(780,500)</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(17,500)</w:t>
            </w:r>
          </w:p>
        </w:tc>
        <w:tc>
          <w:tcPr>
            <w:tcW w:w="100" w:type="dxa"/>
            <w:vAlign w:val="bottom"/>
            <w:shd w:val="clear" w:color="auto" w:fill="CCEEFF"/>
          </w:tcPr>
          <w:p>
            <w:pPr>
              <w:spacing w:after="0"/>
              <w:rPr>
                <w:sz w:val="15"/>
                <w:szCs w:val="15"/>
                <w:color w:val="auto"/>
              </w:rPr>
            </w:pPr>
          </w:p>
        </w:tc>
      </w:tr>
      <w:tr>
        <w:trPr>
          <w:trHeight w:val="180"/>
        </w:trPr>
        <w:tc>
          <w:tcPr>
            <w:tcW w:w="52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Debt issuance costs</w:t>
            </w:r>
          </w:p>
        </w:tc>
        <w:tc>
          <w:tcPr>
            <w:tcW w:w="2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(6,671)</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52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Repurchase of common stock</w:t>
            </w:r>
          </w:p>
        </w:tc>
        <w:tc>
          <w:tcPr>
            <w:tcW w:w="2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(65,640)</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(49,659)</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(48,732)</w:t>
            </w:r>
          </w:p>
        </w:tc>
        <w:tc>
          <w:tcPr>
            <w:tcW w:w="100" w:type="dxa"/>
            <w:vAlign w:val="bottom"/>
            <w:shd w:val="clear" w:color="auto" w:fill="CCEEFF"/>
          </w:tcPr>
          <w:p>
            <w:pPr>
              <w:spacing w:after="0"/>
              <w:rPr>
                <w:sz w:val="15"/>
                <w:szCs w:val="15"/>
                <w:color w:val="auto"/>
              </w:rPr>
            </w:pPr>
          </w:p>
        </w:tc>
      </w:tr>
      <w:tr>
        <w:trPr>
          <w:trHeight w:val="180"/>
        </w:trPr>
        <w:tc>
          <w:tcPr>
            <w:tcW w:w="52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Exercise of stock options</w:t>
            </w:r>
          </w:p>
        </w:tc>
        <w:tc>
          <w:tcPr>
            <w:tcW w:w="2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(7,959)</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1,149</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4,557</w:t>
            </w:r>
          </w:p>
        </w:tc>
        <w:tc>
          <w:tcPr>
            <w:tcW w:w="100" w:type="dxa"/>
            <w:vAlign w:val="bottom"/>
          </w:tcPr>
          <w:p>
            <w:pPr>
              <w:spacing w:after="0"/>
              <w:rPr>
                <w:sz w:val="15"/>
                <w:szCs w:val="15"/>
                <w:color w:val="auto"/>
              </w:rPr>
            </w:pPr>
          </w:p>
        </w:tc>
      </w:tr>
      <w:tr>
        <w:trPr>
          <w:trHeight w:val="180"/>
        </w:trPr>
        <w:tc>
          <w:tcPr>
            <w:tcW w:w="52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Restricted stock tax withholdings</w:t>
            </w:r>
          </w:p>
        </w:tc>
        <w:tc>
          <w:tcPr>
            <w:tcW w:w="2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(17,044)</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(9,903)</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(5,752)</w:t>
            </w:r>
          </w:p>
        </w:tc>
        <w:tc>
          <w:tcPr>
            <w:tcW w:w="100" w:type="dxa"/>
            <w:vAlign w:val="bottom"/>
            <w:shd w:val="clear" w:color="auto" w:fill="CCEEFF"/>
          </w:tcPr>
          <w:p>
            <w:pPr>
              <w:spacing w:after="0"/>
              <w:rPr>
                <w:sz w:val="15"/>
                <w:szCs w:val="15"/>
                <w:color w:val="auto"/>
              </w:rPr>
            </w:pPr>
          </w:p>
        </w:tc>
      </w:tr>
      <w:tr>
        <w:trPr>
          <w:trHeight w:val="509"/>
        </w:trPr>
        <w:tc>
          <w:tcPr>
            <w:tcW w:w="5220" w:type="dxa"/>
            <w:vAlign w:val="bottom"/>
          </w:tcPr>
          <w:p>
            <w:pPr>
              <w:spacing w:after="0"/>
              <w:rPr>
                <w:sz w:val="24"/>
                <w:szCs w:val="24"/>
                <w:color w:val="auto"/>
              </w:rPr>
            </w:pPr>
          </w:p>
        </w:tc>
        <w:tc>
          <w:tcPr>
            <w:tcW w:w="2140" w:type="dxa"/>
            <w:vAlign w:val="bottom"/>
          </w:tcPr>
          <w:p>
            <w:pPr>
              <w:jc w:val="right"/>
              <w:ind w:right="1569"/>
              <w:spacing w:after="0"/>
              <w:rPr>
                <w:sz w:val="20"/>
                <w:szCs w:val="20"/>
                <w:color w:val="auto"/>
              </w:rPr>
            </w:pPr>
            <w:r>
              <w:rPr>
                <w:rFonts w:ascii="Times New Roman" w:cs="Times New Roman" w:eastAsia="Times New Roman" w:hAnsi="Times New Roman"/>
                <w:sz w:val="14"/>
                <w:szCs w:val="14"/>
                <w:color w:val="auto"/>
              </w:rPr>
              <w:t>47</w:t>
            </w: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87"/>
        </w:trPr>
        <w:tc>
          <w:tcPr>
            <w:tcW w:w="5220" w:type="dxa"/>
            <w:vAlign w:val="bottom"/>
            <w:tcBorders>
              <w:bottom w:val="single" w:sz="8" w:color="9A9A9A"/>
            </w:tcBorders>
          </w:tcPr>
          <w:p>
            <w:pPr>
              <w:spacing w:after="0"/>
              <w:rPr>
                <w:sz w:val="7"/>
                <w:szCs w:val="7"/>
                <w:color w:val="auto"/>
              </w:rPr>
            </w:pPr>
          </w:p>
        </w:tc>
        <w:tc>
          <w:tcPr>
            <w:tcW w:w="214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112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112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112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DYCOM INDUSTRIES, INC. 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(Dollars in thousands)</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736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9"/>
              </w:rPr>
              <w:t>Fiscal Year Ended</w:t>
            </w:r>
          </w:p>
        </w:tc>
        <w:tc>
          <w:tcPr>
            <w:tcW w:w="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7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January 25, 2025</w:t>
            </w:r>
          </w:p>
        </w:tc>
        <w:tc>
          <w:tcPr>
            <w:tcW w:w="80" w:type="dxa"/>
            <w:vAlign w:val="bottom"/>
          </w:tcPr>
          <w:p>
            <w:pPr>
              <w:spacing w:after="0"/>
              <w:rPr>
                <w:sz w:val="15"/>
                <w:szCs w:val="15"/>
                <w:color w:val="auto"/>
              </w:rPr>
            </w:pPr>
          </w:p>
        </w:tc>
        <w:tc>
          <w:tcPr>
            <w:tcW w:w="122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January 27, 2024</w:t>
            </w:r>
          </w:p>
        </w:tc>
        <w:tc>
          <w:tcPr>
            <w:tcW w:w="80" w:type="dxa"/>
            <w:vAlign w:val="bottom"/>
          </w:tcPr>
          <w:p>
            <w:pPr>
              <w:spacing w:after="0"/>
              <w:rPr>
                <w:sz w:val="15"/>
                <w:szCs w:val="15"/>
                <w:color w:val="auto"/>
              </w:rPr>
            </w:pPr>
          </w:p>
        </w:tc>
        <w:tc>
          <w:tcPr>
            <w:tcW w:w="1120" w:type="dxa"/>
            <w:vAlign w:val="bottom"/>
          </w:tcPr>
          <w:p>
            <w:pPr>
              <w:jc w:val="right"/>
              <w:ind w:right="9"/>
              <w:spacing w:after="0"/>
              <w:rPr>
                <w:sz w:val="20"/>
                <w:szCs w:val="20"/>
                <w:color w:val="auto"/>
              </w:rPr>
            </w:pPr>
            <w:r>
              <w:rPr>
                <w:rFonts w:ascii="Times New Roman" w:cs="Times New Roman" w:eastAsia="Times New Roman" w:hAnsi="Times New Roman"/>
                <w:sz w:val="14"/>
                <w:szCs w:val="14"/>
                <w:b w:val="1"/>
                <w:bCs w:val="1"/>
                <w:color w:val="auto"/>
                <w:w w:val="99"/>
              </w:rPr>
              <w:t>January 28, 2023</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7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Net cash provided by (used in) financing activities</w:t>
            </w:r>
          </w:p>
        </w:tc>
        <w:tc>
          <w:tcPr>
            <w:tcW w:w="100" w:type="dxa"/>
            <w:vAlign w:val="bottom"/>
            <w:tcBorders>
              <w:top w:val="single" w:sz="8" w:color="auto"/>
              <w:bottom w:val="single" w:sz="8" w:color="auto"/>
            </w:tcBorders>
          </w:tcPr>
          <w:p>
            <w:pPr>
              <w:spacing w:after="0"/>
              <w:rPr>
                <w:sz w:val="14"/>
                <w:szCs w:val="14"/>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37,686</w:t>
            </w:r>
          </w:p>
        </w:tc>
        <w:tc>
          <w:tcPr>
            <w:tcW w:w="100" w:type="dxa"/>
            <w:vAlign w:val="bottom"/>
            <w:tcBorders>
              <w:bottom w:val="single" w:sz="8" w:color="CCEEFF"/>
            </w:tcBorders>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(75,913)</w:t>
            </w:r>
          </w:p>
        </w:tc>
        <w:tc>
          <w:tcPr>
            <w:tcW w:w="100" w:type="dxa"/>
            <w:vAlign w:val="bottom"/>
            <w:tcBorders>
              <w:bottom w:val="single" w:sz="8" w:color="CCEEFF"/>
            </w:tcBorders>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(67,427)</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7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decrease in cash, cash equivalents and restricted cash</w:t>
            </w:r>
          </w:p>
        </w:tc>
        <w:tc>
          <w:tcPr>
            <w:tcW w:w="10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(8,416)</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(123,100)</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(86,571)</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7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Cash, cash equivalents and restricted cash at beginning of period (Note 8)</w:t>
            </w:r>
          </w:p>
        </w:tc>
        <w:tc>
          <w:tcPr>
            <w:tcW w:w="10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102,890</w:t>
            </w:r>
          </w:p>
        </w:tc>
        <w:tc>
          <w:tcPr>
            <w:tcW w:w="10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225,990</w:t>
            </w:r>
          </w:p>
        </w:tc>
        <w:tc>
          <w:tcPr>
            <w:tcW w:w="10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312,561</w:t>
            </w:r>
          </w:p>
        </w:tc>
        <w:tc>
          <w:tcPr>
            <w:tcW w:w="10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7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Cash, cash equivalents and restricted cash at end of period (Note 8)</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94,474</w:t>
            </w:r>
          </w:p>
        </w:tc>
        <w:tc>
          <w:tcPr>
            <w:tcW w:w="1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102,890</w:t>
            </w:r>
          </w:p>
        </w:tc>
        <w:tc>
          <w:tcPr>
            <w:tcW w:w="1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225,990</w:t>
            </w:r>
          </w:p>
        </w:tc>
        <w:tc>
          <w:tcPr>
            <w:tcW w:w="10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73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Supplemental disclosure of other cash flow activities and non-cash investing and financing activities:</w:t>
            </w: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2"/>
        </w:trPr>
        <w:tc>
          <w:tcPr>
            <w:tcW w:w="736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0"/>
        </w:trPr>
        <w:tc>
          <w:tcPr>
            <w:tcW w:w="7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paid for interest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57,924</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50,679</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37,928</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73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Cash paid for taxes, net</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61,542</w:t>
            </w:r>
          </w:p>
        </w:tc>
        <w:tc>
          <w:tcPr>
            <w:tcW w:w="100" w:type="dxa"/>
            <w:vAlign w:val="bottom"/>
          </w:tcPr>
          <w:p>
            <w:pPr>
              <w:spacing w:after="0"/>
              <w:rPr>
                <w:sz w:val="15"/>
                <w:szCs w:val="15"/>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96,616</w:t>
            </w:r>
          </w:p>
        </w:tc>
        <w:tc>
          <w:tcPr>
            <w:tcW w:w="100" w:type="dxa"/>
            <w:vAlign w:val="bottom"/>
          </w:tcPr>
          <w:p>
            <w:pPr>
              <w:spacing w:after="0"/>
              <w:rPr>
                <w:sz w:val="15"/>
                <w:szCs w:val="15"/>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6,915</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7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Purchases of capital assets included in accounts payable or other accrued liabilities at period end</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16,059</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7,338</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8,256</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bl>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See notes to the consolidated financial statements.</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THE CONSOLIDATED FINANCIAL STATEMENTS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1. Basis of Presentation</w:t>
      </w:r>
    </w:p>
    <w:p>
      <w:pPr>
        <w:spacing w:after="0" w:line="202" w:lineRule="exact"/>
        <w:rPr>
          <w:sz w:val="20"/>
          <w:szCs w:val="20"/>
          <w:color w:val="auto"/>
        </w:rPr>
      </w:pPr>
    </w:p>
    <w:p>
      <w:pPr>
        <w:ind w:right="320" w:firstLine="255"/>
        <w:spacing w:after="0" w:line="264" w:lineRule="auto"/>
        <w:rPr>
          <w:sz w:val="20"/>
          <w:szCs w:val="20"/>
          <w:color w:val="auto"/>
        </w:rPr>
      </w:pPr>
      <w:r>
        <w:rPr>
          <w:rFonts w:ascii="Times New Roman" w:cs="Times New Roman" w:eastAsia="Times New Roman" w:hAnsi="Times New Roman"/>
          <w:sz w:val="14"/>
          <w:szCs w:val="14"/>
          <w:color w:val="auto"/>
        </w:rPr>
        <w:t>Dycom Industries, Inc. (“Dycom,” the “Company,” “we,” “our,” or “us”) is a leading provider of specialty contracting services throughout the United States. These services include program management, planning; engineering and design; aerial, underground, and wireless construction; maintenance; and fulfillment services for telecommunications providers. Additionally, Dycom provides underground facility locating services for various utilities, including telecommunications providers, as well as other construction and maintenance services for electric and gas utilities. Dycom supplies the labor, tools, and equipment necessary to provide these services to its customers.</w:t>
      </w:r>
    </w:p>
    <w:p>
      <w:pPr>
        <w:spacing w:after="0" w:line="160" w:lineRule="exact"/>
        <w:rPr>
          <w:sz w:val="20"/>
          <w:szCs w:val="20"/>
          <w:color w:val="auto"/>
        </w:rPr>
      </w:pPr>
    </w:p>
    <w:p>
      <w:pPr>
        <w:jc w:val="both"/>
        <w:ind w:right="60" w:firstLine="255"/>
        <w:spacing w:after="0" w:line="271" w:lineRule="auto"/>
        <w:rPr>
          <w:sz w:val="20"/>
          <w:szCs w:val="20"/>
          <w:color w:val="auto"/>
        </w:rPr>
      </w:pPr>
      <w:r>
        <w:rPr>
          <w:rFonts w:ascii="Times New Roman" w:cs="Times New Roman" w:eastAsia="Times New Roman" w:hAnsi="Times New Roman"/>
          <w:sz w:val="14"/>
          <w:szCs w:val="14"/>
          <w:i w:val="1"/>
          <w:iCs w:val="1"/>
          <w:color w:val="auto"/>
        </w:rPr>
        <w:t xml:space="preserve">Accounting Period. </w:t>
      </w:r>
      <w:r>
        <w:rPr>
          <w:rFonts w:ascii="Times New Roman" w:cs="Times New Roman" w:eastAsia="Times New Roman" w:hAnsi="Times New Roman"/>
          <w:sz w:val="14"/>
          <w:szCs w:val="14"/>
          <w:color w:val="auto"/>
        </w:rPr>
        <w:t>Our fiscal year ends on the last Saturday in January. As a result, each fiscal year consists of either 52 weeks or 53 weeks of operations (with the additional week of operations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occurring in the fourth quarter). Fiscal 2025, fiscal 2024, and fiscal 2023 each consisted of 52 weeks of operations. The next 53 week fiscal period will occur next fiscal year, which is the fiscal year ending January 31, 2026.</w:t>
      </w:r>
    </w:p>
    <w:p>
      <w:pPr>
        <w:spacing w:after="0" w:line="157" w:lineRule="exact"/>
        <w:rPr>
          <w:sz w:val="20"/>
          <w:szCs w:val="20"/>
          <w:color w:val="auto"/>
        </w:rPr>
      </w:pPr>
    </w:p>
    <w:p>
      <w:pPr>
        <w:ind w:right="80" w:firstLine="255"/>
        <w:spacing w:after="0" w:line="270" w:lineRule="auto"/>
        <w:rPr>
          <w:sz w:val="20"/>
          <w:szCs w:val="20"/>
          <w:color w:val="auto"/>
        </w:rPr>
      </w:pPr>
      <w:r>
        <w:rPr>
          <w:rFonts w:ascii="Times New Roman" w:cs="Times New Roman" w:eastAsia="Times New Roman" w:hAnsi="Times New Roman"/>
          <w:sz w:val="14"/>
          <w:szCs w:val="14"/>
          <w:color w:val="auto"/>
        </w:rPr>
        <w:t>The accompanying consolidated financial statements of the Company and its subsidiaries, all of which are wholly-owned, have been prepared in accordance with accounting principles generally accepted in the United States of America (“GAAP”) pursuant to the rules and regulations of the U.S. Securities and Exchange Commission (“SEC”). In the opinion of management, all adjustments considered necessary for a fair presentation of such statements have been included. This includes all normal and recurring adjustments and elimination of intercompany accounts and transactions.</w:t>
      </w:r>
    </w:p>
    <w:p>
      <w:pPr>
        <w:spacing w:after="0" w:line="155" w:lineRule="exact"/>
        <w:rPr>
          <w:sz w:val="20"/>
          <w:szCs w:val="20"/>
          <w:color w:val="auto"/>
        </w:rPr>
      </w:pPr>
    </w:p>
    <w:p>
      <w:pPr>
        <w:ind w:right="120" w:firstLine="255"/>
        <w:spacing w:after="0" w:line="265" w:lineRule="auto"/>
        <w:rPr>
          <w:sz w:val="20"/>
          <w:szCs w:val="20"/>
          <w:color w:val="auto"/>
        </w:rPr>
      </w:pPr>
      <w:r>
        <w:rPr>
          <w:rFonts w:ascii="Times New Roman" w:cs="Times New Roman" w:eastAsia="Times New Roman" w:hAnsi="Times New Roman"/>
          <w:sz w:val="14"/>
          <w:szCs w:val="14"/>
          <w:i w:val="1"/>
          <w:iCs w:val="1"/>
          <w:color w:val="auto"/>
        </w:rPr>
        <w:t xml:space="preserve">Segment Information. </w:t>
      </w:r>
      <w:r>
        <w:rPr>
          <w:rFonts w:ascii="Times New Roman" w:cs="Times New Roman" w:eastAsia="Times New Roman" w:hAnsi="Times New Roman"/>
          <w:sz w:val="14"/>
          <w:szCs w:val="14"/>
          <w:color w:val="auto"/>
        </w:rPr>
        <w:t>The Company operates in one reportable segment. Its services are provided by its operating segments on a decentralized basis. Each operating segment consists of a</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 xml:space="preserve">subsidiary (or in certain instances, the combination of two or more subsidiaries), whose results are regularly reviewed by the Company’s Chief Executive Officer, the chief operating decision maker. All of the Company’s operating segments have been aggregated into one reportable segment based on their similar economic characteristics, nature of services and production processes, type of customers, and service distribution methods. See Note 21, </w:t>
      </w:r>
      <w:r>
        <w:rPr>
          <w:rFonts w:ascii="Times New Roman" w:cs="Times New Roman" w:eastAsia="Times New Roman" w:hAnsi="Times New Roman"/>
          <w:sz w:val="14"/>
          <w:szCs w:val="14"/>
          <w:i w:val="1"/>
          <w:iCs w:val="1"/>
          <w:color w:val="auto"/>
        </w:rPr>
        <w:t>Segment Reporting,</w:t>
      </w:r>
      <w:r>
        <w:rPr>
          <w:rFonts w:ascii="Times New Roman" w:cs="Times New Roman" w:eastAsia="Times New Roman" w:hAnsi="Times New Roman"/>
          <w:sz w:val="14"/>
          <w:szCs w:val="14"/>
          <w:color w:val="auto"/>
        </w:rPr>
        <w:t xml:space="preserve"> for additional information.</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2. Significant Accounting Policies and Estimates</w:t>
      </w:r>
    </w:p>
    <w:p>
      <w:pPr>
        <w:spacing w:after="0" w:line="200" w:lineRule="exact"/>
        <w:rPr>
          <w:sz w:val="20"/>
          <w:szCs w:val="20"/>
          <w:color w:val="auto"/>
        </w:rPr>
      </w:pPr>
    </w:p>
    <w:p>
      <w:pPr>
        <w:ind w:firstLine="255"/>
        <w:spacing w:after="0" w:line="260" w:lineRule="auto"/>
        <w:rPr>
          <w:sz w:val="20"/>
          <w:szCs w:val="20"/>
          <w:color w:val="auto"/>
        </w:rPr>
      </w:pPr>
      <w:r>
        <w:rPr>
          <w:rFonts w:ascii="Times New Roman" w:cs="Times New Roman" w:eastAsia="Times New Roman" w:hAnsi="Times New Roman"/>
          <w:sz w:val="14"/>
          <w:szCs w:val="14"/>
          <w:i w:val="1"/>
          <w:iCs w:val="1"/>
          <w:color w:val="auto"/>
        </w:rPr>
        <w:t xml:space="preserve">Use of Estimates. </w:t>
      </w:r>
      <w:r>
        <w:rPr>
          <w:rFonts w:ascii="Times New Roman" w:cs="Times New Roman" w:eastAsia="Times New Roman" w:hAnsi="Times New Roman"/>
          <w:sz w:val="14"/>
          <w:szCs w:val="14"/>
          <w:color w:val="auto"/>
        </w:rPr>
        <w:t>The preparation of financial statements in conformity with GAAP requires management to make certain estimates and assumptions that affect the amounts reported in these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consolidated financial statements and accompanying notes. These key estimates include: the recognition of revenue under the cost-to-cost method of progress, accrued insurance claims, the allowance for credit losses, accruals for contingencies, stock-based compensation expense for performance-based stock awards, the fair value of reporting units for the goodwill impairment analysis, the assessment of impairment of intangibles and other long-lived assets, the purchase price allocations of businesses acquired, and income taxes. These estimates are based on our historical experience and management’s understanding of current facts and circumstances. At the time they are made, we believe that such estimates are fair when considered in conjunction with the Company’s consolidated financial position and results of operations taken as a whole. However, actual results could differ materially from those estimates.</w:t>
      </w:r>
    </w:p>
    <w:p>
      <w:pPr>
        <w:spacing w:after="0" w:line="163" w:lineRule="exact"/>
        <w:rPr>
          <w:sz w:val="20"/>
          <w:szCs w:val="20"/>
          <w:color w:val="auto"/>
        </w:rPr>
      </w:pPr>
    </w:p>
    <w:p>
      <w:pPr>
        <w:ind w:firstLine="255"/>
        <w:spacing w:after="0" w:line="256" w:lineRule="auto"/>
        <w:rPr>
          <w:sz w:val="20"/>
          <w:szCs w:val="20"/>
          <w:color w:val="auto"/>
        </w:rPr>
      </w:pPr>
      <w:r>
        <w:rPr>
          <w:rFonts w:ascii="Times New Roman" w:cs="Times New Roman" w:eastAsia="Times New Roman" w:hAnsi="Times New Roman"/>
          <w:sz w:val="14"/>
          <w:szCs w:val="14"/>
          <w:i w:val="1"/>
          <w:iCs w:val="1"/>
          <w:color w:val="auto"/>
        </w:rPr>
        <w:t xml:space="preserve">Revenue Recognition. </w:t>
      </w:r>
      <w:r>
        <w:rPr>
          <w:rFonts w:ascii="Times New Roman" w:cs="Times New Roman" w:eastAsia="Times New Roman" w:hAnsi="Times New Roman"/>
          <w:sz w:val="14"/>
          <w:szCs w:val="14"/>
          <w:color w:val="auto"/>
        </w:rPr>
        <w:t>We perform a significant amount of our services under master service agreements and other contracts that contain customer-specified service requirements. These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agreements include discrete pricing for individual tasks including, for example, the placement of underground or aerial fiber, directional boring, and fiber splicing, each based on a specific unit of measure. A contractual agreement exists when each party involved approves and commits to the agreement, the rights of the parties and payment terms are identified, the agreement has commercial substance, and collectability of consideration is probable. Our services are performed for the sole benefit of our customers, whereby the assets being created or maintained are controlled by the customer and the services we perform do not have alternative benefits for us. Contract revenue is recognized over time as services are performed and customers simultaneously receive and consume the benefits we provide. Output measures, such as units, delivered are utilized to assess progress against specific contractual performance obligations for the majority of our services. The selection of the method to measure progress towards completion requires judgment and is based on the nature of the services to be provided. For us, the output method using units delivered best represents the measure of progress against the performance obligations incorporated within the contractual agreements. This method captures the amount of units delivered pursuant to contracts and is used only when our performance does not produce significant amounts of work in process prior to complete satisfaction of the performance obligation. For a portion of contract items, units to be completed consist of multiple tasks. For these items, the transaction price is allocated to each task based on relative standalone measurements, such as selling prices for similar tasks, or in the alternative, the cost to perform the tasks. Contract revenue is</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recognized as the tasks are completed as a measurement of progress in the satisfaction of the corresponding performance obligation.</w:t>
      </w:r>
    </w:p>
    <w:p>
      <w:pPr>
        <w:spacing w:after="0" w:line="200" w:lineRule="exact"/>
        <w:rPr>
          <w:sz w:val="20"/>
          <w:szCs w:val="20"/>
          <w:color w:val="auto"/>
        </w:rPr>
      </w:pPr>
    </w:p>
    <w:p>
      <w:pPr>
        <w:ind w:right="60" w:firstLine="255"/>
        <w:spacing w:after="0" w:line="261" w:lineRule="auto"/>
        <w:rPr>
          <w:sz w:val="20"/>
          <w:szCs w:val="20"/>
          <w:color w:val="auto"/>
        </w:rPr>
      </w:pPr>
      <w:r>
        <w:rPr>
          <w:rFonts w:ascii="Times New Roman" w:cs="Times New Roman" w:eastAsia="Times New Roman" w:hAnsi="Times New Roman"/>
          <w:sz w:val="14"/>
          <w:szCs w:val="14"/>
          <w:color w:val="auto"/>
        </w:rPr>
        <w:t>For certain contracts, representing less than 5% of contract revenues during fiscal 2025, fiscal 2024, and fiscal 2023, we use the cost-to-cost measure of progress. These contracts are generally projects that are completed over a period of less than 12 months and for which payment is received in a lump sum at the end of the project. Under the cost-to-cost measure of progress, the extent of progress toward completion is measured based on the ratio of costs incurred to date to the total estimated costs. Contract costs include direct labor, direct materials, and subcontractor costs, as well as an allocation of indirect costs. Contract revenues are recorded as costs are incurred. We accrue the entire amount of a contract loss, if any, at the time the loss is determined to be probable and can be reasonably estimated.</w:t>
      </w:r>
    </w:p>
    <w:p>
      <w:pPr>
        <w:spacing w:after="0" w:line="16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There were no material amounts of unapproved change orders or claims recognized during fiscal 2025, fiscal 2024, and fiscal 2023.</w:t>
      </w:r>
    </w:p>
    <w:p>
      <w:pPr>
        <w:spacing w:after="0" w:line="198" w:lineRule="exact"/>
        <w:rPr>
          <w:sz w:val="20"/>
          <w:szCs w:val="20"/>
          <w:color w:val="auto"/>
        </w:rPr>
      </w:pPr>
    </w:p>
    <w:p>
      <w:pPr>
        <w:ind w:firstLine="255"/>
        <w:spacing w:after="0" w:line="258" w:lineRule="auto"/>
        <w:rPr>
          <w:sz w:val="20"/>
          <w:szCs w:val="20"/>
          <w:color w:val="auto"/>
        </w:rPr>
      </w:pPr>
      <w:r>
        <w:rPr>
          <w:rFonts w:ascii="Times New Roman" w:cs="Times New Roman" w:eastAsia="Times New Roman" w:hAnsi="Times New Roman"/>
          <w:sz w:val="14"/>
          <w:szCs w:val="14"/>
          <w:i w:val="1"/>
          <w:iCs w:val="1"/>
          <w:color w:val="auto"/>
        </w:rPr>
        <w:t xml:space="preserve">Accounts Receivable, net. </w:t>
      </w:r>
      <w:r>
        <w:rPr>
          <w:rFonts w:ascii="Times New Roman" w:cs="Times New Roman" w:eastAsia="Times New Roman" w:hAnsi="Times New Roman"/>
          <w:sz w:val="14"/>
          <w:szCs w:val="14"/>
          <w:color w:val="auto"/>
        </w:rPr>
        <w:t>We grant credit to our customers, generally without collateral, under normal payment terms (typically 30 to 90 days after invoicing). Generally, invoicing occurs within</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45 days after the related services are performed. Accounts receivable represents an unconditional right to consideration arising from our performance under contracts with customers. Accounts receivable include billed accounts receivable, unbilled accounts receivable, and retainage. The carrying value of such receivables, net of the allowance for credit losses, represents their estimated realizable value. Unbilled accounts receivable represent amounts we have an unconditional right to receive payment for that will be billed at a later date due to administrative requirements in the billing processes specified by our customers. Certain of our contracts contain retainage provisions whereby a portion of the revenue earned is withheld from payment as a form of security until contractual provisions are satisfied. The collectability of retainage is included in our overall assessment of the collectability of accounts receivable. We expect to collect the outstanding balance of current accounts receivable, net (including trade accounts receivable, unbilled accounts receivable, and retainage) within the next 12 months. We estimate our allowance for credit losses by evaluating specific accounts receivable balances based on historical collection trends, the age of outstanding receivables, and the credit worthiness of our customers.</w:t>
      </w:r>
    </w:p>
    <w:p>
      <w:pPr>
        <w:spacing w:after="0" w:line="167" w:lineRule="exact"/>
        <w:rPr>
          <w:sz w:val="20"/>
          <w:szCs w:val="20"/>
          <w:color w:val="auto"/>
        </w:rPr>
      </w:pPr>
    </w:p>
    <w:p>
      <w:pPr>
        <w:ind w:right="280" w:firstLine="255"/>
        <w:spacing w:after="0" w:line="270" w:lineRule="auto"/>
        <w:rPr>
          <w:sz w:val="20"/>
          <w:szCs w:val="20"/>
          <w:color w:val="auto"/>
        </w:rPr>
      </w:pPr>
      <w:r>
        <w:rPr>
          <w:rFonts w:ascii="Times New Roman" w:cs="Times New Roman" w:eastAsia="Times New Roman" w:hAnsi="Times New Roman"/>
          <w:sz w:val="14"/>
          <w:szCs w:val="14"/>
          <w:color w:val="auto"/>
        </w:rPr>
        <w:t>We participate in a customer-sponsored vendor payment program for one of our customers. All eligible accounts receivable from this customer are included in the program and payment is received pursuant to a non-recourse sale to a bank partner of the customer. This program effectively reduces the time to collect these receivables as compared to that customer’s standard payment terms. We incur a discount fee to the bank on the payments received that is reflected as an expense component in other income, net, in the consolidated statements of operations.</w:t>
      </w:r>
    </w:p>
    <w:p>
      <w:pPr>
        <w:spacing w:after="0" w:line="155" w:lineRule="exact"/>
        <w:rPr>
          <w:sz w:val="20"/>
          <w:szCs w:val="20"/>
          <w:color w:val="auto"/>
        </w:rPr>
      </w:pPr>
    </w:p>
    <w:p>
      <w:pPr>
        <w:ind w:right="580" w:firstLine="255"/>
        <w:spacing w:after="0" w:line="290" w:lineRule="auto"/>
        <w:rPr>
          <w:sz w:val="20"/>
          <w:szCs w:val="20"/>
          <w:color w:val="auto"/>
        </w:rPr>
      </w:pPr>
      <w:r>
        <w:rPr>
          <w:rFonts w:ascii="Times New Roman" w:cs="Times New Roman" w:eastAsia="Times New Roman" w:hAnsi="Times New Roman"/>
          <w:sz w:val="14"/>
          <w:szCs w:val="14"/>
          <w:i w:val="1"/>
          <w:iCs w:val="1"/>
          <w:color w:val="auto"/>
        </w:rPr>
        <w:t xml:space="preserve">Contract Assets. </w:t>
      </w:r>
      <w:r>
        <w:rPr>
          <w:rFonts w:ascii="Times New Roman" w:cs="Times New Roman" w:eastAsia="Times New Roman" w:hAnsi="Times New Roman"/>
          <w:sz w:val="14"/>
          <w:szCs w:val="14"/>
          <w:color w:val="auto"/>
        </w:rPr>
        <w:t>Contract assets include unbilled amounts typically resulting from arrangements whereby complete satisfaction of a performance obligation and the right to payment are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conditioned on completing additional tasks or services.</w:t>
      </w:r>
    </w:p>
    <w:p>
      <w:pPr>
        <w:spacing w:after="0" w:line="141" w:lineRule="exact"/>
        <w:rPr>
          <w:sz w:val="20"/>
          <w:szCs w:val="20"/>
          <w:color w:val="auto"/>
        </w:rPr>
      </w:pPr>
    </w:p>
    <w:p>
      <w:pPr>
        <w:ind w:right="20" w:firstLine="255"/>
        <w:spacing w:after="0" w:line="271" w:lineRule="auto"/>
        <w:rPr>
          <w:sz w:val="20"/>
          <w:szCs w:val="20"/>
          <w:color w:val="auto"/>
        </w:rPr>
      </w:pPr>
      <w:r>
        <w:rPr>
          <w:rFonts w:ascii="Times New Roman" w:cs="Times New Roman" w:eastAsia="Times New Roman" w:hAnsi="Times New Roman"/>
          <w:sz w:val="14"/>
          <w:szCs w:val="14"/>
          <w:i w:val="1"/>
          <w:iCs w:val="1"/>
          <w:color w:val="auto"/>
        </w:rPr>
        <w:t xml:space="preserve">Contract Liabilities. </w:t>
      </w:r>
      <w:r>
        <w:rPr>
          <w:rFonts w:ascii="Times New Roman" w:cs="Times New Roman" w:eastAsia="Times New Roman" w:hAnsi="Times New Roman"/>
          <w:sz w:val="14"/>
          <w:szCs w:val="14"/>
          <w:color w:val="auto"/>
        </w:rPr>
        <w:t>Contract liabilities consist of amounts invoiced to customers in excess of revenue recognized. Our contract assets and liabilities are reported in a net position on a contract by</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contract basis at the end of each reporting period. As of January 25, 2025 and January 27, 2024, the contract liabilities balance is classified as current based on the timing of when we expect to complete the tasks required for the recognition of revenue and contract completion.</w:t>
      </w:r>
    </w:p>
    <w:p>
      <w:pPr>
        <w:spacing w:after="0" w:line="15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i w:val="1"/>
          <w:iCs w:val="1"/>
          <w:color w:val="auto"/>
        </w:rPr>
        <w:t xml:space="preserve">Cash and Equivalents. </w:t>
      </w:r>
      <w:r>
        <w:rPr>
          <w:rFonts w:ascii="Times New Roman" w:cs="Times New Roman" w:eastAsia="Times New Roman" w:hAnsi="Times New Roman"/>
          <w:sz w:val="14"/>
          <w:szCs w:val="14"/>
          <w:color w:val="auto"/>
        </w:rPr>
        <w:t>Cash and equivalents primarily include balances on deposit in banks. We maintain our cash and equivalents at financial institutions we believe to be of high credit quality.</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To date, we have not experienced any loss or lack of access to cash in our operating accounts.</w:t>
      </w:r>
    </w:p>
    <w:p>
      <w:pPr>
        <w:spacing w:after="0" w:line="183" w:lineRule="exact"/>
        <w:rPr>
          <w:sz w:val="20"/>
          <w:szCs w:val="20"/>
          <w:color w:val="auto"/>
        </w:rPr>
      </w:pPr>
    </w:p>
    <w:p>
      <w:pPr>
        <w:jc w:val="both"/>
        <w:ind w:right="140" w:firstLine="255"/>
        <w:spacing w:after="0" w:line="271" w:lineRule="auto"/>
        <w:rPr>
          <w:sz w:val="20"/>
          <w:szCs w:val="20"/>
          <w:color w:val="auto"/>
        </w:rPr>
      </w:pPr>
      <w:r>
        <w:rPr>
          <w:rFonts w:ascii="Times New Roman" w:cs="Times New Roman" w:eastAsia="Times New Roman" w:hAnsi="Times New Roman"/>
          <w:sz w:val="14"/>
          <w:szCs w:val="14"/>
          <w:i w:val="1"/>
          <w:iCs w:val="1"/>
          <w:color w:val="auto"/>
        </w:rPr>
        <w:t xml:space="preserve">Inventories. </w:t>
      </w:r>
      <w:r>
        <w:rPr>
          <w:rFonts w:ascii="Times New Roman" w:cs="Times New Roman" w:eastAsia="Times New Roman" w:hAnsi="Times New Roman"/>
          <w:sz w:val="14"/>
          <w:szCs w:val="14"/>
          <w:color w:val="auto"/>
        </w:rPr>
        <w:t>Inventories consist of materials and supplies used in the ordinary course of business and are carried at the lower of cost (using the first-in, first-out method) or net realizable value.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Inventories also include certain job specific materials that are valued using the specific identification method. For contracts where we are required to supply part or all of the materials on behalf of a customer, the loss of a customer or declines in contract volumes could result in an impairment of the value of materials purchased.</w:t>
      </w:r>
    </w:p>
    <w:p>
      <w:pPr>
        <w:spacing w:after="0" w:line="155" w:lineRule="exact"/>
        <w:rPr>
          <w:sz w:val="20"/>
          <w:szCs w:val="20"/>
          <w:color w:val="auto"/>
        </w:rPr>
      </w:pPr>
    </w:p>
    <w:p>
      <w:pPr>
        <w:ind w:firstLine="255"/>
        <w:spacing w:after="0" w:line="265" w:lineRule="auto"/>
        <w:rPr>
          <w:sz w:val="20"/>
          <w:szCs w:val="20"/>
          <w:color w:val="auto"/>
        </w:rPr>
      </w:pPr>
      <w:r>
        <w:rPr>
          <w:rFonts w:ascii="Times New Roman" w:cs="Times New Roman" w:eastAsia="Times New Roman" w:hAnsi="Times New Roman"/>
          <w:sz w:val="14"/>
          <w:szCs w:val="14"/>
          <w:i w:val="1"/>
          <w:iCs w:val="1"/>
          <w:color w:val="auto"/>
        </w:rPr>
        <w:t xml:space="preserve">Property and Equipment. </w:t>
      </w:r>
      <w:r>
        <w:rPr>
          <w:rFonts w:ascii="Times New Roman" w:cs="Times New Roman" w:eastAsia="Times New Roman" w:hAnsi="Times New Roman"/>
          <w:sz w:val="14"/>
          <w:szCs w:val="14"/>
          <w:color w:val="auto"/>
        </w:rPr>
        <w:t>Property and equipment are stated at cost and depreciated on a straight-line basis over their estimated useful lives (see Note 9,</w:t>
      </w:r>
      <w:r>
        <w:rPr>
          <w:rFonts w:ascii="Times New Roman" w:cs="Times New Roman" w:eastAsia="Times New Roman" w:hAnsi="Times New Roman"/>
          <w:sz w:val="14"/>
          <w:szCs w:val="14"/>
          <w:i w:val="1"/>
          <w:iCs w:val="1"/>
          <w:color w:val="auto"/>
        </w:rPr>
        <w:t xml:space="preserve"> Property and Equipment</w:t>
      </w:r>
      <w:r>
        <w:rPr>
          <w:rFonts w:ascii="Times New Roman" w:cs="Times New Roman" w:eastAsia="Times New Roman" w:hAnsi="Times New Roman"/>
          <w:sz w:val="14"/>
          <w:szCs w:val="14"/>
          <w:color w:val="auto"/>
        </w:rPr>
        <w:t>, for the range of</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useful lives). Leasehold improvements are depreciated on a straight-line basis over the lesser of the estimated useful life of the asset or the remaining lease term. Maintenance and repairs are expensed as incurred and major improvements are capitalized. When assets are sold or retired, the cost and related accumulated depreciation are removed from the accounts and the resulting gain or loss is included in other income. Capitalized software consists primarily of costs to purchase and develop internal-use software and is amortized over its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44" w:lineRule="exact"/>
        <w:rPr>
          <w:sz w:val="20"/>
          <w:szCs w:val="20"/>
          <w:color w:val="auto"/>
        </w:rPr>
      </w:pPr>
    </w:p>
    <w:p>
      <w:pPr>
        <w:ind w:right="240"/>
        <w:spacing w:after="0" w:line="287" w:lineRule="auto"/>
        <w:rPr>
          <w:sz w:val="20"/>
          <w:szCs w:val="20"/>
          <w:color w:val="auto"/>
        </w:rPr>
      </w:pPr>
      <w:r>
        <w:rPr>
          <w:rFonts w:ascii="Times New Roman" w:cs="Times New Roman" w:eastAsia="Times New Roman" w:hAnsi="Times New Roman"/>
          <w:sz w:val="14"/>
          <w:szCs w:val="14"/>
          <w:color w:val="auto"/>
        </w:rPr>
        <w:t>useful life as a component of depreciation expense. Property and equipment includes internally developed capitalized computer software at net book value of $14.3 million and $12.4 million as of January 25, 2025 and January 27, 2024, respectively.</w:t>
      </w:r>
    </w:p>
    <w:p>
      <w:pPr>
        <w:spacing w:after="0" w:line="143" w:lineRule="exact"/>
        <w:rPr>
          <w:sz w:val="20"/>
          <w:szCs w:val="20"/>
          <w:color w:val="auto"/>
        </w:rPr>
      </w:pPr>
    </w:p>
    <w:p>
      <w:pPr>
        <w:ind w:right="20" w:firstLine="255"/>
        <w:spacing w:after="0" w:line="260" w:lineRule="auto"/>
        <w:rPr>
          <w:sz w:val="20"/>
          <w:szCs w:val="20"/>
          <w:color w:val="auto"/>
        </w:rPr>
      </w:pPr>
      <w:r>
        <w:rPr>
          <w:rFonts w:ascii="Times New Roman" w:cs="Times New Roman" w:eastAsia="Times New Roman" w:hAnsi="Times New Roman"/>
          <w:sz w:val="14"/>
          <w:szCs w:val="14"/>
          <w:i w:val="1"/>
          <w:iCs w:val="1"/>
          <w:color w:val="auto"/>
        </w:rPr>
        <w:t xml:space="preserve">Leases. </w:t>
      </w:r>
      <w:r>
        <w:rPr>
          <w:rFonts w:ascii="Times New Roman" w:cs="Times New Roman" w:eastAsia="Times New Roman" w:hAnsi="Times New Roman"/>
          <w:sz w:val="14"/>
          <w:szCs w:val="14"/>
          <w:color w:val="auto"/>
        </w:rPr>
        <w:t>Our leases are accounted for as operating leases, with lease expense recognized on a straight-line basis over the lease term. The lease term may include options to extend or terminate the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lease when it is reasonably certain that we will exercise that option. For leases with initial terms greater than 12 months, we record operating lease right-of-use assets and corresponding operating lease liabilities. Operating lease right-of-use assets represent our right to use the underlying asset for the lease term and operating lease liabilities represent our obligation to make the related lease payments. These assets and liabilities are recognized at the commencement date based on the present value of lease payments over the lease term. As our leases do not provide an implicit rate, we use our incremental borrowing rate based on the information available at the commencement date in determining the present value of lease payments. Leases with an initial term of 12 months or less are not recorded on our consolidated balance sheet.</w:t>
      </w:r>
    </w:p>
    <w:p>
      <w:pPr>
        <w:spacing w:after="0" w:line="163" w:lineRule="exact"/>
        <w:rPr>
          <w:sz w:val="20"/>
          <w:szCs w:val="20"/>
          <w:color w:val="auto"/>
        </w:rPr>
      </w:pPr>
    </w:p>
    <w:p>
      <w:pPr>
        <w:ind w:right="40" w:firstLine="255"/>
        <w:spacing w:after="0" w:line="262" w:lineRule="auto"/>
        <w:rPr>
          <w:sz w:val="20"/>
          <w:szCs w:val="20"/>
          <w:color w:val="auto"/>
        </w:rPr>
      </w:pPr>
      <w:r>
        <w:rPr>
          <w:rFonts w:ascii="Times New Roman" w:cs="Times New Roman" w:eastAsia="Times New Roman" w:hAnsi="Times New Roman"/>
          <w:sz w:val="14"/>
          <w:szCs w:val="14"/>
          <w:i w:val="1"/>
          <w:iCs w:val="1"/>
          <w:color w:val="auto"/>
        </w:rPr>
        <w:t xml:space="preserve">Goodwill and Intangible Assets. </w:t>
      </w:r>
      <w:r>
        <w:rPr>
          <w:rFonts w:ascii="Times New Roman" w:cs="Times New Roman" w:eastAsia="Times New Roman" w:hAnsi="Times New Roman"/>
          <w:sz w:val="14"/>
          <w:szCs w:val="14"/>
          <w:color w:val="auto"/>
        </w:rPr>
        <w:t>Goodwill and other indefinite-lived intangible assets are assessed annually for impairment as of the first day of the fourth fiscal quarter of each year, or more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frequently if events occur that would indicate a potential reduction in the fair value of a reporting unit below its carrying value. We perform our annual impairment review of goodwill at the reporting unit level. Each of our operating segments with goodwill represents a reporting unit for the purpose of assessing impairment. If we determine the fair value of the reporting unit’s goodwill or other indefinite-lived intangible assets is less than their carrying value as a result of an annual or interim test, an impairment loss is recognized and reflected in operating income or loss in the consolidated statements of operations during the period incurred.</w:t>
      </w:r>
    </w:p>
    <w:p>
      <w:pPr>
        <w:spacing w:after="0" w:line="163" w:lineRule="exact"/>
        <w:rPr>
          <w:sz w:val="20"/>
          <w:szCs w:val="20"/>
          <w:color w:val="auto"/>
        </w:rPr>
      </w:pPr>
    </w:p>
    <w:p>
      <w:pPr>
        <w:ind w:right="40" w:firstLine="255"/>
        <w:spacing w:after="0" w:line="264" w:lineRule="auto"/>
        <w:rPr>
          <w:sz w:val="20"/>
          <w:szCs w:val="20"/>
          <w:color w:val="auto"/>
        </w:rPr>
      </w:pPr>
      <w:r>
        <w:rPr>
          <w:rFonts w:ascii="Times New Roman" w:cs="Times New Roman" w:eastAsia="Times New Roman" w:hAnsi="Times New Roman"/>
          <w:sz w:val="14"/>
          <w:szCs w:val="14"/>
          <w:color w:val="auto"/>
        </w:rPr>
        <w:t>We review finite-lived intangible assets for impairment whenever an event occurs or circumstances change that indicate that the carrying amount of such assets may not be fully recoverable. Recoverability is determined based on an estimate of undiscounted future cash flows resulting from the use of an asset and its eventual disposition. If an asset is not recoverable, an impairment loss is measured by comparing the fair value of the asset to its carrying value. If we determine the fair value of an asset is less than the carrying value, an impairment loss is recognized in operating income or loss in the consolidated statements of operations during the period incurred.</w:t>
      </w:r>
    </w:p>
    <w:p>
      <w:pPr>
        <w:spacing w:after="0" w:line="162" w:lineRule="exact"/>
        <w:rPr>
          <w:sz w:val="20"/>
          <w:szCs w:val="20"/>
          <w:color w:val="auto"/>
        </w:rPr>
      </w:pPr>
    </w:p>
    <w:p>
      <w:pPr>
        <w:ind w:firstLine="255"/>
        <w:spacing w:after="0" w:line="259" w:lineRule="auto"/>
        <w:rPr>
          <w:sz w:val="20"/>
          <w:szCs w:val="20"/>
          <w:color w:val="auto"/>
        </w:rPr>
      </w:pPr>
      <w:r>
        <w:rPr>
          <w:rFonts w:ascii="Times New Roman" w:cs="Times New Roman" w:eastAsia="Times New Roman" w:hAnsi="Times New Roman"/>
          <w:sz w:val="14"/>
          <w:szCs w:val="14"/>
          <w:color w:val="auto"/>
        </w:rPr>
        <w:t xml:space="preserve">We use judgment in assessing whether goodwill and intangible assets are impaired. Estimates of fair value are based on our projection of revenues, operating costs, and cash flows taking into consideration historical and anticipated future results, general economic and market conditions, as well as the impact of planned business or operational strategies. We determine the fair value of our reporting units using a weighing of fair values derived in equal proportions from the income approach and market approach valuation methodologies. The income approach uses the discounted cash flow method and the market approach uses the guideline company method. Changes in our judgments and projections could result in significantly different estimates of fair value, potentially resulting in impairments of goodwill and other intangible assets. The inputs used for fair value measurements of the reporting units and other related indefinite-lived intangible assets are the lowest level (Level 3) inputs. See Note 10, </w:t>
      </w:r>
      <w:r>
        <w:rPr>
          <w:rFonts w:ascii="Times New Roman" w:cs="Times New Roman" w:eastAsia="Times New Roman" w:hAnsi="Times New Roman"/>
          <w:sz w:val="14"/>
          <w:szCs w:val="14"/>
          <w:i w:val="1"/>
          <w:iCs w:val="1"/>
          <w:color w:val="auto"/>
        </w:rPr>
        <w:t>Goodwill and Intangible Assets</w:t>
      </w:r>
      <w:r>
        <w:rPr>
          <w:rFonts w:ascii="Times New Roman" w:cs="Times New Roman" w:eastAsia="Times New Roman" w:hAnsi="Times New Roman"/>
          <w:sz w:val="14"/>
          <w:szCs w:val="14"/>
          <w:color w:val="auto"/>
        </w:rPr>
        <w:t>, for additional information regarding our annual assessment of goodwill and other indefinite-lived intangible assets.</w:t>
      </w:r>
    </w:p>
    <w:p>
      <w:pPr>
        <w:spacing w:after="0" w:line="165" w:lineRule="exact"/>
        <w:rPr>
          <w:sz w:val="20"/>
          <w:szCs w:val="20"/>
          <w:color w:val="auto"/>
        </w:rPr>
      </w:pPr>
    </w:p>
    <w:p>
      <w:pPr>
        <w:ind w:firstLine="255"/>
        <w:spacing w:after="0" w:line="262" w:lineRule="auto"/>
        <w:rPr>
          <w:sz w:val="20"/>
          <w:szCs w:val="20"/>
          <w:color w:val="auto"/>
        </w:rPr>
      </w:pPr>
      <w:r>
        <w:rPr>
          <w:rFonts w:ascii="Times New Roman" w:cs="Times New Roman" w:eastAsia="Times New Roman" w:hAnsi="Times New Roman"/>
          <w:sz w:val="14"/>
          <w:szCs w:val="14"/>
          <w:i w:val="1"/>
          <w:iCs w:val="1"/>
          <w:color w:val="auto"/>
        </w:rPr>
        <w:t xml:space="preserve">Implementation Costs – Cloud Computing Arrangements. </w:t>
      </w:r>
      <w:r>
        <w:rPr>
          <w:rFonts w:ascii="Times New Roman" w:cs="Times New Roman" w:eastAsia="Times New Roman" w:hAnsi="Times New Roman"/>
          <w:sz w:val="14"/>
          <w:szCs w:val="14"/>
          <w:color w:val="auto"/>
        </w:rPr>
        <w:t>In accordance with ASU 2018-15, Customer’s Accounting for Implementation Costs Incurred in a Cloud Computing Arrangement That</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Is a Service Contract, which amends ASC 350-40, Internal-Use Software, to the extent costs incurred in a cloud computing arrangement are capitalizable, the corresponding costs are recorded in other assets and the related amortization is included in general and administrative expense in the consolidated statements of operations. The amount of capitalized cloud computing implementation costs included in other non-current assets was $29.8 million and $7.2 million as of January 25, 2025 and January 27, 2024 , respectively. The amortization of capitalized implementation costs related to cloud computing arrangements was not material during fiscal 2025, fiscal 2024, or fiscal 2023.</w:t>
      </w:r>
    </w:p>
    <w:p>
      <w:pPr>
        <w:spacing w:after="0" w:line="161" w:lineRule="exact"/>
        <w:rPr>
          <w:sz w:val="20"/>
          <w:szCs w:val="20"/>
          <w:color w:val="auto"/>
        </w:rPr>
      </w:pPr>
    </w:p>
    <w:p>
      <w:pPr>
        <w:ind w:right="120" w:firstLine="255"/>
        <w:spacing w:after="0" w:line="265" w:lineRule="auto"/>
        <w:rPr>
          <w:sz w:val="20"/>
          <w:szCs w:val="20"/>
          <w:color w:val="auto"/>
        </w:rPr>
      </w:pPr>
      <w:r>
        <w:rPr>
          <w:rFonts w:ascii="Times New Roman" w:cs="Times New Roman" w:eastAsia="Times New Roman" w:hAnsi="Times New Roman"/>
          <w:sz w:val="14"/>
          <w:szCs w:val="14"/>
          <w:i w:val="1"/>
          <w:iCs w:val="1"/>
          <w:color w:val="auto"/>
        </w:rPr>
        <w:t xml:space="preserve">Long-Lived Tangible Assets. </w:t>
      </w:r>
      <w:r>
        <w:rPr>
          <w:rFonts w:ascii="Times New Roman" w:cs="Times New Roman" w:eastAsia="Times New Roman" w:hAnsi="Times New Roman"/>
          <w:sz w:val="14"/>
          <w:szCs w:val="14"/>
          <w:color w:val="auto"/>
        </w:rPr>
        <w:t>We review long-lived tangible assets for impairment whenever events or changes in circumstances indicate that the carrying amount of such assets may not be fully</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recoverable. Determination of recoverability is based on an estimate of undiscounted future cash flows resulting from the use of an asset group and its eventual disposition. Measurement of an impairment loss is based on the fair value of the asset compared to its carrying value. Long-lived tangible assets to be disposed of are reported at the lower of their carrying amount or fair value less costs to sell.</w:t>
      </w:r>
    </w:p>
    <w:p>
      <w:pPr>
        <w:spacing w:after="0" w:line="159" w:lineRule="exact"/>
        <w:rPr>
          <w:sz w:val="20"/>
          <w:szCs w:val="20"/>
          <w:color w:val="auto"/>
        </w:rPr>
      </w:pPr>
    </w:p>
    <w:p>
      <w:pPr>
        <w:ind w:right="40" w:firstLine="255"/>
        <w:spacing w:after="0" w:line="265" w:lineRule="auto"/>
        <w:rPr>
          <w:sz w:val="20"/>
          <w:szCs w:val="20"/>
          <w:color w:val="auto"/>
        </w:rPr>
      </w:pPr>
      <w:r>
        <w:rPr>
          <w:rFonts w:ascii="Times New Roman" w:cs="Times New Roman" w:eastAsia="Times New Roman" w:hAnsi="Times New Roman"/>
          <w:sz w:val="14"/>
          <w:szCs w:val="14"/>
          <w:i w:val="1"/>
          <w:iCs w:val="1"/>
          <w:color w:val="auto"/>
        </w:rPr>
        <w:t xml:space="preserve">Accrued Insurance Claims. </w:t>
      </w:r>
      <w:r>
        <w:rPr>
          <w:rFonts w:ascii="Times New Roman" w:cs="Times New Roman" w:eastAsia="Times New Roman" w:hAnsi="Times New Roman"/>
          <w:sz w:val="14"/>
          <w:szCs w:val="14"/>
          <w:color w:val="auto"/>
        </w:rPr>
        <w:t>For claims within our insurance program, we retain the risk of loss, up to certain limits, for matters related to automobile liability, general liability (including damages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associated with underground facility locating services), workers’ compensation, and employee group health. Additionally, within our aggregate coverage limits and above our base layer of third-party insurance coverage, we have retained the risk of loss at certain levels of exposure. We have established reserves that we believe to be adequate based on current evaluations and our experience with these types of claims. A liability for unpaid claims and the associated claim expenses, including incurred but not reported losses, is determined with</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44" w:lineRule="exact"/>
        <w:rPr>
          <w:sz w:val="20"/>
          <w:szCs w:val="20"/>
          <w:color w:val="auto"/>
        </w:rPr>
      </w:pPr>
    </w:p>
    <w:p>
      <w:pPr>
        <w:ind w:right="360"/>
        <w:spacing w:after="0" w:line="287" w:lineRule="auto"/>
        <w:rPr>
          <w:sz w:val="20"/>
          <w:szCs w:val="20"/>
          <w:color w:val="auto"/>
        </w:rPr>
      </w:pPr>
      <w:r>
        <w:rPr>
          <w:rFonts w:ascii="Times New Roman" w:cs="Times New Roman" w:eastAsia="Times New Roman" w:hAnsi="Times New Roman"/>
          <w:sz w:val="14"/>
          <w:szCs w:val="14"/>
          <w:color w:val="auto"/>
        </w:rPr>
        <w:t>the assistance of an actuary and reflected in the consolidated financial statements as accrued insurance claims. The effect on our financial statements is generally limited to the amount needed to satisfy our insurance deductibles or retentions.</w:t>
      </w:r>
    </w:p>
    <w:p>
      <w:pPr>
        <w:spacing w:after="0" w:line="145" w:lineRule="exact"/>
        <w:rPr>
          <w:sz w:val="20"/>
          <w:szCs w:val="20"/>
          <w:color w:val="auto"/>
        </w:rPr>
      </w:pPr>
    </w:p>
    <w:p>
      <w:pPr>
        <w:ind w:right="180" w:firstLine="255"/>
        <w:spacing w:after="0" w:line="264" w:lineRule="auto"/>
        <w:rPr>
          <w:sz w:val="20"/>
          <w:szCs w:val="20"/>
          <w:color w:val="auto"/>
        </w:rPr>
      </w:pPr>
      <w:r>
        <w:rPr>
          <w:rFonts w:ascii="Times New Roman" w:cs="Times New Roman" w:eastAsia="Times New Roman" w:hAnsi="Times New Roman"/>
          <w:sz w:val="14"/>
          <w:szCs w:val="14"/>
          <w:color w:val="auto"/>
        </w:rPr>
        <w:t>We estimate the liability for claims based on facts, circumstances, and historical experience. Even though they will not be paid until sometime in the future, recorded loss reserves are not discounted. Factors affecting the determination of the expected cost for existing and incurred but not reported claims include, but are not limited to, the magnitude and quantity of future claims, the payment pattern of claims which have been incurred, changes in the medical condition of claimants, and other factors such as inflation, tort reform or other legislative changes, unfavorable jury decisions and court interpretations.</w:t>
      </w:r>
    </w:p>
    <w:p>
      <w:pPr>
        <w:spacing w:after="0" w:line="160" w:lineRule="exact"/>
        <w:rPr>
          <w:sz w:val="20"/>
          <w:szCs w:val="20"/>
          <w:color w:val="auto"/>
        </w:rPr>
      </w:pPr>
    </w:p>
    <w:p>
      <w:pPr>
        <w:ind w:right="100" w:firstLine="255"/>
        <w:spacing w:after="0" w:line="260" w:lineRule="auto"/>
        <w:rPr>
          <w:sz w:val="20"/>
          <w:szCs w:val="20"/>
          <w:color w:val="auto"/>
        </w:rPr>
      </w:pPr>
      <w:r>
        <w:rPr>
          <w:rFonts w:ascii="Times New Roman" w:cs="Times New Roman" w:eastAsia="Times New Roman" w:hAnsi="Times New Roman"/>
          <w:sz w:val="14"/>
          <w:szCs w:val="14"/>
          <w:i w:val="1"/>
          <w:iCs w:val="1"/>
          <w:color w:val="auto"/>
        </w:rPr>
        <w:t xml:space="preserve">Income Taxes. </w:t>
      </w:r>
      <w:r>
        <w:rPr>
          <w:rFonts w:ascii="Times New Roman" w:cs="Times New Roman" w:eastAsia="Times New Roman" w:hAnsi="Times New Roman"/>
          <w:sz w:val="14"/>
          <w:szCs w:val="14"/>
          <w:color w:val="auto"/>
        </w:rPr>
        <w:t>We account for income taxes under the asset and liability method. This approach requires the recognition of deferred tax assets and liabilities for the expected future tax</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consequences of temporary differences between the carrying amounts and the tax bases of assets and liabilities. Measurement of our tax position is based on the applicable statutes, federal and state case law, and our interpretations of tax regulations. The effect of a change in tax rates on deferred tax assets and liabilities is recognized in income during the period that includes the enactment date. We record net deferred tax assets to the extent we believe these assets will more likely than not be realized. In making such determination, we consider all relevant factors, including future reversals of existing taxable temporary differences, projected future taxable income, tax planning strategies and recent financial operations. In the event we determine that we would be able to realize deferred income tax assets in excess of their net recorded amount, we would adjust the valuation allowance, which would reduce the provision for income taxes.</w:t>
      </w:r>
    </w:p>
    <w:p>
      <w:pPr>
        <w:spacing w:after="0" w:line="165" w:lineRule="exact"/>
        <w:rPr>
          <w:sz w:val="20"/>
          <w:szCs w:val="20"/>
          <w:color w:val="auto"/>
        </w:rPr>
      </w:pPr>
    </w:p>
    <w:p>
      <w:pPr>
        <w:jc w:val="both"/>
        <w:ind w:right="140" w:firstLine="255"/>
        <w:spacing w:after="0" w:line="270" w:lineRule="auto"/>
        <w:rPr>
          <w:sz w:val="20"/>
          <w:szCs w:val="20"/>
          <w:color w:val="auto"/>
        </w:rPr>
      </w:pPr>
      <w:r>
        <w:rPr>
          <w:rFonts w:ascii="Times New Roman" w:cs="Times New Roman" w:eastAsia="Times New Roman" w:hAnsi="Times New Roman"/>
          <w:sz w:val="14"/>
          <w:szCs w:val="14"/>
          <w:color w:val="auto"/>
        </w:rPr>
        <w:t>We recognize tax benefits in the amount that we deem, more likely than not, will be realized upon ultimate settlement of any tax uncertainty. Tax positions that fail to qualify for recognition are recognized during the period in which the more-likely-than-not standard has been reached, when the tax positions are resolved with the respective taxing authority or when the statute of limitations for tax examination has expired. We recognize applicable interest related to tax amounts in interest expense and penalties within general and administrative expenses.</w:t>
      </w:r>
    </w:p>
    <w:p>
      <w:pPr>
        <w:spacing w:after="0" w:line="15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We believe our provision for income taxes is adequate; however, any assessment would affect our results of operations and cash flows. With few exceptions, we are no longer subject to U.S.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federal, state and local, or Canadian income tax examinations for fiscal years ended 2018 and prior.</w:t>
      </w:r>
    </w:p>
    <w:p>
      <w:pPr>
        <w:spacing w:after="0" w:line="183" w:lineRule="exact"/>
        <w:rPr>
          <w:sz w:val="20"/>
          <w:szCs w:val="20"/>
          <w:color w:val="auto"/>
        </w:rPr>
      </w:pPr>
    </w:p>
    <w:p>
      <w:pPr>
        <w:ind w:right="20" w:firstLine="255"/>
        <w:spacing w:after="0" w:line="265" w:lineRule="auto"/>
        <w:rPr>
          <w:sz w:val="20"/>
          <w:szCs w:val="20"/>
          <w:color w:val="auto"/>
        </w:rPr>
      </w:pPr>
      <w:r>
        <w:rPr>
          <w:rFonts w:ascii="Times New Roman" w:cs="Times New Roman" w:eastAsia="Times New Roman" w:hAnsi="Times New Roman"/>
          <w:sz w:val="14"/>
          <w:szCs w:val="14"/>
          <w:i w:val="1"/>
          <w:iCs w:val="1"/>
          <w:color w:val="auto"/>
        </w:rPr>
        <w:t xml:space="preserve">Per Share Data. </w:t>
      </w:r>
      <w:r>
        <w:rPr>
          <w:rFonts w:ascii="Times New Roman" w:cs="Times New Roman" w:eastAsia="Times New Roman" w:hAnsi="Times New Roman"/>
          <w:sz w:val="14"/>
          <w:szCs w:val="14"/>
          <w:color w:val="auto"/>
        </w:rPr>
        <w:t>Basic earnings per common share is computed based on the weighted average number of common shares outstanding during the period, excluding unvested restricted share units.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Diluted earnings per common share includes the weighted average number of common shares outstanding during the period and dilutive potential common shares arising from our stock-based awards (including unvested restricted share units), convertible senior notes, and warrants if their inclusion is dilutive under the treasury stock method. Common stock equivalents related to stock-based awards are excluded from diluted earnings per common share calculations if their effect would be anti-dilutive.</w:t>
      </w:r>
    </w:p>
    <w:p>
      <w:pPr>
        <w:spacing w:after="0" w:line="159" w:lineRule="exact"/>
        <w:rPr>
          <w:sz w:val="20"/>
          <w:szCs w:val="20"/>
          <w:color w:val="auto"/>
        </w:rPr>
      </w:pPr>
    </w:p>
    <w:p>
      <w:pPr>
        <w:ind w:firstLine="255"/>
        <w:spacing w:after="0" w:line="265" w:lineRule="auto"/>
        <w:rPr>
          <w:sz w:val="20"/>
          <w:szCs w:val="20"/>
          <w:color w:val="auto"/>
        </w:rPr>
      </w:pPr>
      <w:r>
        <w:rPr>
          <w:rFonts w:ascii="Times New Roman" w:cs="Times New Roman" w:eastAsia="Times New Roman" w:hAnsi="Times New Roman"/>
          <w:sz w:val="14"/>
          <w:szCs w:val="14"/>
          <w:i w:val="1"/>
          <w:iCs w:val="1"/>
          <w:color w:val="auto"/>
        </w:rPr>
        <w:t xml:space="preserve">Stock-Based Compensation. </w:t>
      </w:r>
      <w:r>
        <w:rPr>
          <w:rFonts w:ascii="Times New Roman" w:cs="Times New Roman" w:eastAsia="Times New Roman" w:hAnsi="Times New Roman"/>
          <w:sz w:val="14"/>
          <w:szCs w:val="14"/>
          <w:color w:val="auto"/>
        </w:rPr>
        <w:t>We have stock-based compensation plans under which we grant stock-based awards, including stock options, time-based restricted share units (“RSUs”), and</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performance-based restricted share units (“Performance RSUs”) to attract, retain, and reward talented employees, officers, and directors, and to align stockholder and employee interests. The resulting compensation expense is recognized on a straight-line basis over the vesting period, net of actual forfeitures, and is included in general and administrative expenses in the consolidated statements of operations. This expense fluctuates over time as a result of the vesting periods of the stock-based awards and, for our Performance RSUs, the expected achievement of performance measures.</w:t>
      </w:r>
    </w:p>
    <w:p>
      <w:pPr>
        <w:spacing w:after="0" w:line="161" w:lineRule="exact"/>
        <w:rPr>
          <w:sz w:val="20"/>
          <w:szCs w:val="20"/>
          <w:color w:val="auto"/>
        </w:rPr>
      </w:pPr>
    </w:p>
    <w:p>
      <w:pPr>
        <w:ind w:right="20" w:firstLine="255"/>
        <w:spacing w:after="0" w:line="259" w:lineRule="auto"/>
        <w:rPr>
          <w:sz w:val="20"/>
          <w:szCs w:val="20"/>
          <w:color w:val="auto"/>
        </w:rPr>
      </w:pPr>
      <w:r>
        <w:rPr>
          <w:rFonts w:ascii="Times New Roman" w:cs="Times New Roman" w:eastAsia="Times New Roman" w:hAnsi="Times New Roman"/>
          <w:sz w:val="14"/>
          <w:szCs w:val="14"/>
          <w:color w:val="auto"/>
        </w:rPr>
        <w:t>Compensation expense for stock-based awards is based on fair value at the measurement date. The fair value of stock options is estimated on the date of grant using the Black-Scholes option pricing model. This valuation is affected by our stock price as well as other inputs, including the expected common stock price volatility over the expected life of the options, the expected term of the stock option, risk-free interest rates, and expected dividends, if any. Stock options vest ratably over a four-year period and are exercisable over a period of up to ten years. The fair value of RSUs and Performance RSUs is estimated on the date of grant and is equal to the closing market price per share of our common stock on that date. RSUs generally vest ratably over a four-year period. Performance RSUs vest ratably over a three-year period, if certain performance measures are achieved. Each RSU and Performance RSU is settled in one share of the Company’s common stock upon vesting.</w:t>
      </w:r>
    </w:p>
    <w:p>
      <w:pPr>
        <w:spacing w:after="0" w:line="167" w:lineRule="exact"/>
        <w:rPr>
          <w:sz w:val="20"/>
          <w:szCs w:val="20"/>
          <w:color w:val="auto"/>
        </w:rPr>
      </w:pPr>
    </w:p>
    <w:p>
      <w:pPr>
        <w:ind w:right="40" w:firstLine="255"/>
        <w:spacing w:after="0" w:line="264" w:lineRule="auto"/>
        <w:rPr>
          <w:sz w:val="20"/>
          <w:szCs w:val="20"/>
          <w:color w:val="auto"/>
        </w:rPr>
      </w:pPr>
      <w:r>
        <w:rPr>
          <w:rFonts w:ascii="Times New Roman" w:cs="Times New Roman" w:eastAsia="Times New Roman" w:hAnsi="Times New Roman"/>
          <w:sz w:val="14"/>
          <w:szCs w:val="14"/>
          <w:color w:val="auto"/>
        </w:rPr>
        <w:t>For Performance RSUs, we evaluate compensation expense quarterly and recognize expense only if we determine it is probable that the performance measures for the awards will be met. The performance measures for target awards are based on our operating earnings (adjusted for certain amounts) as a percentage of contract revenues and our operating cash flow level (adjusted for certain amounts) for the applicable four-quarter performance period. Additionally, certain awards include three-year performance measures that are more difficult to achieve than those required to earn target awards and, if met, result in</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44"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4"/>
          <w:szCs w:val="14"/>
          <w:color w:val="auto"/>
        </w:rPr>
        <w:t xml:space="preserve">supplemental shares awarded. The performance measures for supplemental awards are based on three-year cumulative operating earnings (adjusted for certain amounts) as a percentage of contract revenues and three-year cumulative operating cash flow level (adjusted for certain amounts). In a period we determine it is no longer probable that we will achieve certain performance measures for the awards, we reverse the stock-based compensation expense that we had previously recognized and associated with the portion of Performance RSUs that are no longer expected to vest. The amount of the expense ultimately recognized depends on the number of awards that actually vest. Accordingly, stock-based compensation expense may vary from period to period. For additional information on our stock-based compensation plans, stock options, RSUs, and Performance RSUs, see Note 19, </w:t>
      </w:r>
      <w:r>
        <w:rPr>
          <w:rFonts w:ascii="Times New Roman" w:cs="Times New Roman" w:eastAsia="Times New Roman" w:hAnsi="Times New Roman"/>
          <w:sz w:val="14"/>
          <w:szCs w:val="14"/>
          <w:i w:val="1"/>
          <w:iCs w:val="1"/>
          <w:color w:val="auto"/>
        </w:rPr>
        <w:t>Stock-Based Awards</w:t>
      </w:r>
      <w:r>
        <w:rPr>
          <w:rFonts w:ascii="Times New Roman" w:cs="Times New Roman" w:eastAsia="Times New Roman" w:hAnsi="Times New Roman"/>
          <w:sz w:val="14"/>
          <w:szCs w:val="14"/>
          <w:color w:val="auto"/>
        </w:rPr>
        <w:t>.</w:t>
      </w:r>
    </w:p>
    <w:p>
      <w:pPr>
        <w:spacing w:after="0" w:line="162" w:lineRule="exact"/>
        <w:rPr>
          <w:sz w:val="20"/>
          <w:szCs w:val="20"/>
          <w:color w:val="auto"/>
        </w:rPr>
      </w:pPr>
    </w:p>
    <w:p>
      <w:pPr>
        <w:ind w:right="20" w:firstLine="255"/>
        <w:spacing w:after="0" w:line="260" w:lineRule="auto"/>
        <w:rPr>
          <w:sz w:val="20"/>
          <w:szCs w:val="20"/>
          <w:color w:val="auto"/>
        </w:rPr>
      </w:pPr>
      <w:r>
        <w:rPr>
          <w:rFonts w:ascii="Times New Roman" w:cs="Times New Roman" w:eastAsia="Times New Roman" w:hAnsi="Times New Roman"/>
          <w:sz w:val="14"/>
          <w:szCs w:val="14"/>
          <w:i w:val="1"/>
          <w:iCs w:val="1"/>
          <w:color w:val="auto"/>
        </w:rPr>
        <w:t xml:space="preserve">Contingencies and Litigation. </w:t>
      </w:r>
      <w:r>
        <w:rPr>
          <w:rFonts w:ascii="Times New Roman" w:cs="Times New Roman" w:eastAsia="Times New Roman" w:hAnsi="Times New Roman"/>
          <w:sz w:val="14"/>
          <w:szCs w:val="14"/>
          <w:color w:val="auto"/>
        </w:rPr>
        <w:t>In the ordinary course of our business, we are involved in certain legal proceedings and other claims, including claims for indemnification by our customers. In</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determining whether a loss should be accrued, we evaluate, among other factors, the probability of an unfavorable outcome and the ability to make a reasonable estimate of the amount of loss. If only a range of probable loss can be determined, we accrue for our best estimate within the range for the contingency. In those cases where none of the estimates within the range is better than another, we accrue for the amount representing the low end of the range. As additional information becomes available, we reassess the potential liability related to our pending litigation and other contingencies and revise our estimates as applicable. Revisions of our estimates of the potential liability could materially impact our results of operations. Additionally, if the final outcome of such litigation and contingencies differs adversely from that currently expected, it would result in a charge to operating results when determined.</w:t>
      </w:r>
    </w:p>
    <w:p>
      <w:pPr>
        <w:spacing w:after="0" w:line="163" w:lineRule="exact"/>
        <w:rPr>
          <w:sz w:val="20"/>
          <w:szCs w:val="20"/>
          <w:color w:val="auto"/>
        </w:rPr>
      </w:pPr>
    </w:p>
    <w:p>
      <w:pPr>
        <w:ind w:right="20" w:firstLine="255"/>
        <w:spacing w:after="0" w:line="257" w:lineRule="auto"/>
        <w:rPr>
          <w:sz w:val="20"/>
          <w:szCs w:val="20"/>
          <w:color w:val="auto"/>
        </w:rPr>
      </w:pPr>
      <w:r>
        <w:rPr>
          <w:rFonts w:ascii="Times New Roman" w:cs="Times New Roman" w:eastAsia="Times New Roman" w:hAnsi="Times New Roman"/>
          <w:sz w:val="14"/>
          <w:szCs w:val="14"/>
          <w:i w:val="1"/>
          <w:iCs w:val="1"/>
          <w:color w:val="auto"/>
        </w:rPr>
        <w:t xml:space="preserve">Business Combinations. </w:t>
      </w:r>
      <w:r>
        <w:rPr>
          <w:rFonts w:ascii="Times New Roman" w:cs="Times New Roman" w:eastAsia="Times New Roman" w:hAnsi="Times New Roman"/>
          <w:sz w:val="14"/>
          <w:szCs w:val="14"/>
          <w:color w:val="auto"/>
        </w:rPr>
        <w:t>We account for business combinations under the acquisition method of accounting. The purchase price of each business acquired is allocated to the tangible and</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intangible assets acquired and the liabilities assumed based on information regarding their respective fair values on the date of acquisition. Any excess of the purchase price over the fair value of the separately identifiable assets acquired and the liabilities assumed is allocated to goodwill. Management determines the fair values used in purchase price allocations for intangible assets based on historical data, estimated discounted future cash flows, expected royalty rates for trademarks and trade names, as well as certain other information. The valuation of assets acquired and liabilities assumed requires a number of judgments and is subject to revision as additional information about the fair value of assets and liabilities becomes available. Additional information, which existed as of the acquisition date but unknown to us at that time, may become known during the remainder of the measurement period. This measurement period may not exceed 12 months from the acquisition date. We will recognize any adjustments to provisional amounts that are identified during the measurement period in the reporting period in which the adjustments are determined. Additionally, in the same period in which adjustments are recognized, we will record the effect on earnings of changes in depreciation, amortization, or other income effects, if any, as a result of any change to the provisional amounts, calculated as if the accounting adjustment had been completed at the acquisition date. Acquisition costs are expensed as incurred. The results of operations of businesses acquired are included in the consolidated financial statements from their dates of acquisition.</w:t>
      </w:r>
    </w:p>
    <w:p>
      <w:pPr>
        <w:spacing w:after="0" w:line="165" w:lineRule="exact"/>
        <w:rPr>
          <w:sz w:val="20"/>
          <w:szCs w:val="20"/>
          <w:color w:val="auto"/>
        </w:rPr>
      </w:pPr>
    </w:p>
    <w:p>
      <w:pPr>
        <w:ind w:right="20" w:firstLine="255"/>
        <w:spacing w:after="0" w:line="262" w:lineRule="auto"/>
        <w:rPr>
          <w:sz w:val="20"/>
          <w:szCs w:val="20"/>
          <w:color w:val="auto"/>
        </w:rPr>
      </w:pPr>
      <w:r>
        <w:rPr>
          <w:rFonts w:ascii="Times New Roman" w:cs="Times New Roman" w:eastAsia="Times New Roman" w:hAnsi="Times New Roman"/>
          <w:sz w:val="14"/>
          <w:szCs w:val="14"/>
          <w:i w:val="1"/>
          <w:iCs w:val="1"/>
          <w:color w:val="auto"/>
        </w:rPr>
        <w:t xml:space="preserve">Fair Value of Financial Instruments. </w:t>
      </w:r>
      <w:r>
        <w:rPr>
          <w:rFonts w:ascii="Times New Roman" w:cs="Times New Roman" w:eastAsia="Times New Roman" w:hAnsi="Times New Roman"/>
          <w:sz w:val="14"/>
          <w:szCs w:val="14"/>
          <w:color w:val="auto"/>
        </w:rPr>
        <w:t>Our financial instruments primarily consist of cash and equivalents, restricted cash, accounts receivable, income taxes receivable and payable, accounts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 xml:space="preserve">payable, certain accrued expenses, and long-term debt. The carrying amounts of these items approximate fair value due to their short maturity, except for the fair value of our long-term debt, which is based on observable market-based inputs (Level 2). See Note 14, </w:t>
      </w:r>
      <w:r>
        <w:rPr>
          <w:rFonts w:ascii="Times New Roman" w:cs="Times New Roman" w:eastAsia="Times New Roman" w:hAnsi="Times New Roman"/>
          <w:sz w:val="14"/>
          <w:szCs w:val="14"/>
          <w:i w:val="1"/>
          <w:iCs w:val="1"/>
          <w:color w:val="auto"/>
        </w:rPr>
        <w:t>Debt</w:t>
      </w:r>
      <w:r>
        <w:rPr>
          <w:rFonts w:ascii="Times New Roman" w:cs="Times New Roman" w:eastAsia="Times New Roman" w:hAnsi="Times New Roman"/>
          <w:sz w:val="14"/>
          <w:szCs w:val="14"/>
          <w:color w:val="auto"/>
        </w:rPr>
        <w:t>, for further information regarding the fair value of such financial instruments. Our cash and equivalents are based on quoted market prices in active markets for identical assets (Level 1) as of January 25, 2025 and January 27, 2024. During fiscal 2025, fiscal 2024, and fiscal 2023 we had no material nonrecurring fair value measurements of assets or liabilities subsequent to their initial recognition.</w:t>
      </w:r>
    </w:p>
    <w:p>
      <w:pPr>
        <w:spacing w:after="0" w:line="161" w:lineRule="exact"/>
        <w:rPr>
          <w:sz w:val="20"/>
          <w:szCs w:val="20"/>
          <w:color w:val="auto"/>
        </w:rPr>
      </w:pPr>
    </w:p>
    <w:p>
      <w:pPr>
        <w:ind w:firstLine="255"/>
        <w:spacing w:after="0" w:line="271" w:lineRule="auto"/>
        <w:rPr>
          <w:sz w:val="20"/>
          <w:szCs w:val="20"/>
          <w:color w:val="auto"/>
        </w:rPr>
      </w:pPr>
      <w:r>
        <w:rPr>
          <w:rFonts w:ascii="Times New Roman" w:cs="Times New Roman" w:eastAsia="Times New Roman" w:hAnsi="Times New Roman"/>
          <w:sz w:val="14"/>
          <w:szCs w:val="14"/>
          <w:i w:val="1"/>
          <w:iCs w:val="1"/>
          <w:color w:val="auto"/>
        </w:rPr>
        <w:t xml:space="preserve">Taxes Collected from Customers. </w:t>
      </w:r>
      <w:r>
        <w:rPr>
          <w:rFonts w:ascii="Times New Roman" w:cs="Times New Roman" w:eastAsia="Times New Roman" w:hAnsi="Times New Roman"/>
          <w:sz w:val="14"/>
          <w:szCs w:val="14"/>
          <w:color w:val="auto"/>
        </w:rPr>
        <w:t>ASC Topic 606, Taxes Collected from Customers and Remitted to Governmental Authorities, addresses the income statement presentation of any taxes collected</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from customers and remitted to a government authority and provides that the presentation of taxes on either a gross basis or a net basis is an accounting policy decision that should be disclosed. Our policy is to present contract revenues net of sales taxes.</w:t>
      </w:r>
    </w:p>
    <w:p>
      <w:pPr>
        <w:spacing w:after="0" w:line="200" w:lineRule="exact"/>
        <w:rPr>
          <w:sz w:val="20"/>
          <w:szCs w:val="20"/>
          <w:color w:val="auto"/>
        </w:rPr>
      </w:pP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5"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3. Accounting Standards</w:t>
      </w:r>
    </w:p>
    <w:p>
      <w:pPr>
        <w:spacing w:after="0" w:line="20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color w:val="auto"/>
        </w:rPr>
        <w:t>Recently Adopted Accounting Standards</w:t>
      </w:r>
    </w:p>
    <w:p>
      <w:pPr>
        <w:spacing w:after="0" w:line="189" w:lineRule="exact"/>
        <w:rPr>
          <w:sz w:val="20"/>
          <w:szCs w:val="20"/>
          <w:color w:val="auto"/>
        </w:rPr>
      </w:pPr>
    </w:p>
    <w:p>
      <w:pPr>
        <w:ind w:right="100" w:firstLine="255"/>
        <w:spacing w:after="0" w:line="244" w:lineRule="auto"/>
        <w:rPr>
          <w:sz w:val="20"/>
          <w:szCs w:val="20"/>
          <w:color w:val="auto"/>
        </w:rPr>
      </w:pPr>
      <w:r>
        <w:rPr>
          <w:rFonts w:ascii="Times New Roman" w:cs="Times New Roman" w:eastAsia="Times New Roman" w:hAnsi="Times New Roman"/>
          <w:sz w:val="14"/>
          <w:szCs w:val="14"/>
          <w:i w:val="1"/>
          <w:iCs w:val="1"/>
          <w:color w:val="auto"/>
        </w:rPr>
        <w:t>Leases</w:t>
      </w:r>
      <w:r>
        <w:rPr>
          <w:rFonts w:ascii="Times New Roman" w:cs="Times New Roman" w:eastAsia="Times New Roman" w:hAnsi="Times New Roman"/>
          <w:sz w:val="14"/>
          <w:szCs w:val="14"/>
          <w:color w:val="auto"/>
        </w:rPr>
        <w:t>. In March 2023, the FASB issued ASU 2023-01, Leases (Topic 842): Common Control Arrangements. The amendments require all entities including public companies to amortize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leasehold improvements associated with common control leases over the useful life to the common control group. ASU 2023-01 is effective for fiscal years beginning after December 15, 2023, including interim periods within those fiscal years. Early adoption is permitted for both interim and annual financial statements that have not yet been made available for issuance. If an entity adopts the amendments in an interim period, it must adopt them as of the beginning of the fiscal year that includes that interim period. Transition can be done either retrospectively or prospectively. We adopted the provisions of ASU 2023-01 in the first quarter of fiscal 2025 by electing to apply the guidance prospectively to all new leasehold improvements recognized on or after January 28, 2024. The adoption of this update did not have a material impact on our consolidated financial statements.</w:t>
      </w:r>
    </w:p>
    <w:p>
      <w:pPr>
        <w:spacing w:after="0" w:line="164" w:lineRule="exact"/>
        <w:rPr>
          <w:sz w:val="20"/>
          <w:szCs w:val="20"/>
          <w:color w:val="auto"/>
        </w:rPr>
      </w:pPr>
    </w:p>
    <w:p>
      <w:pPr>
        <w:jc w:val="center"/>
        <w:ind w:right="260"/>
        <w:spacing w:after="0"/>
        <w:rPr>
          <w:sz w:val="20"/>
          <w:szCs w:val="20"/>
          <w:color w:val="auto"/>
        </w:rPr>
      </w:pPr>
      <w:r>
        <w:rPr>
          <w:rFonts w:ascii="Times New Roman" w:cs="Times New Roman" w:eastAsia="Times New Roman" w:hAnsi="Times New Roman"/>
          <w:sz w:val="14"/>
          <w:szCs w:val="14"/>
          <w:i w:val="1"/>
          <w:iCs w:val="1"/>
          <w:color w:val="auto"/>
        </w:rPr>
        <w:t>Segment Reporting: Improvements to Reportable Segment Disclosures</w:t>
      </w:r>
      <w:r>
        <w:rPr>
          <w:rFonts w:ascii="Times New Roman" w:cs="Times New Roman" w:eastAsia="Times New Roman" w:hAnsi="Times New Roman"/>
          <w:sz w:val="14"/>
          <w:szCs w:val="14"/>
          <w:color w:val="auto"/>
        </w:rPr>
        <w:t>. In November 2023, the FASB issued ASU 2023-07, Segment Reporting (Topic 280): Improvements to Reportable</w:t>
      </w:r>
    </w:p>
    <w:p>
      <w:pPr>
        <w:spacing w:after="0" w:line="6" w:lineRule="exact"/>
        <w:rPr>
          <w:sz w:val="20"/>
          <w:szCs w:val="20"/>
          <w:color w:val="auto"/>
        </w:rPr>
      </w:pPr>
    </w:p>
    <w:p>
      <w:pPr>
        <w:ind w:right="40"/>
        <w:spacing w:after="0" w:line="239" w:lineRule="auto"/>
        <w:rPr>
          <w:sz w:val="20"/>
          <w:szCs w:val="20"/>
          <w:color w:val="auto"/>
        </w:rPr>
      </w:pPr>
      <w:r>
        <w:rPr>
          <w:rFonts w:ascii="Times New Roman" w:cs="Times New Roman" w:eastAsia="Times New Roman" w:hAnsi="Times New Roman"/>
          <w:sz w:val="14"/>
          <w:szCs w:val="14"/>
          <w:color w:val="auto"/>
        </w:rPr>
        <w:t xml:space="preserve">Segment Disclosures. This ASU requires entities to disclose significant segment expenses, on an annual and interim basis, that are regularly provided to the chief operating decision maker, and an amount for other segment items by reportable segment, with a description of its composition. This ASU requires that a public entity that has a single reportable segment provide all the disclosures required by the amendments in this update and all existing segment disclosures in Topic 280. This ASU is effective for fiscal years beginning after December 15, 2023, and interim periods within fiscal years beginning after December 15, 2024, with early adoption permitted. A retrospective approach is required to be applied to all prior periods presented in the financial statements. We adopted the provisions of ASU 2023-07 in the fourth quarter of fiscal 2025, which resulted in additional disclosures in the notes to our consolidated financial statements. See Note 21, </w:t>
      </w:r>
      <w:r>
        <w:rPr>
          <w:rFonts w:ascii="Times New Roman" w:cs="Times New Roman" w:eastAsia="Times New Roman" w:hAnsi="Times New Roman"/>
          <w:sz w:val="14"/>
          <w:szCs w:val="14"/>
          <w:i w:val="1"/>
          <w:iCs w:val="1"/>
          <w:color w:val="auto"/>
        </w:rPr>
        <w:t>Segment Reporting</w:t>
      </w:r>
      <w:r>
        <w:rPr>
          <w:rFonts w:ascii="Times New Roman" w:cs="Times New Roman" w:eastAsia="Times New Roman" w:hAnsi="Times New Roman"/>
          <w:sz w:val="14"/>
          <w:szCs w:val="14"/>
          <w:color w:val="auto"/>
        </w:rPr>
        <w:t>. The adoption of the provisions of ASU 2023-07 did not impact our financial position or results of operations.</w:t>
      </w:r>
    </w:p>
    <w:p>
      <w:pPr>
        <w:spacing w:after="0" w:line="17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color w:val="auto"/>
        </w:rPr>
        <w:t>Accounting Standards Not Yet Adopted</w:t>
      </w:r>
    </w:p>
    <w:p>
      <w:pPr>
        <w:spacing w:after="0" w:line="200" w:lineRule="exact"/>
        <w:rPr>
          <w:sz w:val="20"/>
          <w:szCs w:val="20"/>
          <w:color w:val="auto"/>
        </w:rPr>
      </w:pPr>
    </w:p>
    <w:p>
      <w:pPr>
        <w:ind w:firstLine="255"/>
        <w:spacing w:after="0" w:line="265" w:lineRule="auto"/>
        <w:rPr>
          <w:sz w:val="20"/>
          <w:szCs w:val="20"/>
          <w:color w:val="auto"/>
        </w:rPr>
      </w:pPr>
      <w:r>
        <w:rPr>
          <w:rFonts w:ascii="Times New Roman" w:cs="Times New Roman" w:eastAsia="Times New Roman" w:hAnsi="Times New Roman"/>
          <w:sz w:val="14"/>
          <w:szCs w:val="14"/>
          <w:i w:val="1"/>
          <w:iCs w:val="1"/>
          <w:color w:val="auto"/>
        </w:rPr>
        <w:t>Income Taxes: Improvements to Income Tax Disclosures</w:t>
      </w:r>
      <w:r>
        <w:rPr>
          <w:rFonts w:ascii="Times New Roman" w:cs="Times New Roman" w:eastAsia="Times New Roman" w:hAnsi="Times New Roman"/>
          <w:sz w:val="14"/>
          <w:szCs w:val="14"/>
          <w:color w:val="auto"/>
        </w:rPr>
        <w:t>. In December 2023, the FASB issued ASU 2023-09, Income Taxes (Topic 740): Improvements to Income Tax Disclosures. The ASU</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requires entities to disclose disaggregated information about their effective tax rate reconciliation as well as expanded information on income taxes paid by jurisdiction. The disclosure will be applied on a prospective basis, with the option to apply them retrospectively. ASU 2023-09 is effective for fiscal years beginning after December 15, 2024, with early adoption permitted. We plan to adopt the provisions of ASU 2023-09 in fiscal 2026 and we are evaluating the disclosure requirements related to the new standard.</w:t>
      </w:r>
    </w:p>
    <w:p>
      <w:pPr>
        <w:spacing w:after="0" w:line="148" w:lineRule="exact"/>
        <w:rPr>
          <w:sz w:val="20"/>
          <w:szCs w:val="20"/>
          <w:color w:val="auto"/>
        </w:rPr>
      </w:pPr>
    </w:p>
    <w:p>
      <w:pPr>
        <w:ind w:right="20" w:firstLine="255"/>
        <w:spacing w:after="0" w:line="246" w:lineRule="auto"/>
        <w:rPr>
          <w:sz w:val="20"/>
          <w:szCs w:val="20"/>
          <w:color w:val="auto"/>
        </w:rPr>
      </w:pPr>
      <w:r>
        <w:rPr>
          <w:rFonts w:ascii="Times New Roman" w:cs="Times New Roman" w:eastAsia="Times New Roman" w:hAnsi="Times New Roman"/>
          <w:sz w:val="14"/>
          <w:szCs w:val="14"/>
          <w:i w:val="1"/>
          <w:iCs w:val="1"/>
          <w:color w:val="auto"/>
        </w:rPr>
        <w:t xml:space="preserve">Income Statement-Reporting Comprehensive Income-Expense Disaggregation Disclosures (Subtopic 220-40): Disaggregation of Income Statement Expenses. </w:t>
      </w:r>
      <w:r>
        <w:rPr>
          <w:rFonts w:ascii="Times New Roman" w:cs="Times New Roman" w:eastAsia="Times New Roman" w:hAnsi="Times New Roman"/>
          <w:sz w:val="14"/>
          <w:szCs w:val="14"/>
          <w:color w:val="auto"/>
        </w:rPr>
        <w:t>In November 2024, the FASB</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issued ASU 2024-03, Income Statement (Subtopic 220-40): Disaggregation of Income Statement Expenses. This ASU requires public entities to disclose, in the notes to the financial statements, specified information about certain costs and expenses at each interim and annual reporting period. In January 2025, the FASB issued ASU 2025-01, Income Statements (Subtopic 220-40): Clarifying the Effective Date. This ASU is effective for annual reporting periods beginning after December 15, 2026, and interim periods beginning after December 15, 2027, with early adoption permitted. We are currently evaluating the impact of the standard on our condensed consolidated financial statements.</w:t>
      </w: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4. Computation of Earnings per Common Share</w:t>
      </w:r>
    </w:p>
    <w:p>
      <w:pPr>
        <w:spacing w:after="0" w:line="20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following table sets forth the computation of basic and diluted earnings per common share (dollars in thousands, except per share amounts):</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68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9"/>
              </w:rPr>
              <w:t>Fiscal Year Ended</w:t>
            </w:r>
          </w:p>
        </w:tc>
        <w:tc>
          <w:tcPr>
            <w:tcW w:w="14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r>
      <w:tr>
        <w:trPr>
          <w:trHeight w:val="182"/>
        </w:trPr>
        <w:tc>
          <w:tcPr>
            <w:tcW w:w="6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8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January 25, 2025</w:t>
            </w:r>
          </w:p>
        </w:tc>
        <w:tc>
          <w:tcPr>
            <w:tcW w:w="120" w:type="dxa"/>
            <w:vAlign w:val="bottom"/>
          </w:tcPr>
          <w:p>
            <w:pPr>
              <w:spacing w:after="0"/>
              <w:rPr>
                <w:sz w:val="15"/>
                <w:szCs w:val="15"/>
                <w:color w:val="auto"/>
              </w:rPr>
            </w:pPr>
          </w:p>
        </w:tc>
        <w:tc>
          <w:tcPr>
            <w:tcW w:w="14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January 27, 2024</w:t>
            </w:r>
          </w:p>
        </w:tc>
        <w:tc>
          <w:tcPr>
            <w:tcW w:w="140" w:type="dxa"/>
            <w:vAlign w:val="bottom"/>
          </w:tcPr>
          <w:p>
            <w:pPr>
              <w:spacing w:after="0"/>
              <w:rPr>
                <w:sz w:val="15"/>
                <w:szCs w:val="15"/>
                <w:color w:val="auto"/>
              </w:rPr>
            </w:pPr>
          </w:p>
        </w:tc>
        <w:tc>
          <w:tcPr>
            <w:tcW w:w="1280" w:type="dxa"/>
            <w:vAlign w:val="bottom"/>
          </w:tcPr>
          <w:p>
            <w:pPr>
              <w:jc w:val="right"/>
              <w:ind w:right="129"/>
              <w:spacing w:after="0"/>
              <w:rPr>
                <w:sz w:val="20"/>
                <w:szCs w:val="20"/>
                <w:color w:val="auto"/>
              </w:rPr>
            </w:pPr>
            <w:r>
              <w:rPr>
                <w:rFonts w:ascii="Times New Roman" w:cs="Times New Roman" w:eastAsia="Times New Roman" w:hAnsi="Times New Roman"/>
                <w:sz w:val="14"/>
                <w:szCs w:val="14"/>
                <w:b w:val="1"/>
                <w:bCs w:val="1"/>
                <w:color w:val="auto"/>
              </w:rPr>
              <w:t>January 28, 2023</w:t>
            </w:r>
          </w:p>
        </w:tc>
      </w:tr>
      <w:tr>
        <w:trPr>
          <w:trHeight w:val="205"/>
        </w:trPr>
        <w:tc>
          <w:tcPr>
            <w:tcW w:w="68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income available to common stockholders (numerator)</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233,413</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218,923</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142,213</w:t>
            </w:r>
          </w:p>
        </w:tc>
      </w:tr>
      <w:tr>
        <w:trPr>
          <w:trHeight w:val="20"/>
        </w:trPr>
        <w:tc>
          <w:tcPr>
            <w:tcW w:w="68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r>
        <w:trPr>
          <w:trHeight w:val="153"/>
        </w:trPr>
        <w:tc>
          <w:tcPr>
            <w:tcW w:w="68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80" w:type="dxa"/>
            <w:vAlign w:val="bottom"/>
          </w:tcPr>
          <w:p>
            <w:pPr>
              <w:spacing w:after="0"/>
              <w:rPr>
                <w:sz w:val="13"/>
                <w:szCs w:val="13"/>
                <w:color w:val="auto"/>
              </w:rPr>
            </w:pPr>
          </w:p>
        </w:tc>
      </w:tr>
      <w:tr>
        <w:trPr>
          <w:trHeight w:val="205"/>
        </w:trPr>
        <w:tc>
          <w:tcPr>
            <w:tcW w:w="6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Weighted-average number of common shares (denominator)</w:t>
            </w:r>
          </w:p>
        </w:tc>
        <w:tc>
          <w:tcPr>
            <w:tcW w:w="140" w:type="dxa"/>
            <w:vAlign w:val="bottom"/>
            <w:tcBorders>
              <w:bottom w:val="single" w:sz="8" w:color="auto"/>
            </w:tcBorders>
            <w:shd w:val="clear" w:color="auto" w:fill="CCEEFF"/>
          </w:tcPr>
          <w:p>
            <w:pPr>
              <w:spacing w:after="0"/>
              <w:rPr>
                <w:sz w:val="17"/>
                <w:szCs w:val="17"/>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29,112,573</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29,333,054</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29,549,990</w:t>
            </w:r>
          </w:p>
        </w:tc>
      </w:tr>
      <w:tr>
        <w:trPr>
          <w:trHeight w:val="20"/>
        </w:trPr>
        <w:tc>
          <w:tcPr>
            <w:tcW w:w="68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r>
        <w:trPr>
          <w:trHeight w:val="153"/>
        </w:trPr>
        <w:tc>
          <w:tcPr>
            <w:tcW w:w="68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80" w:type="dxa"/>
            <w:vAlign w:val="bottom"/>
          </w:tcPr>
          <w:p>
            <w:pPr>
              <w:spacing w:after="0"/>
              <w:rPr>
                <w:sz w:val="13"/>
                <w:szCs w:val="13"/>
                <w:color w:val="auto"/>
              </w:rPr>
            </w:pPr>
          </w:p>
        </w:tc>
      </w:tr>
      <w:tr>
        <w:trPr>
          <w:trHeight w:val="205"/>
        </w:trPr>
        <w:tc>
          <w:tcPr>
            <w:tcW w:w="6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Basic earnings per common share</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8.02</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7.46</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4.81</w:t>
            </w:r>
          </w:p>
        </w:tc>
      </w:tr>
      <w:tr>
        <w:trPr>
          <w:trHeight w:val="20"/>
        </w:trPr>
        <w:tc>
          <w:tcPr>
            <w:tcW w:w="68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r>
        <w:trPr>
          <w:trHeight w:val="153"/>
        </w:trPr>
        <w:tc>
          <w:tcPr>
            <w:tcW w:w="68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80" w:type="dxa"/>
            <w:vAlign w:val="bottom"/>
          </w:tcPr>
          <w:p>
            <w:pPr>
              <w:spacing w:after="0"/>
              <w:rPr>
                <w:sz w:val="13"/>
                <w:szCs w:val="13"/>
                <w:color w:val="auto"/>
              </w:rPr>
            </w:pPr>
          </w:p>
        </w:tc>
      </w:tr>
      <w:tr>
        <w:trPr>
          <w:trHeight w:val="180"/>
        </w:trPr>
        <w:tc>
          <w:tcPr>
            <w:tcW w:w="6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Weighted-average number of common shares</w:t>
            </w:r>
          </w:p>
        </w:tc>
        <w:tc>
          <w:tcPr>
            <w:tcW w:w="140" w:type="dxa"/>
            <w:vAlign w:val="bottom"/>
            <w:shd w:val="clear" w:color="auto" w:fill="CCEEFF"/>
          </w:tcPr>
          <w:p>
            <w:pPr>
              <w:spacing w:after="0"/>
              <w:rPr>
                <w:sz w:val="15"/>
                <w:szCs w:val="15"/>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29,112,573</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29,333,054</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29,549,990</w:t>
            </w:r>
          </w:p>
        </w:tc>
      </w:tr>
      <w:tr>
        <w:trPr>
          <w:trHeight w:val="180"/>
        </w:trPr>
        <w:tc>
          <w:tcPr>
            <w:tcW w:w="6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Potential shares of common stock arising from stock options and unvested restricted share units</w:t>
            </w:r>
          </w:p>
        </w:tc>
        <w:tc>
          <w:tcPr>
            <w:tcW w:w="14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369,218</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365,872</w:t>
            </w: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446,601</w:t>
            </w:r>
          </w:p>
        </w:tc>
      </w:tr>
      <w:tr>
        <w:trPr>
          <w:trHeight w:val="196"/>
        </w:trPr>
        <w:tc>
          <w:tcPr>
            <w:tcW w:w="680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Total shares-diluted (denominator)</w:t>
            </w:r>
          </w:p>
        </w:tc>
        <w:tc>
          <w:tcPr>
            <w:tcW w:w="140" w:type="dxa"/>
            <w:vAlign w:val="bottom"/>
            <w:tcBorders>
              <w:bottom w:val="single" w:sz="8" w:color="auto"/>
            </w:tcBorders>
            <w:shd w:val="clear" w:color="auto" w:fill="CCEEFF"/>
          </w:tcPr>
          <w:p>
            <w:pPr>
              <w:spacing w:after="0"/>
              <w:rPr>
                <w:sz w:val="16"/>
                <w:szCs w:val="16"/>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29,481,791</w:t>
            </w: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29,698,926</w:t>
            </w: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29,996,591</w:t>
            </w:r>
          </w:p>
        </w:tc>
      </w:tr>
      <w:tr>
        <w:trPr>
          <w:trHeight w:val="20"/>
        </w:trPr>
        <w:tc>
          <w:tcPr>
            <w:tcW w:w="68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r>
        <w:trPr>
          <w:trHeight w:val="153"/>
        </w:trPr>
        <w:tc>
          <w:tcPr>
            <w:tcW w:w="68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80" w:type="dxa"/>
            <w:vAlign w:val="bottom"/>
          </w:tcPr>
          <w:p>
            <w:pPr>
              <w:spacing w:after="0"/>
              <w:rPr>
                <w:sz w:val="13"/>
                <w:szCs w:val="13"/>
                <w:color w:val="auto"/>
              </w:rPr>
            </w:pPr>
          </w:p>
        </w:tc>
      </w:tr>
      <w:tr>
        <w:trPr>
          <w:trHeight w:val="205"/>
        </w:trPr>
        <w:tc>
          <w:tcPr>
            <w:tcW w:w="6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Diluted earnings per common share</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7.92</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7.37</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4.74</w:t>
            </w:r>
          </w:p>
        </w:tc>
      </w:tr>
      <w:tr>
        <w:trPr>
          <w:trHeight w:val="20"/>
        </w:trPr>
        <w:tc>
          <w:tcPr>
            <w:tcW w:w="68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r>
        <w:trPr>
          <w:trHeight w:val="153"/>
        </w:trPr>
        <w:tc>
          <w:tcPr>
            <w:tcW w:w="68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80" w:type="dxa"/>
            <w:vAlign w:val="bottom"/>
          </w:tcPr>
          <w:p>
            <w:pPr>
              <w:spacing w:after="0"/>
              <w:rPr>
                <w:sz w:val="13"/>
                <w:szCs w:val="13"/>
                <w:color w:val="auto"/>
              </w:rPr>
            </w:pPr>
          </w:p>
        </w:tc>
      </w:tr>
      <w:tr>
        <w:trPr>
          <w:trHeight w:val="180"/>
        </w:trPr>
        <w:tc>
          <w:tcPr>
            <w:tcW w:w="6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Anti-dilutive weighted shares excluded from the calculation of earnings per common share</w:t>
            </w:r>
          </w:p>
        </w:tc>
        <w:tc>
          <w:tcPr>
            <w:tcW w:w="140" w:type="dxa"/>
            <w:vAlign w:val="bottom"/>
            <w:shd w:val="clear" w:color="auto" w:fill="CCEEFF"/>
          </w:tcPr>
          <w:p>
            <w:pPr>
              <w:spacing w:after="0"/>
              <w:rPr>
                <w:sz w:val="15"/>
                <w:szCs w:val="15"/>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168,099</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167,914</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98,530</w:t>
            </w:r>
          </w:p>
        </w:tc>
      </w:tr>
    </w:tbl>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5. Acquisitions</w:t>
      </w:r>
    </w:p>
    <w:p>
      <w:pPr>
        <w:spacing w:after="0" w:line="200" w:lineRule="exact"/>
        <w:rPr>
          <w:sz w:val="20"/>
          <w:szCs w:val="20"/>
          <w:color w:val="auto"/>
        </w:rPr>
      </w:pPr>
    </w:p>
    <w:p>
      <w:pPr>
        <w:jc w:val="both"/>
        <w:ind w:right="460" w:firstLine="255"/>
        <w:spacing w:after="0" w:line="271" w:lineRule="auto"/>
        <w:rPr>
          <w:sz w:val="20"/>
          <w:szCs w:val="20"/>
          <w:color w:val="auto"/>
        </w:rPr>
      </w:pPr>
      <w:r>
        <w:rPr>
          <w:rFonts w:ascii="Times New Roman" w:cs="Times New Roman" w:eastAsia="Times New Roman" w:hAnsi="Times New Roman"/>
          <w:sz w:val="14"/>
          <w:szCs w:val="14"/>
          <w:i w:val="1"/>
          <w:iCs w:val="1"/>
          <w:color w:val="auto"/>
        </w:rPr>
        <w:t xml:space="preserve">Fiscal 2025. </w:t>
      </w:r>
      <w:r>
        <w:rPr>
          <w:rFonts w:ascii="Times New Roman" w:cs="Times New Roman" w:eastAsia="Times New Roman" w:hAnsi="Times New Roman"/>
          <w:sz w:val="14"/>
          <w:szCs w:val="14"/>
          <w:color w:val="auto"/>
        </w:rPr>
        <w:t>During the third quarter of fiscal 2025, we acquired certain assets and assumed certain liabilities of a telecommunications construction contractor for a cash purchase price of</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$150.7 million. The acquired business provides wireless construction services for telecommunications providers in various states. This acquisition expands our geographic presence within our existing customer base.</w:t>
      </w:r>
    </w:p>
    <w:p>
      <w:pPr>
        <w:spacing w:after="0" w:line="157" w:lineRule="exact"/>
        <w:rPr>
          <w:sz w:val="20"/>
          <w:szCs w:val="20"/>
          <w:color w:val="auto"/>
        </w:rPr>
      </w:pPr>
    </w:p>
    <w:p>
      <w:pPr>
        <w:ind w:right="40" w:firstLine="255"/>
        <w:spacing w:after="0" w:line="270" w:lineRule="auto"/>
        <w:rPr>
          <w:sz w:val="20"/>
          <w:szCs w:val="20"/>
          <w:color w:val="auto"/>
        </w:rPr>
      </w:pPr>
      <w:r>
        <w:rPr>
          <w:rFonts w:ascii="Times New Roman" w:cs="Times New Roman" w:eastAsia="Times New Roman" w:hAnsi="Times New Roman"/>
          <w:sz w:val="14"/>
          <w:szCs w:val="14"/>
          <w:color w:val="auto"/>
        </w:rPr>
        <w:t>During the second quarter of fiscal 2025, we acquired a telecommunications construction contractor for a total purchase price of $24.5 million ($20.4 million purchase price plus cash acquired of $4.1 million). The acquired company is located in the northwestern United States and provides construction and maintenance services to telecommunications providers, with the majority of its revenues generated in Alaska. This acquisition expands our geographic presence and our customer base.</w:t>
      </w:r>
    </w:p>
    <w:p>
      <w:pPr>
        <w:spacing w:after="0" w:line="157" w:lineRule="exact"/>
        <w:rPr>
          <w:sz w:val="20"/>
          <w:szCs w:val="20"/>
          <w:color w:val="auto"/>
        </w:rPr>
      </w:pPr>
    </w:p>
    <w:p>
      <w:pPr>
        <w:ind w:right="200" w:firstLine="255"/>
        <w:spacing w:after="0" w:line="270" w:lineRule="auto"/>
        <w:rPr>
          <w:sz w:val="20"/>
          <w:szCs w:val="20"/>
          <w:color w:val="auto"/>
        </w:rPr>
      </w:pPr>
      <w:r>
        <w:rPr>
          <w:rFonts w:ascii="Times New Roman" w:cs="Times New Roman" w:eastAsia="Times New Roman" w:hAnsi="Times New Roman"/>
          <w:sz w:val="14"/>
          <w:szCs w:val="14"/>
          <w:color w:val="auto"/>
        </w:rPr>
        <w:t>During the first quarter of fiscal 2025, we acquired a telecommunications construction contractor for $16.0 million ($12.8 million purchase price, plus cash acquired of $3.2 million). The acquired company provides construction and maintenance services for telecommunications providers in the midwestern United States. This acquisition expands our geographic presence within our existing customer base.</w:t>
      </w:r>
    </w:p>
    <w:p>
      <w:pPr>
        <w:spacing w:after="0" w:line="155" w:lineRule="exact"/>
        <w:rPr>
          <w:sz w:val="20"/>
          <w:szCs w:val="20"/>
          <w:color w:val="auto"/>
        </w:rPr>
      </w:pPr>
    </w:p>
    <w:p>
      <w:pPr>
        <w:ind w:right="160" w:firstLine="255"/>
        <w:spacing w:after="0" w:line="271" w:lineRule="auto"/>
        <w:rPr>
          <w:sz w:val="20"/>
          <w:szCs w:val="20"/>
          <w:color w:val="auto"/>
        </w:rPr>
      </w:pPr>
      <w:r>
        <w:rPr>
          <w:rFonts w:ascii="Times New Roman" w:cs="Times New Roman" w:eastAsia="Times New Roman" w:hAnsi="Times New Roman"/>
          <w:sz w:val="14"/>
          <w:szCs w:val="14"/>
          <w:i w:val="1"/>
          <w:iCs w:val="1"/>
          <w:color w:val="auto"/>
        </w:rPr>
        <w:t xml:space="preserve">Fiscal 2024. </w:t>
      </w:r>
      <w:r>
        <w:rPr>
          <w:rFonts w:ascii="Times New Roman" w:cs="Times New Roman" w:eastAsia="Times New Roman" w:hAnsi="Times New Roman"/>
          <w:sz w:val="14"/>
          <w:szCs w:val="14"/>
          <w:color w:val="auto"/>
        </w:rPr>
        <w:t>During August 2023, we acquired Bigham Cable Construction, Inc. (“Bigham”), for $131.2 million ($127.0 million fixed purchase price, plus cash acquired of $8.3 million, less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indebtedness of $4.1 million). Bigham provides construction and maintenance services for telecommunications providers in the southeastern United States. This acquisition expands our geographic presence within our existing customer base.</w:t>
      </w:r>
    </w:p>
    <w:p>
      <w:pPr>
        <w:spacing w:after="0" w:line="15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i w:val="1"/>
          <w:iCs w:val="1"/>
          <w:color w:val="auto"/>
        </w:rPr>
        <w:t xml:space="preserve">Fiscal 2023. </w:t>
      </w:r>
      <w:r>
        <w:rPr>
          <w:rFonts w:ascii="Times New Roman" w:cs="Times New Roman" w:eastAsia="Times New Roman" w:hAnsi="Times New Roman"/>
          <w:sz w:val="14"/>
          <w:szCs w:val="14"/>
          <w:color w:val="auto"/>
        </w:rPr>
        <w:t>During the fourth quarter of fiscal 2023, we acquired the assets of a telecommunications construction company for $0.4 million.</w:t>
      </w:r>
    </w:p>
    <w:p>
      <w:pPr>
        <w:spacing w:after="0" w:line="20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i w:val="1"/>
          <w:iCs w:val="1"/>
          <w:color w:val="auto"/>
        </w:rPr>
        <w:t>Purchase Price Allocations</w:t>
      </w:r>
    </w:p>
    <w:p>
      <w:pPr>
        <w:spacing w:after="0" w:line="202" w:lineRule="exact"/>
        <w:rPr>
          <w:sz w:val="20"/>
          <w:szCs w:val="20"/>
          <w:color w:val="auto"/>
        </w:rPr>
      </w:pPr>
    </w:p>
    <w:p>
      <w:pPr>
        <w:ind w:right="120" w:firstLine="255"/>
        <w:spacing w:after="0" w:line="287" w:lineRule="auto"/>
        <w:rPr>
          <w:sz w:val="20"/>
          <w:szCs w:val="20"/>
          <w:color w:val="auto"/>
        </w:rPr>
      </w:pPr>
      <w:r>
        <w:rPr>
          <w:rFonts w:ascii="Times New Roman" w:cs="Times New Roman" w:eastAsia="Times New Roman" w:hAnsi="Times New Roman"/>
          <w:sz w:val="14"/>
          <w:szCs w:val="14"/>
          <w:color w:val="auto"/>
        </w:rPr>
        <w:t>The purchase price allocations of the three companies acquired in fiscal 2025 are preliminary and will be completed when valuations for intangible assets and other amounts are finalized within the 12-month measurement period from the respective dates of acquisition.</w:t>
      </w: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44" w:lineRule="exact"/>
        <w:rPr>
          <w:sz w:val="20"/>
          <w:szCs w:val="20"/>
          <w:color w:val="auto"/>
        </w:rPr>
      </w:pPr>
    </w:p>
    <w:p>
      <w:pPr>
        <w:ind w:right="340" w:firstLine="255"/>
        <w:spacing w:after="0" w:line="287" w:lineRule="auto"/>
        <w:rPr>
          <w:sz w:val="20"/>
          <w:szCs w:val="20"/>
          <w:color w:val="auto"/>
        </w:rPr>
      </w:pPr>
      <w:r>
        <w:rPr>
          <w:rFonts w:ascii="Times New Roman" w:cs="Times New Roman" w:eastAsia="Times New Roman" w:hAnsi="Times New Roman"/>
          <w:sz w:val="14"/>
          <w:szCs w:val="14"/>
          <w:color w:val="auto"/>
        </w:rPr>
        <w:t>The following table summarizes the aggregate consideration paid and the estimated fair value of assets acquired and liabilities assumed for each of the acquisitions described above as of the respective acquisition dates (dollars in millions):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Third quarter of fiscal 2024</w:t>
            </w:r>
          </w:p>
        </w:tc>
        <w:tc>
          <w:tcPr>
            <w:tcW w:w="100" w:type="dxa"/>
            <w:vAlign w:val="bottom"/>
          </w:tcPr>
          <w:p>
            <w:pPr>
              <w:spacing w:after="0"/>
              <w:rPr>
                <w:sz w:val="16"/>
                <w:szCs w:val="16"/>
                <w:color w:val="auto"/>
              </w:rPr>
            </w:pPr>
          </w:p>
        </w:tc>
        <w:tc>
          <w:tcPr>
            <w:tcW w:w="18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First quarter of fiscal 2025</w:t>
            </w:r>
          </w:p>
        </w:tc>
        <w:tc>
          <w:tcPr>
            <w:tcW w:w="194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Second quarter of fiscal 2025</w:t>
            </w:r>
          </w:p>
        </w:tc>
        <w:tc>
          <w:tcPr>
            <w:tcW w:w="100" w:type="dxa"/>
            <w:vAlign w:val="bottom"/>
          </w:tcPr>
          <w:p>
            <w:pPr>
              <w:spacing w:after="0"/>
              <w:rPr>
                <w:sz w:val="16"/>
                <w:szCs w:val="16"/>
                <w:color w:val="auto"/>
              </w:rPr>
            </w:pPr>
          </w:p>
        </w:tc>
        <w:tc>
          <w:tcPr>
            <w:tcW w:w="1760" w:type="dxa"/>
            <w:vAlign w:val="bottom"/>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Third quarter of fiscal 2025</w:t>
            </w:r>
          </w:p>
        </w:tc>
      </w:tr>
      <w:tr>
        <w:trPr>
          <w:trHeight w:val="161"/>
        </w:trPr>
        <w:tc>
          <w:tcPr>
            <w:tcW w:w="36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80" w:type="dxa"/>
            <w:vAlign w:val="bottom"/>
            <w:tcBorders>
              <w:top w:val="single" w:sz="8" w:color="auto"/>
            </w:tcBorders>
            <w:shd w:val="clear" w:color="auto" w:fill="CCEEFF"/>
          </w:tcPr>
          <w:p>
            <w:pPr>
              <w:spacing w:after="0"/>
              <w:rPr>
                <w:sz w:val="13"/>
                <w:szCs w:val="13"/>
                <w:color w:val="auto"/>
              </w:rPr>
            </w:pPr>
          </w:p>
        </w:tc>
        <w:tc>
          <w:tcPr>
            <w:tcW w:w="178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176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820" w:type="dxa"/>
            <w:vAlign w:val="bottom"/>
            <w:tcBorders>
              <w:top w:val="single" w:sz="8" w:color="auto"/>
            </w:tcBorders>
            <w:shd w:val="clear" w:color="auto" w:fill="CCEEFF"/>
          </w:tcPr>
          <w:p>
            <w:pPr>
              <w:spacing w:after="0"/>
              <w:rPr>
                <w:sz w:val="13"/>
                <w:szCs w:val="13"/>
                <w:color w:val="auto"/>
              </w:rPr>
            </w:pPr>
          </w:p>
        </w:tc>
        <w:tc>
          <w:tcPr>
            <w:tcW w:w="104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1760" w:type="dxa"/>
            <w:vAlign w:val="bottom"/>
            <w:tcBorders>
              <w:top w:val="single" w:sz="8" w:color="auto"/>
            </w:tcBorders>
            <w:shd w:val="clear" w:color="auto" w:fill="CCEEFF"/>
          </w:tcPr>
          <w:p>
            <w:pPr>
              <w:spacing w:after="0"/>
              <w:rPr>
                <w:sz w:val="13"/>
                <w:szCs w:val="13"/>
                <w:color w:val="auto"/>
              </w:rPr>
            </w:pPr>
          </w:p>
        </w:tc>
      </w:tr>
      <w:tr>
        <w:trPr>
          <w:trHeight w:val="180"/>
        </w:trPr>
        <w:tc>
          <w:tcPr>
            <w:tcW w:w="360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Cash and equivalents</w:t>
            </w: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w:t>
            </w:r>
          </w:p>
        </w:tc>
        <w:tc>
          <w:tcPr>
            <w:tcW w:w="8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w:t>
            </w:r>
          </w:p>
        </w:tc>
        <w:tc>
          <w:tcPr>
            <w:tcW w:w="80" w:type="dxa"/>
            <w:vAlign w:val="bottom"/>
          </w:tcPr>
          <w:p>
            <w:pPr>
              <w:spacing w:after="0"/>
              <w:rPr>
                <w:sz w:val="15"/>
                <w:szCs w:val="15"/>
                <w:color w:val="auto"/>
              </w:rPr>
            </w:pPr>
          </w:p>
        </w:tc>
        <w:tc>
          <w:tcPr>
            <w:tcW w:w="820" w:type="dxa"/>
            <w:vAlign w:val="bottom"/>
          </w:tcPr>
          <w:p>
            <w:pPr>
              <w:jc w:val="right"/>
              <w:ind w:right="669"/>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w:t>
            </w:r>
          </w:p>
        </w:tc>
        <w:tc>
          <w:tcPr>
            <w:tcW w:w="8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36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Accounts receivable</w:t>
            </w:r>
          </w:p>
        </w:tc>
        <w:tc>
          <w:tcPr>
            <w:tcW w:w="80" w:type="dxa"/>
            <w:vAlign w:val="bottom"/>
            <w:shd w:val="clear" w:color="auto" w:fill="CCEEFF"/>
          </w:tcPr>
          <w:p>
            <w:pPr>
              <w:spacing w:after="0"/>
              <w:rPr>
                <w:sz w:val="15"/>
                <w:szCs w:val="15"/>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45.8</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13.5</w:t>
            </w:r>
          </w:p>
        </w:tc>
      </w:tr>
      <w:tr>
        <w:trPr>
          <w:trHeight w:val="180"/>
        </w:trPr>
        <w:tc>
          <w:tcPr>
            <w:tcW w:w="36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Inventories</w:t>
            </w:r>
          </w:p>
        </w:tc>
        <w:tc>
          <w:tcPr>
            <w:tcW w:w="80" w:type="dxa"/>
            <w:vAlign w:val="bottom"/>
          </w:tcPr>
          <w:p>
            <w:pPr>
              <w:spacing w:after="0"/>
              <w:rPr>
                <w:sz w:val="15"/>
                <w:szCs w:val="15"/>
                <w:color w:val="auto"/>
              </w:rPr>
            </w:pPr>
          </w:p>
        </w:tc>
        <w:tc>
          <w:tcPr>
            <w:tcW w:w="18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spacing w:after="0"/>
              <w:rPr>
                <w:sz w:val="15"/>
                <w:szCs w:val="15"/>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14.8</w:t>
            </w:r>
          </w:p>
        </w:tc>
      </w:tr>
      <w:tr>
        <w:trPr>
          <w:trHeight w:val="180"/>
        </w:trPr>
        <w:tc>
          <w:tcPr>
            <w:tcW w:w="36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Other current assets</w:t>
            </w:r>
          </w:p>
        </w:tc>
        <w:tc>
          <w:tcPr>
            <w:tcW w:w="80" w:type="dxa"/>
            <w:vAlign w:val="bottom"/>
            <w:shd w:val="clear" w:color="auto" w:fill="CCEEFF"/>
          </w:tcPr>
          <w:p>
            <w:pPr>
              <w:spacing w:after="0"/>
              <w:rPr>
                <w:sz w:val="15"/>
                <w:szCs w:val="15"/>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0.3</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0.2</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36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Property and equipment</w:t>
            </w:r>
          </w:p>
        </w:tc>
        <w:tc>
          <w:tcPr>
            <w:tcW w:w="80" w:type="dxa"/>
            <w:vAlign w:val="bottom"/>
          </w:tcPr>
          <w:p>
            <w:pPr>
              <w:spacing w:after="0"/>
              <w:rPr>
                <w:sz w:val="15"/>
                <w:szCs w:val="15"/>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36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Goodwill</w:t>
            </w:r>
          </w:p>
        </w:tc>
        <w:tc>
          <w:tcPr>
            <w:tcW w:w="80" w:type="dxa"/>
            <w:vAlign w:val="bottom"/>
            <w:shd w:val="clear" w:color="auto" w:fill="CCEEFF"/>
          </w:tcPr>
          <w:p>
            <w:pPr>
              <w:spacing w:after="0"/>
              <w:rPr>
                <w:sz w:val="15"/>
                <w:szCs w:val="15"/>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39.2</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w:t>
            </w:r>
          </w:p>
        </w:tc>
        <w:tc>
          <w:tcPr>
            <w:tcW w:w="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w:t>
            </w:r>
          </w:p>
        </w:tc>
      </w:tr>
      <w:tr>
        <w:trPr>
          <w:trHeight w:val="180"/>
        </w:trPr>
        <w:tc>
          <w:tcPr>
            <w:tcW w:w="360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Intangible assets</w:t>
            </w:r>
          </w:p>
        </w:tc>
        <w:tc>
          <w:tcPr>
            <w:tcW w:w="80" w:type="dxa"/>
            <w:vAlign w:val="bottom"/>
          </w:tcPr>
          <w:p>
            <w:pPr>
              <w:spacing w:after="0"/>
              <w:rPr>
                <w:sz w:val="15"/>
                <w:szCs w:val="15"/>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42.2</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w:t>
            </w:r>
          </w:p>
        </w:tc>
        <w:tc>
          <w:tcPr>
            <w:tcW w:w="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130.2</w:t>
            </w:r>
          </w:p>
        </w:tc>
      </w:tr>
      <w:tr>
        <w:trPr>
          <w:trHeight w:val="180"/>
        </w:trPr>
        <w:tc>
          <w:tcPr>
            <w:tcW w:w="36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Other assets</w:t>
            </w:r>
          </w:p>
        </w:tc>
        <w:tc>
          <w:tcPr>
            <w:tcW w:w="80" w:type="dxa"/>
            <w:vAlign w:val="bottom"/>
            <w:shd w:val="clear" w:color="auto" w:fill="CCEEFF"/>
          </w:tcPr>
          <w:p>
            <w:pPr>
              <w:spacing w:after="0"/>
              <w:rPr>
                <w:sz w:val="15"/>
                <w:szCs w:val="15"/>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0.8</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0.7</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w:t>
            </w:r>
          </w:p>
        </w:tc>
      </w:tr>
      <w:tr>
        <w:trPr>
          <w:trHeight w:val="171"/>
        </w:trPr>
        <w:tc>
          <w:tcPr>
            <w:tcW w:w="36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Total assets</w:t>
            </w:r>
          </w:p>
        </w:tc>
        <w:tc>
          <w:tcPr>
            <w:tcW w:w="80" w:type="dxa"/>
            <w:vAlign w:val="bottom"/>
            <w:tcBorders>
              <w:top w:val="single" w:sz="8" w:color="auto"/>
            </w:tcBorders>
          </w:tcPr>
          <w:p>
            <w:pPr>
              <w:spacing w:after="0"/>
              <w:rPr>
                <w:sz w:val="14"/>
                <w:szCs w:val="14"/>
                <w:color w:val="auto"/>
              </w:rPr>
            </w:pPr>
          </w:p>
        </w:tc>
        <w:tc>
          <w:tcPr>
            <w:tcW w:w="1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146.5</w:t>
            </w:r>
          </w:p>
        </w:tc>
        <w:tc>
          <w:tcPr>
            <w:tcW w:w="8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16.4</w:t>
            </w:r>
          </w:p>
        </w:tc>
        <w:tc>
          <w:tcPr>
            <w:tcW w:w="80" w:type="dxa"/>
            <w:vAlign w:val="bottom"/>
          </w:tcPr>
          <w:p>
            <w:pPr>
              <w:spacing w:after="0"/>
              <w:rPr>
                <w:sz w:val="14"/>
                <w:szCs w:val="14"/>
                <w:color w:val="auto"/>
              </w:rPr>
            </w:pPr>
          </w:p>
        </w:tc>
        <w:tc>
          <w:tcPr>
            <w:tcW w:w="82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26.5</w:t>
            </w:r>
          </w:p>
        </w:tc>
        <w:tc>
          <w:tcPr>
            <w:tcW w:w="8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171.8</w:t>
            </w:r>
          </w:p>
        </w:tc>
      </w:tr>
      <w:tr>
        <w:trPr>
          <w:trHeight w:val="212"/>
        </w:trPr>
        <w:tc>
          <w:tcPr>
            <w:tcW w:w="3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r>
      <w:tr>
        <w:trPr>
          <w:trHeight w:val="180"/>
        </w:trPr>
        <w:tc>
          <w:tcPr>
            <w:tcW w:w="36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Liabilities</w:t>
            </w:r>
          </w:p>
        </w:tc>
        <w:tc>
          <w:tcPr>
            <w:tcW w:w="8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60" w:type="dxa"/>
            <w:vAlign w:val="bottom"/>
          </w:tcPr>
          <w:p>
            <w:pPr>
              <w:spacing w:after="0"/>
              <w:rPr>
                <w:sz w:val="15"/>
                <w:szCs w:val="15"/>
                <w:color w:val="auto"/>
              </w:rPr>
            </w:pPr>
          </w:p>
        </w:tc>
      </w:tr>
      <w:tr>
        <w:trPr>
          <w:trHeight w:val="180"/>
        </w:trPr>
        <w:tc>
          <w:tcPr>
            <w:tcW w:w="36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Accounts payable</w:t>
            </w:r>
          </w:p>
        </w:tc>
        <w:tc>
          <w:tcPr>
            <w:tcW w:w="80" w:type="dxa"/>
            <w:vAlign w:val="bottom"/>
            <w:shd w:val="clear" w:color="auto" w:fill="CCEEFF"/>
          </w:tcPr>
          <w:p>
            <w:pPr>
              <w:spacing w:after="0"/>
              <w:rPr>
                <w:sz w:val="15"/>
                <w:szCs w:val="15"/>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0.9</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11.6</w:t>
            </w:r>
          </w:p>
        </w:tc>
      </w:tr>
      <w:tr>
        <w:trPr>
          <w:trHeight w:val="180"/>
        </w:trPr>
        <w:tc>
          <w:tcPr>
            <w:tcW w:w="360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Other accrued liabilities</w:t>
            </w:r>
          </w:p>
        </w:tc>
        <w:tc>
          <w:tcPr>
            <w:tcW w:w="80" w:type="dxa"/>
            <w:vAlign w:val="bottom"/>
          </w:tcPr>
          <w:p>
            <w:pPr>
              <w:spacing w:after="0"/>
              <w:rPr>
                <w:sz w:val="15"/>
                <w:szCs w:val="15"/>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0.3</w:t>
            </w:r>
          </w:p>
        </w:tc>
        <w:tc>
          <w:tcPr>
            <w:tcW w:w="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0.6</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w:t>
            </w:r>
          </w:p>
        </w:tc>
      </w:tr>
      <w:tr>
        <w:trPr>
          <w:trHeight w:val="180"/>
        </w:trPr>
        <w:tc>
          <w:tcPr>
            <w:tcW w:w="36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Income taxes payable</w:t>
            </w:r>
          </w:p>
        </w:tc>
        <w:tc>
          <w:tcPr>
            <w:tcW w:w="80" w:type="dxa"/>
            <w:vAlign w:val="bottom"/>
            <w:shd w:val="clear" w:color="auto" w:fill="CCEEFF"/>
          </w:tcPr>
          <w:p>
            <w:pPr>
              <w:spacing w:after="0"/>
              <w:rPr>
                <w:sz w:val="15"/>
                <w:szCs w:val="15"/>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5"/>
                <w:szCs w:val="15"/>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360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Other liabilities</w:t>
            </w:r>
          </w:p>
        </w:tc>
        <w:tc>
          <w:tcPr>
            <w:tcW w:w="80" w:type="dxa"/>
            <w:vAlign w:val="bottom"/>
          </w:tcPr>
          <w:p>
            <w:pPr>
              <w:spacing w:after="0"/>
              <w:rPr>
                <w:sz w:val="15"/>
                <w:szCs w:val="15"/>
                <w:color w:val="auto"/>
              </w:rPr>
            </w:pPr>
          </w:p>
        </w:tc>
        <w:tc>
          <w:tcPr>
            <w:tcW w:w="18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0.5</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w:t>
            </w:r>
          </w:p>
        </w:tc>
      </w:tr>
      <w:tr>
        <w:trPr>
          <w:trHeight w:val="171"/>
        </w:trPr>
        <w:tc>
          <w:tcPr>
            <w:tcW w:w="3600" w:type="dxa"/>
            <w:vAlign w:val="bottom"/>
            <w:tcBorders>
              <w:top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Total liabilities</w:t>
            </w:r>
          </w:p>
        </w:tc>
        <w:tc>
          <w:tcPr>
            <w:tcW w:w="80" w:type="dxa"/>
            <w:vAlign w:val="bottom"/>
            <w:tcBorders>
              <w:top w:val="single" w:sz="8" w:color="auto"/>
            </w:tcBorders>
            <w:shd w:val="clear" w:color="auto" w:fill="CCEEFF"/>
          </w:tcPr>
          <w:p>
            <w:pPr>
              <w:spacing w:after="0"/>
              <w:rPr>
                <w:sz w:val="14"/>
                <w:szCs w:val="14"/>
                <w:color w:val="auto"/>
              </w:rPr>
            </w:pPr>
          </w:p>
        </w:tc>
        <w:tc>
          <w:tcPr>
            <w:tcW w:w="1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15.3</w:t>
            </w:r>
          </w:p>
        </w:tc>
        <w:tc>
          <w:tcPr>
            <w:tcW w:w="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1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0.4</w:t>
            </w:r>
          </w:p>
        </w:tc>
        <w:tc>
          <w:tcPr>
            <w:tcW w:w="80" w:type="dxa"/>
            <w:vAlign w:val="bottom"/>
            <w:tcBorders>
              <w:top w:val="single" w:sz="8" w:color="CCEEFF"/>
            </w:tcBorders>
            <w:shd w:val="clear" w:color="auto" w:fill="CCEEFF"/>
          </w:tcPr>
          <w:p>
            <w:pPr>
              <w:spacing w:after="0"/>
              <w:rPr>
                <w:sz w:val="14"/>
                <w:szCs w:val="14"/>
                <w:color w:val="auto"/>
              </w:rPr>
            </w:pPr>
          </w:p>
        </w:tc>
        <w:tc>
          <w:tcPr>
            <w:tcW w:w="820" w:type="dxa"/>
            <w:vAlign w:val="bottom"/>
            <w:tcBorders>
              <w:top w:val="single" w:sz="8" w:color="auto"/>
            </w:tcBorders>
            <w:shd w:val="clear" w:color="auto" w:fill="CCEEFF"/>
          </w:tcPr>
          <w:p>
            <w:pPr>
              <w:spacing w:after="0"/>
              <w:rPr>
                <w:sz w:val="14"/>
                <w:szCs w:val="14"/>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1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21.1</w:t>
            </w:r>
          </w:p>
        </w:tc>
      </w:tr>
      <w:tr>
        <w:trPr>
          <w:trHeight w:val="212"/>
        </w:trPr>
        <w:tc>
          <w:tcPr>
            <w:tcW w:w="360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spacing w:after="0"/>
              <w:rPr>
                <w:sz w:val="18"/>
                <w:szCs w:val="18"/>
                <w:color w:val="auto"/>
              </w:rPr>
            </w:pPr>
          </w:p>
        </w:tc>
      </w:tr>
      <w:tr>
        <w:trPr>
          <w:trHeight w:val="196"/>
        </w:trPr>
        <w:tc>
          <w:tcPr>
            <w:tcW w:w="360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4"/>
                <w:szCs w:val="14"/>
                <w:b w:val="1"/>
                <w:bCs w:val="1"/>
                <w:color w:val="auto"/>
              </w:rPr>
              <w:t>Net Assets Acquired</w:t>
            </w: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131.2</w:t>
            </w: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16.0</w:t>
            </w:r>
          </w:p>
        </w:tc>
        <w:tc>
          <w:tcPr>
            <w:tcW w:w="8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ind w:right="669"/>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24.5</w:t>
            </w: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150.7</w:t>
            </w:r>
          </w:p>
        </w:tc>
      </w:tr>
      <w:tr>
        <w:trPr>
          <w:trHeight w:val="20"/>
        </w:trPr>
        <w:tc>
          <w:tcPr>
            <w:tcW w:w="36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r>
    </w:tbl>
    <w:p>
      <w:pPr>
        <w:spacing w:after="0" w:line="251" w:lineRule="exact"/>
        <w:rPr>
          <w:sz w:val="20"/>
          <w:szCs w:val="20"/>
          <w:color w:val="auto"/>
        </w:rPr>
      </w:pPr>
    </w:p>
    <w:p>
      <w:pPr>
        <w:ind w:right="40" w:firstLine="255"/>
        <w:spacing w:after="0" w:line="261" w:lineRule="auto"/>
        <w:rPr>
          <w:sz w:val="20"/>
          <w:szCs w:val="20"/>
          <w:color w:val="auto"/>
        </w:rPr>
      </w:pPr>
      <w:r>
        <w:rPr>
          <w:rFonts w:ascii="Times New Roman" w:cs="Times New Roman" w:eastAsia="Times New Roman" w:hAnsi="Times New Roman"/>
          <w:sz w:val="14"/>
          <w:szCs w:val="14"/>
          <w:color w:val="auto"/>
        </w:rPr>
        <w:t>The excess purchase price over the estimated fair value of the net assets acquired was recognized as goodwill and totaled $18.6 million and $39.2 million for the 2025 acquisitions and 2024 acquisition, respectively. Goodwill and intangible assets total $160.8 million and $81.4 million for the 2025 acquisitions and 2024 acquisition, respectively, and are deductible for tax purposes. Accounts receivable and current liabilities were either stated at their historical carrying values, which approximate fair value given the short-term nature of these assets and liabilities or were stated at their fair values based on an evaluation of the current market value of such assets and liabilities. The estimate of fair value for inventories and fixed assets was based on an assessment of acquired assets’ condition as well as an evaluation of the current market value of such assets.</w:t>
      </w:r>
    </w:p>
    <w:p>
      <w:pPr>
        <w:spacing w:after="0" w:line="16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Company recorded intangible assets based on its estimate of fair value which consisted of the following (dollars in millions):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00" w:type="dxa"/>
            <w:vAlign w:val="bottom"/>
          </w:tcPr>
          <w:p>
            <w:pPr>
              <w:spacing w:after="0"/>
              <w:rPr>
                <w:sz w:val="13"/>
                <w:szCs w:val="13"/>
                <w:color w:val="auto"/>
              </w:rPr>
            </w:pPr>
          </w:p>
        </w:tc>
        <w:tc>
          <w:tcPr>
            <w:tcW w:w="20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Estimated Useful Life (in years)</w:t>
            </w:r>
          </w:p>
        </w:tc>
        <w:tc>
          <w:tcPr>
            <w:tcW w:w="80" w:type="dxa"/>
            <w:vAlign w:val="bottom"/>
          </w:tcPr>
          <w:p>
            <w:pPr>
              <w:spacing w:after="0"/>
              <w:rPr>
                <w:sz w:val="13"/>
                <w:szCs w:val="13"/>
                <w:color w:val="auto"/>
              </w:rPr>
            </w:pPr>
          </w:p>
        </w:tc>
        <w:tc>
          <w:tcPr>
            <w:tcW w:w="196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Intangible Assets Acquired in</w:t>
            </w:r>
          </w:p>
        </w:tc>
        <w:tc>
          <w:tcPr>
            <w:tcW w:w="100" w:type="dxa"/>
            <w:vAlign w:val="bottom"/>
          </w:tcPr>
          <w:p>
            <w:pPr>
              <w:spacing w:after="0"/>
              <w:rPr>
                <w:sz w:val="13"/>
                <w:szCs w:val="13"/>
                <w:color w:val="auto"/>
              </w:rPr>
            </w:pPr>
          </w:p>
        </w:tc>
        <w:tc>
          <w:tcPr>
            <w:tcW w:w="1880" w:type="dxa"/>
            <w:vAlign w:val="bottom"/>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w w:val="99"/>
              </w:rPr>
              <w:t>Intangible Assets Acquired in</w:t>
            </w:r>
          </w:p>
        </w:tc>
        <w:tc>
          <w:tcPr>
            <w:tcW w:w="0" w:type="dxa"/>
            <w:vAlign w:val="bottom"/>
          </w:tcPr>
          <w:p>
            <w:pPr>
              <w:spacing w:after="0"/>
              <w:rPr>
                <w:sz w:val="1"/>
                <w:szCs w:val="1"/>
                <w:color w:val="auto"/>
              </w:rPr>
            </w:pPr>
          </w:p>
        </w:tc>
      </w:tr>
      <w:tr>
        <w:trPr>
          <w:trHeight w:val="192"/>
        </w:trPr>
        <w:tc>
          <w:tcPr>
            <w:tcW w:w="5200" w:type="dxa"/>
            <w:vAlign w:val="bottom"/>
          </w:tcPr>
          <w:p>
            <w:pPr>
              <w:spacing w:after="0"/>
              <w:rPr>
                <w:sz w:val="16"/>
                <w:szCs w:val="16"/>
                <w:color w:val="auto"/>
              </w:rPr>
            </w:pPr>
          </w:p>
        </w:tc>
        <w:tc>
          <w:tcPr>
            <w:tcW w:w="206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196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fiscal 2024</w:t>
            </w:r>
          </w:p>
        </w:tc>
        <w:tc>
          <w:tcPr>
            <w:tcW w:w="100" w:type="dxa"/>
            <w:vAlign w:val="bottom"/>
          </w:tcPr>
          <w:p>
            <w:pPr>
              <w:spacing w:after="0"/>
              <w:rPr>
                <w:sz w:val="16"/>
                <w:szCs w:val="16"/>
                <w:color w:val="auto"/>
              </w:rPr>
            </w:pPr>
          </w:p>
        </w:tc>
        <w:tc>
          <w:tcPr>
            <w:tcW w:w="1880" w:type="dxa"/>
            <w:vAlign w:val="bottom"/>
          </w:tcPr>
          <w:p>
            <w:pPr>
              <w:jc w:val="right"/>
              <w:ind w:right="589"/>
              <w:spacing w:after="0"/>
              <w:rPr>
                <w:sz w:val="20"/>
                <w:szCs w:val="20"/>
                <w:color w:val="auto"/>
              </w:rPr>
            </w:pPr>
            <w:r>
              <w:rPr>
                <w:rFonts w:ascii="Times New Roman" w:cs="Times New Roman" w:eastAsia="Times New Roman" w:hAnsi="Times New Roman"/>
                <w:sz w:val="14"/>
                <w:szCs w:val="14"/>
                <w:b w:val="1"/>
                <w:bCs w:val="1"/>
                <w:color w:val="auto"/>
              </w:rPr>
              <w:t>fiscal 2025</w:t>
            </w:r>
          </w:p>
        </w:tc>
        <w:tc>
          <w:tcPr>
            <w:tcW w:w="0" w:type="dxa"/>
            <w:vAlign w:val="bottom"/>
          </w:tcPr>
          <w:p>
            <w:pPr>
              <w:spacing w:after="0"/>
              <w:rPr>
                <w:sz w:val="1"/>
                <w:szCs w:val="1"/>
                <w:color w:val="auto"/>
              </w:rPr>
            </w:pPr>
          </w:p>
        </w:tc>
      </w:tr>
      <w:tr>
        <w:trPr>
          <w:trHeight w:val="180"/>
        </w:trPr>
        <w:tc>
          <w:tcPr>
            <w:tcW w:w="5200" w:type="dxa"/>
            <w:vAlign w:val="bottom"/>
            <w:tcBorders>
              <w:top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Customer relationships</w:t>
            </w:r>
          </w:p>
        </w:tc>
        <w:tc>
          <w:tcPr>
            <w:tcW w:w="19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7"/>
              </w:rPr>
              <w:t>12.0</w:t>
            </w:r>
          </w:p>
        </w:tc>
        <w:tc>
          <w:tcPr>
            <w:tcW w:w="10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26.8</w:t>
            </w:r>
          </w:p>
        </w:tc>
        <w:tc>
          <w:tcPr>
            <w:tcW w:w="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114.3</w:t>
            </w:r>
          </w:p>
        </w:tc>
        <w:tc>
          <w:tcPr>
            <w:tcW w:w="0" w:type="dxa"/>
            <w:vAlign w:val="bottom"/>
          </w:tcPr>
          <w:p>
            <w:pPr>
              <w:spacing w:after="0"/>
              <w:rPr>
                <w:sz w:val="1"/>
                <w:szCs w:val="1"/>
                <w:color w:val="auto"/>
              </w:rPr>
            </w:pPr>
          </w:p>
        </w:tc>
      </w:tr>
      <w:tr>
        <w:trPr>
          <w:trHeight w:val="180"/>
        </w:trPr>
        <w:tc>
          <w:tcPr>
            <w:tcW w:w="520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Backlog intangibles (third quarter fiscal 2024 acquisition)</w:t>
            </w:r>
          </w:p>
        </w:tc>
        <w:tc>
          <w:tcPr>
            <w:tcW w:w="19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1"/>
              </w:rPr>
              <w:t>3.0</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11.6</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52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Backlog intangibles (first and second quarter fiscal 2025 acquisitions)</w:t>
            </w:r>
          </w:p>
        </w:tc>
        <w:tc>
          <w:tcPr>
            <w:tcW w:w="1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1"/>
              </w:rPr>
              <w:t>0.8</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5"/>
                <w:szCs w:val="15"/>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0.5</w:t>
            </w:r>
          </w:p>
        </w:tc>
        <w:tc>
          <w:tcPr>
            <w:tcW w:w="0" w:type="dxa"/>
            <w:vAlign w:val="bottom"/>
          </w:tcPr>
          <w:p>
            <w:pPr>
              <w:spacing w:after="0"/>
              <w:rPr>
                <w:sz w:val="1"/>
                <w:szCs w:val="1"/>
                <w:color w:val="auto"/>
              </w:rPr>
            </w:pPr>
          </w:p>
        </w:tc>
      </w:tr>
      <w:tr>
        <w:trPr>
          <w:trHeight w:val="180"/>
        </w:trPr>
        <w:tc>
          <w:tcPr>
            <w:tcW w:w="520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Backlog intangibles (third quarter fiscal 2025 acquisition)</w:t>
            </w:r>
          </w:p>
        </w:tc>
        <w:tc>
          <w:tcPr>
            <w:tcW w:w="19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1"/>
              </w:rPr>
              <w:t>2.0</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9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26.3</w:t>
            </w:r>
          </w:p>
        </w:tc>
        <w:tc>
          <w:tcPr>
            <w:tcW w:w="0" w:type="dxa"/>
            <w:vAlign w:val="bottom"/>
          </w:tcPr>
          <w:p>
            <w:pPr>
              <w:spacing w:after="0"/>
              <w:rPr>
                <w:sz w:val="1"/>
                <w:szCs w:val="1"/>
                <w:color w:val="auto"/>
              </w:rPr>
            </w:pPr>
          </w:p>
        </w:tc>
      </w:tr>
      <w:tr>
        <w:trPr>
          <w:trHeight w:val="180"/>
        </w:trPr>
        <w:tc>
          <w:tcPr>
            <w:tcW w:w="52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Trade names</w:t>
            </w:r>
          </w:p>
        </w:tc>
        <w:tc>
          <w:tcPr>
            <w:tcW w:w="1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7"/>
              </w:rPr>
              <w:t>10.0</w:t>
            </w:r>
          </w:p>
        </w:tc>
        <w:tc>
          <w:tcPr>
            <w:tcW w:w="100" w:type="dxa"/>
            <w:vAlign w:val="bottom"/>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1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w:t>
            </w:r>
          </w:p>
        </w:tc>
        <w:tc>
          <w:tcPr>
            <w:tcW w:w="8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1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0" w:type="dxa"/>
            <w:vAlign w:val="bottom"/>
          </w:tcPr>
          <w:p>
            <w:pPr>
              <w:spacing w:after="0"/>
              <w:rPr>
                <w:sz w:val="1"/>
                <w:szCs w:val="1"/>
                <w:color w:val="auto"/>
              </w:rPr>
            </w:pPr>
          </w:p>
        </w:tc>
      </w:tr>
      <w:tr>
        <w:trPr>
          <w:trHeight w:val="171"/>
        </w:trPr>
        <w:tc>
          <w:tcPr>
            <w:tcW w:w="5200" w:type="dxa"/>
            <w:vAlign w:val="bottom"/>
          </w:tcPr>
          <w:p>
            <w:pPr>
              <w:ind w:left="180"/>
              <w:spacing w:after="0"/>
              <w:rPr>
                <w:sz w:val="20"/>
                <w:szCs w:val="20"/>
                <w:color w:val="auto"/>
              </w:rPr>
            </w:pPr>
            <w:r>
              <w:rPr>
                <w:rFonts w:ascii="Times New Roman" w:cs="Times New Roman" w:eastAsia="Times New Roman" w:hAnsi="Times New Roman"/>
                <w:sz w:val="14"/>
                <w:szCs w:val="14"/>
                <w:b w:val="1"/>
                <w:bCs w:val="1"/>
                <w:color w:val="auto"/>
              </w:rPr>
              <w:t>Total intangible assets acquired</w:t>
            </w:r>
          </w:p>
        </w:tc>
        <w:tc>
          <w:tcPr>
            <w:tcW w:w="1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42.2</w:t>
            </w:r>
          </w:p>
        </w:tc>
        <w:tc>
          <w:tcPr>
            <w:tcW w:w="80" w:type="dxa"/>
            <w:vAlign w:val="bottom"/>
          </w:tcPr>
          <w:p>
            <w:pPr>
              <w:spacing w:after="0"/>
              <w:rPr>
                <w:sz w:val="14"/>
                <w:szCs w:val="14"/>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142.2</w:t>
            </w:r>
          </w:p>
        </w:tc>
        <w:tc>
          <w:tcPr>
            <w:tcW w:w="0" w:type="dxa"/>
            <w:vAlign w:val="bottom"/>
          </w:tcPr>
          <w:p>
            <w:pPr>
              <w:spacing w:after="0"/>
              <w:rPr>
                <w:sz w:val="1"/>
                <w:szCs w:val="1"/>
                <w:color w:val="auto"/>
              </w:rPr>
            </w:pPr>
          </w:p>
        </w:tc>
      </w:tr>
      <w:tr>
        <w:trPr>
          <w:trHeight w:val="20"/>
        </w:trPr>
        <w:tc>
          <w:tcPr>
            <w:tcW w:w="520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44" w:lineRule="exact"/>
        <w:rPr>
          <w:sz w:val="20"/>
          <w:szCs w:val="20"/>
          <w:color w:val="auto"/>
        </w:rPr>
      </w:pPr>
    </w:p>
    <w:p>
      <w:pPr>
        <w:ind w:right="160" w:firstLine="255"/>
        <w:spacing w:after="0" w:line="264" w:lineRule="auto"/>
        <w:rPr>
          <w:sz w:val="20"/>
          <w:szCs w:val="20"/>
          <w:color w:val="auto"/>
        </w:rPr>
      </w:pPr>
      <w:r>
        <w:rPr>
          <w:rFonts w:ascii="Times New Roman" w:cs="Times New Roman" w:eastAsia="Times New Roman" w:hAnsi="Times New Roman"/>
          <w:sz w:val="14"/>
          <w:szCs w:val="14"/>
          <w:color w:val="auto"/>
        </w:rPr>
        <w:t>The valuation of intangible assets was determined using the income approach methodology. More specifically, the fair values of the customer relationships and the backlog intangibles were estimated using the multi-period excess earnings method, while the trade name was estimated using the relief-from-royalty method. Significant judgments and assumptions used in estimating management’s cash flow projections included projected revenue growth rates, profit margins, discount rates, customer attrition rates and royalty rates among others. The projected future cash flows are discounted to present value using an appropriate discount rate.</w:t>
      </w:r>
    </w:p>
    <w:p>
      <w:pPr>
        <w:spacing w:after="0" w:line="162" w:lineRule="exact"/>
        <w:rPr>
          <w:sz w:val="20"/>
          <w:szCs w:val="20"/>
          <w:color w:val="auto"/>
        </w:rPr>
      </w:pPr>
    </w:p>
    <w:p>
      <w:pPr>
        <w:ind w:right="440" w:firstLine="255"/>
        <w:spacing w:after="0" w:line="287" w:lineRule="auto"/>
        <w:rPr>
          <w:sz w:val="20"/>
          <w:szCs w:val="20"/>
          <w:color w:val="auto"/>
        </w:rPr>
      </w:pPr>
      <w:r>
        <w:rPr>
          <w:rFonts w:ascii="Times New Roman" w:cs="Times New Roman" w:eastAsia="Times New Roman" w:hAnsi="Times New Roman"/>
          <w:sz w:val="14"/>
          <w:szCs w:val="14"/>
          <w:color w:val="auto"/>
        </w:rPr>
        <w:t>Results of the business acquired are included in the condensed consolidated financial statements from the date of acquisition. The results from the businesses acquired were not considered material to the Company’s condensed consolidated financial statements.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6. Accounts Receivable, Contract Assets, and Contract Liabilities</w:t>
      </w:r>
    </w:p>
    <w:p>
      <w:pPr>
        <w:spacing w:after="0" w:line="200" w:lineRule="exact"/>
        <w:rPr>
          <w:sz w:val="20"/>
          <w:szCs w:val="20"/>
          <w:color w:val="auto"/>
        </w:rPr>
      </w:pPr>
    </w:p>
    <w:p>
      <w:pPr>
        <w:ind w:right="600" w:firstLine="255"/>
        <w:spacing w:after="0" w:line="290" w:lineRule="auto"/>
        <w:rPr>
          <w:sz w:val="20"/>
          <w:szCs w:val="20"/>
          <w:color w:val="auto"/>
        </w:rPr>
      </w:pPr>
      <w:r>
        <w:rPr>
          <w:rFonts w:ascii="Times New Roman" w:cs="Times New Roman" w:eastAsia="Times New Roman" w:hAnsi="Times New Roman"/>
          <w:sz w:val="14"/>
          <w:szCs w:val="14"/>
          <w:color w:val="auto"/>
        </w:rPr>
        <w:t xml:space="preserve">The following provides further details on the balance sheet accounts of accounts receivable, net; contract assets; and contract liabilities. See Note 2, </w:t>
      </w:r>
      <w:r>
        <w:rPr>
          <w:rFonts w:ascii="Times New Roman" w:cs="Times New Roman" w:eastAsia="Times New Roman" w:hAnsi="Times New Roman"/>
          <w:sz w:val="14"/>
          <w:szCs w:val="14"/>
          <w:i w:val="1"/>
          <w:iCs w:val="1"/>
          <w:color w:val="auto"/>
        </w:rPr>
        <w:t>Significant Accounting Policies and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Estimates</w:t>
      </w:r>
      <w:r>
        <w:rPr>
          <w:rFonts w:ascii="Times New Roman" w:cs="Times New Roman" w:eastAsia="Times New Roman" w:hAnsi="Times New Roman"/>
          <w:sz w:val="14"/>
          <w:szCs w:val="14"/>
          <w:color w:val="auto"/>
        </w:rPr>
        <w:t>, for further information on our policies related to these balance sheet accounts, as well as our revenue recognition policies.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240" w:type="dxa"/>
            <w:vAlign w:val="bottom"/>
          </w:tcPr>
          <w:p>
            <w:pPr>
              <w:ind w:left="260"/>
              <w:spacing w:after="0"/>
              <w:rPr>
                <w:sz w:val="20"/>
                <w:szCs w:val="20"/>
                <w:color w:val="auto"/>
              </w:rPr>
            </w:pPr>
            <w:r>
              <w:rPr>
                <w:rFonts w:ascii="Times New Roman" w:cs="Times New Roman" w:eastAsia="Times New Roman" w:hAnsi="Times New Roman"/>
                <w:sz w:val="14"/>
                <w:szCs w:val="14"/>
                <w:b w:val="1"/>
                <w:bCs w:val="1"/>
                <w:color w:val="auto"/>
              </w:rPr>
              <w:t>Accounts Receivable</w:t>
            </w:r>
          </w:p>
        </w:tc>
        <w:tc>
          <w:tcPr>
            <w:tcW w:w="28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40"/>
        </w:trPr>
        <w:tc>
          <w:tcPr>
            <w:tcW w:w="724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Accounts receivable, net, classified as current, consisted of the following (dollars in thousands):</w:t>
            </w:r>
          </w:p>
        </w:tc>
        <w:tc>
          <w:tcPr>
            <w:tcW w:w="28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7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78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January 25, 2025</w:t>
            </w:r>
          </w:p>
        </w:tc>
        <w:tc>
          <w:tcPr>
            <w:tcW w:w="280" w:type="dxa"/>
            <w:vAlign w:val="bottom"/>
          </w:tcPr>
          <w:p>
            <w:pPr>
              <w:spacing w:after="0"/>
              <w:rPr>
                <w:sz w:val="17"/>
                <w:szCs w:val="17"/>
                <w:color w:val="auto"/>
              </w:rPr>
            </w:pPr>
          </w:p>
        </w:tc>
        <w:tc>
          <w:tcPr>
            <w:tcW w:w="1700" w:type="dxa"/>
            <w:vAlign w:val="bottom"/>
          </w:tcPr>
          <w:p>
            <w:pPr>
              <w:jc w:val="right"/>
              <w:ind w:right="389"/>
              <w:spacing w:after="0"/>
              <w:rPr>
                <w:sz w:val="20"/>
                <w:szCs w:val="20"/>
                <w:color w:val="auto"/>
              </w:rPr>
            </w:pPr>
            <w:r>
              <w:rPr>
                <w:rFonts w:ascii="Times New Roman" w:cs="Times New Roman" w:eastAsia="Times New Roman" w:hAnsi="Times New Roman"/>
                <w:sz w:val="14"/>
                <w:szCs w:val="14"/>
                <w:b w:val="1"/>
                <w:bCs w:val="1"/>
                <w:color w:val="auto"/>
              </w:rPr>
              <w:t>January 27, 2024</w:t>
            </w:r>
          </w:p>
        </w:tc>
        <w:tc>
          <w:tcPr>
            <w:tcW w:w="0" w:type="dxa"/>
            <w:vAlign w:val="bottom"/>
          </w:tcPr>
          <w:p>
            <w:pPr>
              <w:spacing w:after="0"/>
              <w:rPr>
                <w:sz w:val="1"/>
                <w:szCs w:val="1"/>
                <w:color w:val="auto"/>
              </w:rPr>
            </w:pPr>
          </w:p>
        </w:tc>
      </w:tr>
      <w:tr>
        <w:trPr>
          <w:trHeight w:val="180"/>
        </w:trPr>
        <w:tc>
          <w:tcPr>
            <w:tcW w:w="72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Trade accounts receivable</w:t>
            </w:r>
          </w:p>
        </w:tc>
        <w:tc>
          <w:tcPr>
            <w:tcW w:w="280" w:type="dxa"/>
            <w:vAlign w:val="bottom"/>
            <w:tcBorders>
              <w:top w:val="single" w:sz="8" w:color="auto"/>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538,475</w:t>
            </w:r>
          </w:p>
        </w:tc>
        <w:tc>
          <w:tcPr>
            <w:tcW w:w="8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1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462,034</w:t>
            </w:r>
          </w:p>
        </w:tc>
        <w:tc>
          <w:tcPr>
            <w:tcW w:w="0" w:type="dxa"/>
            <w:vAlign w:val="bottom"/>
          </w:tcPr>
          <w:p>
            <w:pPr>
              <w:spacing w:after="0"/>
              <w:rPr>
                <w:sz w:val="1"/>
                <w:szCs w:val="1"/>
                <w:color w:val="auto"/>
              </w:rPr>
            </w:pPr>
          </w:p>
        </w:tc>
      </w:tr>
      <w:tr>
        <w:trPr>
          <w:trHeight w:val="180"/>
        </w:trPr>
        <w:tc>
          <w:tcPr>
            <w:tcW w:w="7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Unbilled accounts receivable</w:t>
            </w:r>
          </w:p>
        </w:tc>
        <w:tc>
          <w:tcPr>
            <w:tcW w:w="280" w:type="dxa"/>
            <w:vAlign w:val="bottom"/>
          </w:tcPr>
          <w:p>
            <w:pPr>
              <w:spacing w:after="0"/>
              <w:rPr>
                <w:sz w:val="15"/>
                <w:szCs w:val="15"/>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801,423</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734,442</w:t>
            </w:r>
          </w:p>
        </w:tc>
        <w:tc>
          <w:tcPr>
            <w:tcW w:w="0" w:type="dxa"/>
            <w:vAlign w:val="bottom"/>
          </w:tcPr>
          <w:p>
            <w:pPr>
              <w:spacing w:after="0"/>
              <w:rPr>
                <w:sz w:val="1"/>
                <w:szCs w:val="1"/>
                <w:color w:val="auto"/>
              </w:rPr>
            </w:pPr>
          </w:p>
        </w:tc>
      </w:tr>
      <w:tr>
        <w:trPr>
          <w:trHeight w:val="180"/>
        </w:trPr>
        <w:tc>
          <w:tcPr>
            <w:tcW w:w="7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Retainage</w:t>
            </w:r>
          </w:p>
        </w:tc>
        <w:tc>
          <w:tcPr>
            <w:tcW w:w="280" w:type="dxa"/>
            <w:vAlign w:val="bottom"/>
            <w:tcBorders>
              <w:bottom w:val="single" w:sz="8" w:color="auto"/>
            </w:tcBorders>
            <w:shd w:val="clear" w:color="auto" w:fill="CCEEFF"/>
          </w:tcPr>
          <w:p>
            <w:pPr>
              <w:spacing w:after="0"/>
              <w:rPr>
                <w:sz w:val="15"/>
                <w:szCs w:val="15"/>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34,934</w:t>
            </w:r>
          </w:p>
        </w:tc>
        <w:tc>
          <w:tcPr>
            <w:tcW w:w="8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49,556</w:t>
            </w:r>
          </w:p>
        </w:tc>
        <w:tc>
          <w:tcPr>
            <w:tcW w:w="0" w:type="dxa"/>
            <w:vAlign w:val="bottom"/>
          </w:tcPr>
          <w:p>
            <w:pPr>
              <w:spacing w:after="0"/>
              <w:rPr>
                <w:sz w:val="1"/>
                <w:szCs w:val="1"/>
                <w:color w:val="auto"/>
              </w:rPr>
            </w:pPr>
          </w:p>
        </w:tc>
      </w:tr>
      <w:tr>
        <w:trPr>
          <w:trHeight w:val="171"/>
        </w:trPr>
        <w:tc>
          <w:tcPr>
            <w:tcW w:w="72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Total</w:t>
            </w:r>
          </w:p>
        </w:tc>
        <w:tc>
          <w:tcPr>
            <w:tcW w:w="280" w:type="dxa"/>
            <w:vAlign w:val="bottom"/>
          </w:tcPr>
          <w:p>
            <w:pPr>
              <w:spacing w:after="0"/>
              <w:rPr>
                <w:sz w:val="14"/>
                <w:szCs w:val="14"/>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1,374,832</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1,246,032</w:t>
            </w:r>
          </w:p>
        </w:tc>
        <w:tc>
          <w:tcPr>
            <w:tcW w:w="0" w:type="dxa"/>
            <w:vAlign w:val="bottom"/>
          </w:tcPr>
          <w:p>
            <w:pPr>
              <w:spacing w:after="0"/>
              <w:rPr>
                <w:sz w:val="1"/>
                <w:szCs w:val="1"/>
                <w:color w:val="auto"/>
              </w:rPr>
            </w:pPr>
          </w:p>
        </w:tc>
      </w:tr>
      <w:tr>
        <w:trPr>
          <w:trHeight w:val="180"/>
        </w:trPr>
        <w:tc>
          <w:tcPr>
            <w:tcW w:w="72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Less: allowance for credit losses</w:t>
            </w:r>
          </w:p>
        </w:tc>
        <w:tc>
          <w:tcPr>
            <w:tcW w:w="280" w:type="dxa"/>
            <w:vAlign w:val="bottom"/>
            <w:tcBorders>
              <w:bottom w:val="single" w:sz="8" w:color="auto"/>
            </w:tcBorders>
            <w:shd w:val="clear" w:color="auto" w:fill="CCEEFF"/>
          </w:tcPr>
          <w:p>
            <w:pPr>
              <w:spacing w:after="0"/>
              <w:rPr>
                <w:sz w:val="15"/>
                <w:szCs w:val="15"/>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(1,094)</w:t>
            </w:r>
          </w:p>
        </w:tc>
        <w:tc>
          <w:tcPr>
            <w:tcW w:w="8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(2,776)</w:t>
            </w:r>
          </w:p>
        </w:tc>
        <w:tc>
          <w:tcPr>
            <w:tcW w:w="0" w:type="dxa"/>
            <w:vAlign w:val="bottom"/>
          </w:tcPr>
          <w:p>
            <w:pPr>
              <w:spacing w:after="0"/>
              <w:rPr>
                <w:sz w:val="1"/>
                <w:szCs w:val="1"/>
                <w:color w:val="auto"/>
              </w:rPr>
            </w:pPr>
          </w:p>
        </w:tc>
      </w:tr>
      <w:tr>
        <w:trPr>
          <w:trHeight w:val="171"/>
        </w:trPr>
        <w:tc>
          <w:tcPr>
            <w:tcW w:w="72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Accounts receivable, net</w:t>
            </w:r>
          </w:p>
        </w:tc>
        <w:tc>
          <w:tcPr>
            <w:tcW w:w="280" w:type="dxa"/>
            <w:vAlign w:val="bottom"/>
            <w:tcBorders>
              <w:bottom w:val="single" w:sz="8" w:color="auto"/>
            </w:tcBorders>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1,373,738</w:t>
            </w:r>
          </w:p>
        </w:tc>
        <w:tc>
          <w:tcPr>
            <w:tcW w:w="80" w:type="dxa"/>
            <w:vAlign w:val="bottom"/>
          </w:tcPr>
          <w:p>
            <w:pPr>
              <w:spacing w:after="0"/>
              <w:rPr>
                <w:sz w:val="14"/>
                <w:szCs w:val="14"/>
                <w:color w:val="auto"/>
              </w:rPr>
            </w:pPr>
          </w:p>
        </w:tc>
        <w:tc>
          <w:tcPr>
            <w:tcW w:w="28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1,243,256</w:t>
            </w:r>
          </w:p>
        </w:tc>
        <w:tc>
          <w:tcPr>
            <w:tcW w:w="0" w:type="dxa"/>
            <w:vAlign w:val="bottom"/>
          </w:tcPr>
          <w:p>
            <w:pPr>
              <w:spacing w:after="0"/>
              <w:rPr>
                <w:sz w:val="1"/>
                <w:szCs w:val="1"/>
                <w:color w:val="auto"/>
              </w:rPr>
            </w:pPr>
          </w:p>
        </w:tc>
      </w:tr>
      <w:tr>
        <w:trPr>
          <w:trHeight w:val="20"/>
        </w:trPr>
        <w:tc>
          <w:tcPr>
            <w:tcW w:w="7240" w:type="dxa"/>
            <w:vAlign w:val="bottom"/>
          </w:tcPr>
          <w:p>
            <w:pPr>
              <w:spacing w:after="0" w:line="20" w:lineRule="exact"/>
              <w:rPr>
                <w:sz w:val="1"/>
                <w:szCs w:val="1"/>
                <w:color w:val="auto"/>
              </w:rPr>
            </w:pPr>
          </w:p>
        </w:tc>
        <w:tc>
          <w:tcPr>
            <w:tcW w:w="198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6"/>
        </w:trPr>
        <w:tc>
          <w:tcPr>
            <w:tcW w:w="9300" w:type="dxa"/>
            <w:vAlign w:val="bottom"/>
            <w:gridSpan w:val="4"/>
          </w:tcPr>
          <w:p>
            <w:pPr>
              <w:ind w:left="260"/>
              <w:spacing w:after="0"/>
              <w:rPr>
                <w:sz w:val="20"/>
                <w:szCs w:val="20"/>
                <w:color w:val="auto"/>
              </w:rPr>
            </w:pPr>
            <w:r>
              <w:rPr>
                <w:rFonts w:ascii="Times New Roman" w:cs="Times New Roman" w:eastAsia="Times New Roman" w:hAnsi="Times New Roman"/>
                <w:sz w:val="14"/>
                <w:szCs w:val="14"/>
                <w:color w:val="auto"/>
              </w:rPr>
              <w:t>We maintain an allowance for estimated losses on uncollected balances. The allowance for credit losses changed as follows (dollars in thousands):</w:t>
            </w:r>
          </w:p>
        </w:tc>
        <w:tc>
          <w:tcPr>
            <w:tcW w:w="28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7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78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January 25, 2025</w:t>
            </w:r>
          </w:p>
        </w:tc>
        <w:tc>
          <w:tcPr>
            <w:tcW w:w="280" w:type="dxa"/>
            <w:vAlign w:val="bottom"/>
          </w:tcPr>
          <w:p>
            <w:pPr>
              <w:spacing w:after="0"/>
              <w:rPr>
                <w:sz w:val="17"/>
                <w:szCs w:val="17"/>
                <w:color w:val="auto"/>
              </w:rPr>
            </w:pPr>
          </w:p>
        </w:tc>
        <w:tc>
          <w:tcPr>
            <w:tcW w:w="1700" w:type="dxa"/>
            <w:vAlign w:val="bottom"/>
          </w:tcPr>
          <w:p>
            <w:pPr>
              <w:jc w:val="right"/>
              <w:ind w:right="389"/>
              <w:spacing w:after="0"/>
              <w:rPr>
                <w:sz w:val="20"/>
                <w:szCs w:val="20"/>
                <w:color w:val="auto"/>
              </w:rPr>
            </w:pPr>
            <w:r>
              <w:rPr>
                <w:rFonts w:ascii="Times New Roman" w:cs="Times New Roman" w:eastAsia="Times New Roman" w:hAnsi="Times New Roman"/>
                <w:sz w:val="14"/>
                <w:szCs w:val="14"/>
                <w:b w:val="1"/>
                <w:bCs w:val="1"/>
                <w:color w:val="auto"/>
              </w:rPr>
              <w:t>January 27, 2024</w:t>
            </w:r>
          </w:p>
        </w:tc>
        <w:tc>
          <w:tcPr>
            <w:tcW w:w="0" w:type="dxa"/>
            <w:vAlign w:val="bottom"/>
          </w:tcPr>
          <w:p>
            <w:pPr>
              <w:spacing w:after="0"/>
              <w:rPr>
                <w:sz w:val="1"/>
                <w:szCs w:val="1"/>
                <w:color w:val="auto"/>
              </w:rPr>
            </w:pPr>
          </w:p>
        </w:tc>
      </w:tr>
      <w:tr>
        <w:trPr>
          <w:trHeight w:val="180"/>
        </w:trPr>
        <w:tc>
          <w:tcPr>
            <w:tcW w:w="72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Allowance for credit losses at beginning of period</w:t>
            </w:r>
          </w:p>
        </w:tc>
        <w:tc>
          <w:tcPr>
            <w:tcW w:w="280" w:type="dxa"/>
            <w:vAlign w:val="bottom"/>
            <w:tcBorders>
              <w:top w:val="single" w:sz="8" w:color="auto"/>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2,776</w:t>
            </w:r>
          </w:p>
        </w:tc>
        <w:tc>
          <w:tcPr>
            <w:tcW w:w="8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1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3,246</w:t>
            </w:r>
          </w:p>
        </w:tc>
        <w:tc>
          <w:tcPr>
            <w:tcW w:w="0" w:type="dxa"/>
            <w:vAlign w:val="bottom"/>
          </w:tcPr>
          <w:p>
            <w:pPr>
              <w:spacing w:after="0"/>
              <w:rPr>
                <w:sz w:val="1"/>
                <w:szCs w:val="1"/>
                <w:color w:val="auto"/>
              </w:rPr>
            </w:pPr>
          </w:p>
        </w:tc>
      </w:tr>
      <w:tr>
        <w:trPr>
          <w:trHeight w:val="180"/>
        </w:trPr>
        <w:tc>
          <w:tcPr>
            <w:tcW w:w="7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(Recovery of) provision for bad debt</w:t>
            </w:r>
          </w:p>
        </w:tc>
        <w:tc>
          <w:tcPr>
            <w:tcW w:w="280" w:type="dxa"/>
            <w:vAlign w:val="bottom"/>
          </w:tcPr>
          <w:p>
            <w:pPr>
              <w:spacing w:after="0"/>
              <w:rPr>
                <w:sz w:val="15"/>
                <w:szCs w:val="15"/>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(1,184)</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274</w:t>
            </w:r>
          </w:p>
        </w:tc>
        <w:tc>
          <w:tcPr>
            <w:tcW w:w="0" w:type="dxa"/>
            <w:vAlign w:val="bottom"/>
          </w:tcPr>
          <w:p>
            <w:pPr>
              <w:spacing w:after="0"/>
              <w:rPr>
                <w:sz w:val="1"/>
                <w:szCs w:val="1"/>
                <w:color w:val="auto"/>
              </w:rPr>
            </w:pPr>
          </w:p>
        </w:tc>
      </w:tr>
      <w:tr>
        <w:trPr>
          <w:trHeight w:val="180"/>
        </w:trPr>
        <w:tc>
          <w:tcPr>
            <w:tcW w:w="7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Amounts charged against the allowance</w:t>
            </w:r>
          </w:p>
        </w:tc>
        <w:tc>
          <w:tcPr>
            <w:tcW w:w="280" w:type="dxa"/>
            <w:vAlign w:val="bottom"/>
            <w:tcBorders>
              <w:bottom w:val="single" w:sz="8" w:color="auto"/>
            </w:tcBorders>
            <w:shd w:val="clear" w:color="auto" w:fill="CCEEFF"/>
          </w:tcPr>
          <w:p>
            <w:pPr>
              <w:spacing w:after="0"/>
              <w:rPr>
                <w:sz w:val="15"/>
                <w:szCs w:val="15"/>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(498)</w:t>
            </w:r>
          </w:p>
        </w:tc>
        <w:tc>
          <w:tcPr>
            <w:tcW w:w="8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(744)</w:t>
            </w:r>
          </w:p>
        </w:tc>
        <w:tc>
          <w:tcPr>
            <w:tcW w:w="0" w:type="dxa"/>
            <w:vAlign w:val="bottom"/>
          </w:tcPr>
          <w:p>
            <w:pPr>
              <w:spacing w:after="0"/>
              <w:rPr>
                <w:sz w:val="1"/>
                <w:szCs w:val="1"/>
                <w:color w:val="auto"/>
              </w:rPr>
            </w:pPr>
          </w:p>
        </w:tc>
      </w:tr>
      <w:tr>
        <w:trPr>
          <w:trHeight w:val="171"/>
        </w:trPr>
        <w:tc>
          <w:tcPr>
            <w:tcW w:w="7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Allowance for credit losses at end of period</w:t>
            </w:r>
          </w:p>
        </w:tc>
        <w:tc>
          <w:tcPr>
            <w:tcW w:w="280" w:type="dxa"/>
            <w:vAlign w:val="bottom"/>
            <w:tcBorders>
              <w:bottom w:val="single" w:sz="8" w:color="auto"/>
            </w:tcBorders>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1,094</w:t>
            </w:r>
          </w:p>
        </w:tc>
        <w:tc>
          <w:tcPr>
            <w:tcW w:w="80" w:type="dxa"/>
            <w:vAlign w:val="bottom"/>
          </w:tcPr>
          <w:p>
            <w:pPr>
              <w:spacing w:after="0"/>
              <w:rPr>
                <w:sz w:val="14"/>
                <w:szCs w:val="14"/>
                <w:color w:val="auto"/>
              </w:rPr>
            </w:pPr>
          </w:p>
        </w:tc>
        <w:tc>
          <w:tcPr>
            <w:tcW w:w="28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2,776</w:t>
            </w:r>
          </w:p>
        </w:tc>
        <w:tc>
          <w:tcPr>
            <w:tcW w:w="0" w:type="dxa"/>
            <w:vAlign w:val="bottom"/>
          </w:tcPr>
          <w:p>
            <w:pPr>
              <w:spacing w:after="0"/>
              <w:rPr>
                <w:sz w:val="1"/>
                <w:szCs w:val="1"/>
                <w:color w:val="auto"/>
              </w:rPr>
            </w:pPr>
          </w:p>
        </w:tc>
      </w:tr>
      <w:tr>
        <w:trPr>
          <w:trHeight w:val="20"/>
        </w:trPr>
        <w:tc>
          <w:tcPr>
            <w:tcW w:w="7240" w:type="dxa"/>
            <w:vAlign w:val="bottom"/>
            <w:vMerge w:val="restart"/>
          </w:tcPr>
          <w:p>
            <w:pPr>
              <w:ind w:left="260"/>
              <w:spacing w:after="0"/>
              <w:rPr>
                <w:sz w:val="20"/>
                <w:szCs w:val="20"/>
                <w:color w:val="auto"/>
              </w:rPr>
            </w:pPr>
            <w:r>
              <w:rPr>
                <w:rFonts w:ascii="Times New Roman" w:cs="Times New Roman" w:eastAsia="Times New Roman" w:hAnsi="Times New Roman"/>
                <w:sz w:val="14"/>
                <w:szCs w:val="14"/>
                <w:b w:val="1"/>
                <w:bCs w:val="1"/>
                <w:color w:val="auto"/>
              </w:rPr>
              <w:t>Contract Assets and Contract Liabilities</w:t>
            </w:r>
          </w:p>
        </w:tc>
        <w:tc>
          <w:tcPr>
            <w:tcW w:w="28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8"/>
        </w:trPr>
        <w:tc>
          <w:tcPr>
            <w:tcW w:w="724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1"/>
        </w:trPr>
        <w:tc>
          <w:tcPr>
            <w:tcW w:w="724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Net contract (liabilities) assets consisted of the following (dollars in thousands):</w:t>
            </w:r>
          </w:p>
        </w:tc>
        <w:tc>
          <w:tcPr>
            <w:tcW w:w="28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7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78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January 25, 2025</w:t>
            </w:r>
          </w:p>
        </w:tc>
        <w:tc>
          <w:tcPr>
            <w:tcW w:w="280" w:type="dxa"/>
            <w:vAlign w:val="bottom"/>
          </w:tcPr>
          <w:p>
            <w:pPr>
              <w:spacing w:after="0"/>
              <w:rPr>
                <w:sz w:val="17"/>
                <w:szCs w:val="17"/>
                <w:color w:val="auto"/>
              </w:rPr>
            </w:pPr>
          </w:p>
        </w:tc>
        <w:tc>
          <w:tcPr>
            <w:tcW w:w="1700" w:type="dxa"/>
            <w:vAlign w:val="bottom"/>
          </w:tcPr>
          <w:p>
            <w:pPr>
              <w:jc w:val="right"/>
              <w:ind w:right="389"/>
              <w:spacing w:after="0"/>
              <w:rPr>
                <w:sz w:val="20"/>
                <w:szCs w:val="20"/>
                <w:color w:val="auto"/>
              </w:rPr>
            </w:pPr>
            <w:r>
              <w:rPr>
                <w:rFonts w:ascii="Times New Roman" w:cs="Times New Roman" w:eastAsia="Times New Roman" w:hAnsi="Times New Roman"/>
                <w:sz w:val="14"/>
                <w:szCs w:val="14"/>
                <w:b w:val="1"/>
                <w:bCs w:val="1"/>
                <w:color w:val="auto"/>
              </w:rPr>
              <w:t>January 27, 2024</w:t>
            </w:r>
          </w:p>
        </w:tc>
        <w:tc>
          <w:tcPr>
            <w:tcW w:w="0" w:type="dxa"/>
            <w:vAlign w:val="bottom"/>
          </w:tcPr>
          <w:p>
            <w:pPr>
              <w:spacing w:after="0"/>
              <w:rPr>
                <w:sz w:val="1"/>
                <w:szCs w:val="1"/>
                <w:color w:val="auto"/>
              </w:rPr>
            </w:pPr>
          </w:p>
        </w:tc>
      </w:tr>
      <w:tr>
        <w:trPr>
          <w:trHeight w:val="180"/>
        </w:trPr>
        <w:tc>
          <w:tcPr>
            <w:tcW w:w="72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Contract assets</w:t>
            </w:r>
          </w:p>
        </w:tc>
        <w:tc>
          <w:tcPr>
            <w:tcW w:w="280" w:type="dxa"/>
            <w:vAlign w:val="bottom"/>
            <w:tcBorders>
              <w:top w:val="single" w:sz="8" w:color="auto"/>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63,375</w:t>
            </w:r>
          </w:p>
        </w:tc>
        <w:tc>
          <w:tcPr>
            <w:tcW w:w="8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1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52,211</w:t>
            </w:r>
          </w:p>
        </w:tc>
        <w:tc>
          <w:tcPr>
            <w:tcW w:w="0" w:type="dxa"/>
            <w:vAlign w:val="bottom"/>
          </w:tcPr>
          <w:p>
            <w:pPr>
              <w:spacing w:after="0"/>
              <w:rPr>
                <w:sz w:val="1"/>
                <w:szCs w:val="1"/>
                <w:color w:val="auto"/>
              </w:rPr>
            </w:pPr>
          </w:p>
        </w:tc>
      </w:tr>
      <w:tr>
        <w:trPr>
          <w:trHeight w:val="180"/>
        </w:trPr>
        <w:tc>
          <w:tcPr>
            <w:tcW w:w="7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Contract liabilities</w:t>
            </w:r>
          </w:p>
        </w:tc>
        <w:tc>
          <w:tcPr>
            <w:tcW w:w="280" w:type="dxa"/>
            <w:vAlign w:val="bottom"/>
            <w:tcBorders>
              <w:bottom w:val="single" w:sz="8" w:color="auto"/>
            </w:tcBorders>
          </w:tcPr>
          <w:p>
            <w:pPr>
              <w:spacing w:after="0"/>
              <w:rPr>
                <w:sz w:val="15"/>
                <w:szCs w:val="15"/>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73,548</w:t>
            </w:r>
          </w:p>
        </w:tc>
        <w:tc>
          <w:tcPr>
            <w:tcW w:w="8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39,122</w:t>
            </w:r>
          </w:p>
        </w:tc>
        <w:tc>
          <w:tcPr>
            <w:tcW w:w="0" w:type="dxa"/>
            <w:vAlign w:val="bottom"/>
          </w:tcPr>
          <w:p>
            <w:pPr>
              <w:spacing w:after="0"/>
              <w:rPr>
                <w:sz w:val="1"/>
                <w:szCs w:val="1"/>
                <w:color w:val="auto"/>
              </w:rPr>
            </w:pPr>
          </w:p>
        </w:tc>
      </w:tr>
      <w:tr>
        <w:trPr>
          <w:trHeight w:val="196"/>
        </w:trPr>
        <w:tc>
          <w:tcPr>
            <w:tcW w:w="7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Contract (liabilities) assets, net</w:t>
            </w:r>
          </w:p>
        </w:tc>
        <w:tc>
          <w:tcPr>
            <w:tcW w:w="280" w:type="dxa"/>
            <w:vAlign w:val="bottom"/>
            <w:tcBorders>
              <w:bottom w:val="single" w:sz="8" w:color="auto"/>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(10,173)</w:t>
            </w:r>
          </w:p>
        </w:tc>
        <w:tc>
          <w:tcPr>
            <w:tcW w:w="8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13,089</w:t>
            </w:r>
          </w:p>
        </w:tc>
        <w:tc>
          <w:tcPr>
            <w:tcW w:w="0" w:type="dxa"/>
            <w:vAlign w:val="bottom"/>
          </w:tcPr>
          <w:p>
            <w:pPr>
              <w:spacing w:after="0"/>
              <w:rPr>
                <w:sz w:val="1"/>
                <w:szCs w:val="1"/>
                <w:color w:val="auto"/>
              </w:rPr>
            </w:pPr>
          </w:p>
        </w:tc>
      </w:tr>
      <w:tr>
        <w:trPr>
          <w:trHeight w:val="20"/>
        </w:trPr>
        <w:tc>
          <w:tcPr>
            <w:tcW w:w="72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2" w:lineRule="exact"/>
        <w:rPr>
          <w:sz w:val="20"/>
          <w:szCs w:val="20"/>
          <w:color w:val="auto"/>
        </w:rPr>
      </w:pPr>
    </w:p>
    <w:p>
      <w:pPr>
        <w:ind w:right="180" w:firstLine="255"/>
        <w:spacing w:after="0" w:line="270" w:lineRule="auto"/>
        <w:rPr>
          <w:sz w:val="20"/>
          <w:szCs w:val="20"/>
          <w:color w:val="auto"/>
        </w:rPr>
      </w:pPr>
      <w:r>
        <w:rPr>
          <w:rFonts w:ascii="Times New Roman" w:cs="Times New Roman" w:eastAsia="Times New Roman" w:hAnsi="Times New Roman"/>
          <w:sz w:val="14"/>
          <w:szCs w:val="14"/>
          <w:color w:val="auto"/>
        </w:rPr>
        <w:t xml:space="preserve">The change in contract assets (liabilities), net, in fiscal 2025 from fiscal 2024 primarily resulted from increased billings, net of payments made, under contracts consisting of multiple tasks and the addition of balances from acquired companies. During fiscal 2025, we performed services and recognized $18.5 million of contract revenues related to contract liabilities that existed at January 27, 2024. See Note 7, </w:t>
      </w:r>
      <w:r>
        <w:rPr>
          <w:rFonts w:ascii="Times New Roman" w:cs="Times New Roman" w:eastAsia="Times New Roman" w:hAnsi="Times New Roman"/>
          <w:sz w:val="14"/>
          <w:szCs w:val="14"/>
          <w:i w:val="1"/>
          <w:iCs w:val="1"/>
          <w:color w:val="auto"/>
        </w:rPr>
        <w:t>Other Current Assets and Other Assets</w:t>
      </w:r>
      <w:r>
        <w:rPr>
          <w:rFonts w:ascii="Times New Roman" w:cs="Times New Roman" w:eastAsia="Times New Roman" w:hAnsi="Times New Roman"/>
          <w:sz w:val="14"/>
          <w:szCs w:val="14"/>
          <w:color w:val="auto"/>
        </w:rPr>
        <w:t>, for information on our long-term contract assets.</w:t>
      </w: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4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color w:val="auto"/>
        </w:rPr>
        <w:t>Customer Credit Concentration</w:t>
      </w:r>
    </w:p>
    <w:p>
      <w:pPr>
        <w:spacing w:after="0" w:line="202" w:lineRule="exact"/>
        <w:rPr>
          <w:sz w:val="20"/>
          <w:szCs w:val="20"/>
          <w:color w:val="auto"/>
        </w:rPr>
      </w:pPr>
    </w:p>
    <w:p>
      <w:pPr>
        <w:ind w:firstLine="255"/>
        <w:spacing w:after="0" w:line="259" w:lineRule="auto"/>
        <w:rPr>
          <w:sz w:val="20"/>
          <w:szCs w:val="20"/>
          <w:color w:val="auto"/>
        </w:rPr>
      </w:pPr>
      <w:r>
        <w:rPr>
          <w:rFonts w:ascii="Times New Roman" w:cs="Times New Roman" w:eastAsia="Times New Roman" w:hAnsi="Times New Roman"/>
          <w:sz w:val="14"/>
          <w:szCs w:val="14"/>
          <w:color w:val="auto"/>
        </w:rPr>
        <w:t>We have two customers whose combined amounts of accounts receivable and contract assets (liabilities), net exceeded 10% of total combined accounts receivable and contract assets (liabilities), net. The combined amounts of accounts receivable and contract assets (liabilities), net, for Lumen Technologies were $287.1 million, or 21.1%, and $345.0 million, or 27.4%, as of January 25, 2025 and January 27, 2024, respectively, and Charter Communications were $158.9 million or 11.7%, and $108.2 million, or 8.6%, as of January 25, 2025 and January 27, 2024, respectively, of the total combined accounts receivable and contract assets (liabilities), net. No other customer had combined amounts of accounts receivable and contract assets (liabilities), net, which exceeded 10% of total combined accounts receivable and contract assets (liabilities), net as of January 25, 2025 or January 27, 2024. We believe that none of the customers above were experiencing financial difficulties that would materially impact the collectability of our total accounts receivable and contract assets (liabilities), net, as of January 25, 2025 or January 27, 2024.</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6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i w:val="1"/>
                <w:iCs w:val="1"/>
                <w:color w:val="auto"/>
              </w:rPr>
              <w:t>7. Other Current Assets and Other Assets</w:t>
            </w:r>
          </w:p>
        </w:tc>
        <w:tc>
          <w:tcPr>
            <w:tcW w:w="22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40"/>
        </w:trPr>
        <w:tc>
          <w:tcPr>
            <w:tcW w:w="20" w:type="dxa"/>
            <w:vAlign w:val="bottom"/>
          </w:tcPr>
          <w:p>
            <w:pPr>
              <w:spacing w:after="0"/>
              <w:rPr>
                <w:sz w:val="24"/>
                <w:szCs w:val="24"/>
                <w:color w:val="auto"/>
              </w:rPr>
            </w:pPr>
          </w:p>
        </w:tc>
        <w:tc>
          <w:tcPr>
            <w:tcW w:w="764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Other current assets consisted of the following (dollars in thousands):</w:t>
            </w:r>
          </w:p>
        </w:tc>
        <w:tc>
          <w:tcPr>
            <w:tcW w:w="2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4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January 25, 2025</w:t>
            </w:r>
          </w:p>
        </w:tc>
        <w:tc>
          <w:tcPr>
            <w:tcW w:w="220" w:type="dxa"/>
            <w:vAlign w:val="bottom"/>
          </w:tcPr>
          <w:p>
            <w:pPr>
              <w:spacing w:after="0"/>
              <w:rPr>
                <w:sz w:val="17"/>
                <w:szCs w:val="17"/>
                <w:color w:val="auto"/>
              </w:rPr>
            </w:pPr>
          </w:p>
        </w:tc>
        <w:tc>
          <w:tcPr>
            <w:tcW w:w="1540" w:type="dxa"/>
            <w:vAlign w:val="bottom"/>
          </w:tcPr>
          <w:p>
            <w:pPr>
              <w:jc w:val="right"/>
              <w:ind w:right="309"/>
              <w:spacing w:after="0"/>
              <w:rPr>
                <w:sz w:val="20"/>
                <w:szCs w:val="20"/>
                <w:color w:val="auto"/>
              </w:rPr>
            </w:pPr>
            <w:r>
              <w:rPr>
                <w:rFonts w:ascii="Times New Roman" w:cs="Times New Roman" w:eastAsia="Times New Roman" w:hAnsi="Times New Roman"/>
                <w:sz w:val="14"/>
                <w:szCs w:val="14"/>
                <w:b w:val="1"/>
                <w:bCs w:val="1"/>
                <w:color w:val="auto"/>
              </w:rPr>
              <w:t>January 27, 2024</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6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Prepaid expenses</w:t>
            </w:r>
          </w:p>
        </w:tc>
        <w:tc>
          <w:tcPr>
            <w:tcW w:w="220" w:type="dxa"/>
            <w:vAlign w:val="bottom"/>
            <w:tcBorders>
              <w:top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20,688</w:t>
            </w:r>
          </w:p>
        </w:tc>
        <w:tc>
          <w:tcPr>
            <w:tcW w:w="10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20,095</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640" w:type="dxa"/>
            <w:vAlign w:val="bottom"/>
          </w:tcPr>
          <w:p>
            <w:pPr>
              <w:spacing w:after="0"/>
              <w:rPr>
                <w:sz w:val="20"/>
                <w:szCs w:val="20"/>
                <w:color w:val="auto"/>
              </w:rPr>
            </w:pPr>
            <w:r>
              <w:rPr>
                <w:rFonts w:ascii="Times New Roman" w:cs="Times New Roman" w:eastAsia="Times New Roman" w:hAnsi="Times New Roman"/>
                <w:sz w:val="14"/>
                <w:szCs w:val="14"/>
                <w:color w:val="auto"/>
              </w:rPr>
              <w:t>Deposits and other current assets</w:t>
            </w:r>
          </w:p>
        </w:tc>
        <w:tc>
          <w:tcPr>
            <w:tcW w:w="220" w:type="dxa"/>
            <w:vAlign w:val="bottom"/>
          </w:tcPr>
          <w:p>
            <w:pPr>
              <w:spacing w:after="0"/>
              <w:rPr>
                <w:sz w:val="15"/>
                <w:szCs w:val="15"/>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11,332</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20,218</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6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Restricted cash</w:t>
            </w:r>
          </w:p>
        </w:tc>
        <w:tc>
          <w:tcPr>
            <w:tcW w:w="220" w:type="dxa"/>
            <w:vAlign w:val="bottom"/>
            <w:shd w:val="clear" w:color="auto" w:fill="CCEEFF"/>
          </w:tcPr>
          <w:p>
            <w:pPr>
              <w:spacing w:after="0"/>
              <w:rPr>
                <w:sz w:val="15"/>
                <w:szCs w:val="15"/>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1,372</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1,372</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6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color w:val="auto"/>
              </w:rPr>
              <w:t>Receivables on equipment sales</w:t>
            </w:r>
          </w:p>
        </w:tc>
        <w:tc>
          <w:tcPr>
            <w:tcW w:w="22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1,237</w:t>
            </w:r>
          </w:p>
        </w:tc>
        <w:tc>
          <w:tcPr>
            <w:tcW w:w="1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568</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6"/>
                <w:szCs w:val="16"/>
                <w:color w:val="auto"/>
              </w:rPr>
            </w:pPr>
          </w:p>
        </w:tc>
        <w:tc>
          <w:tcPr>
            <w:tcW w:w="764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Other current assets</w:t>
            </w:r>
          </w:p>
        </w:tc>
        <w:tc>
          <w:tcPr>
            <w:tcW w:w="220" w:type="dxa"/>
            <w:vAlign w:val="bottom"/>
            <w:tcBorders>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34,629</w:t>
            </w:r>
          </w:p>
        </w:tc>
        <w:tc>
          <w:tcPr>
            <w:tcW w:w="1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42,253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40" w:type="dxa"/>
            <w:vAlign w:val="bottom"/>
            <w:tcBorders>
              <w:top w:val="single" w:sz="8" w:color="CCEEFF"/>
              <w:bottom w:val="single" w:sz="8" w:color="CCEEFF"/>
            </w:tcBorders>
            <w:vMerge w:val="restart"/>
          </w:tcPr>
          <w:p>
            <w:pPr>
              <w:ind w:left="240"/>
              <w:spacing w:after="0"/>
              <w:rPr>
                <w:sz w:val="20"/>
                <w:szCs w:val="20"/>
                <w:color w:val="auto"/>
              </w:rPr>
            </w:pPr>
            <w:r>
              <w:rPr>
                <w:rFonts w:ascii="Times New Roman" w:cs="Times New Roman" w:eastAsia="Times New Roman" w:hAnsi="Times New Roman"/>
                <w:sz w:val="14"/>
                <w:szCs w:val="14"/>
                <w:color w:val="auto"/>
              </w:rPr>
              <w:t>Other assets consisted of the following (dollars in thousands):</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8"/>
        </w:trPr>
        <w:tc>
          <w:tcPr>
            <w:tcW w:w="20" w:type="dxa"/>
            <w:vAlign w:val="bottom"/>
          </w:tcPr>
          <w:p>
            <w:pPr>
              <w:spacing w:after="0"/>
              <w:rPr>
                <w:sz w:val="24"/>
                <w:szCs w:val="24"/>
                <w:color w:val="auto"/>
              </w:rPr>
            </w:pPr>
          </w:p>
        </w:tc>
        <w:tc>
          <w:tcPr>
            <w:tcW w:w="764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4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January 25, 2025</w:t>
            </w:r>
          </w:p>
        </w:tc>
        <w:tc>
          <w:tcPr>
            <w:tcW w:w="220" w:type="dxa"/>
            <w:vAlign w:val="bottom"/>
          </w:tcPr>
          <w:p>
            <w:pPr>
              <w:spacing w:after="0"/>
              <w:rPr>
                <w:sz w:val="17"/>
                <w:szCs w:val="17"/>
                <w:color w:val="auto"/>
              </w:rPr>
            </w:pPr>
          </w:p>
        </w:tc>
        <w:tc>
          <w:tcPr>
            <w:tcW w:w="1540" w:type="dxa"/>
            <w:vAlign w:val="bottom"/>
          </w:tcPr>
          <w:p>
            <w:pPr>
              <w:jc w:val="right"/>
              <w:ind w:right="309"/>
              <w:spacing w:after="0"/>
              <w:rPr>
                <w:sz w:val="20"/>
                <w:szCs w:val="20"/>
                <w:color w:val="auto"/>
              </w:rPr>
            </w:pPr>
            <w:r>
              <w:rPr>
                <w:rFonts w:ascii="Times New Roman" w:cs="Times New Roman" w:eastAsia="Times New Roman" w:hAnsi="Times New Roman"/>
                <w:sz w:val="14"/>
                <w:szCs w:val="14"/>
                <w:b w:val="1"/>
                <w:bCs w:val="1"/>
                <w:color w:val="auto"/>
              </w:rPr>
              <w:t>January 27, 2024</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6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Deferred financing costs</w:t>
            </w:r>
          </w:p>
        </w:tc>
        <w:tc>
          <w:tcPr>
            <w:tcW w:w="220" w:type="dxa"/>
            <w:vAlign w:val="bottom"/>
            <w:tcBorders>
              <w:top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4,945</w:t>
            </w:r>
          </w:p>
        </w:tc>
        <w:tc>
          <w:tcPr>
            <w:tcW w:w="10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2,544</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640" w:type="dxa"/>
            <w:vAlign w:val="bottom"/>
          </w:tcPr>
          <w:p>
            <w:pPr>
              <w:spacing w:after="0"/>
              <w:rPr>
                <w:sz w:val="20"/>
                <w:szCs w:val="20"/>
                <w:color w:val="auto"/>
              </w:rPr>
            </w:pPr>
            <w:r>
              <w:rPr>
                <w:rFonts w:ascii="Times New Roman" w:cs="Times New Roman" w:eastAsia="Times New Roman" w:hAnsi="Times New Roman"/>
                <w:sz w:val="14"/>
                <w:szCs w:val="14"/>
                <w:color w:val="auto"/>
              </w:rPr>
              <w:t>Insurance recoveries/receivables for accrued insurance claims</w:t>
            </w:r>
          </w:p>
        </w:tc>
        <w:tc>
          <w:tcPr>
            <w:tcW w:w="220" w:type="dxa"/>
            <w:vAlign w:val="bottom"/>
          </w:tcPr>
          <w:p>
            <w:pPr>
              <w:spacing w:after="0"/>
              <w:rPr>
                <w:sz w:val="15"/>
                <w:szCs w:val="15"/>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3,343</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4,760</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6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Restricted cash</w:t>
            </w:r>
          </w:p>
        </w:tc>
        <w:tc>
          <w:tcPr>
            <w:tcW w:w="220" w:type="dxa"/>
            <w:vAlign w:val="bottom"/>
            <w:shd w:val="clear" w:color="auto" w:fill="CCEEFF"/>
          </w:tcPr>
          <w:p>
            <w:pPr>
              <w:spacing w:after="0"/>
              <w:rPr>
                <w:sz w:val="15"/>
                <w:szCs w:val="15"/>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432</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432</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640" w:type="dxa"/>
            <w:vAlign w:val="bottom"/>
          </w:tcPr>
          <w:p>
            <w:pPr>
              <w:spacing w:after="0"/>
              <w:rPr>
                <w:sz w:val="20"/>
                <w:szCs w:val="20"/>
                <w:color w:val="auto"/>
              </w:rPr>
            </w:pPr>
            <w:r>
              <w:rPr>
                <w:rFonts w:ascii="Times New Roman" w:cs="Times New Roman" w:eastAsia="Times New Roman" w:hAnsi="Times New Roman"/>
                <w:sz w:val="14"/>
                <w:szCs w:val="14"/>
                <w:color w:val="auto"/>
              </w:rPr>
              <w:t>Long-term contract assets</w:t>
            </w:r>
          </w:p>
        </w:tc>
        <w:tc>
          <w:tcPr>
            <w:tcW w:w="220" w:type="dxa"/>
            <w:vAlign w:val="bottom"/>
          </w:tcPr>
          <w:p>
            <w:pPr>
              <w:spacing w:after="0"/>
              <w:rPr>
                <w:sz w:val="15"/>
                <w:szCs w:val="15"/>
                <w:color w:val="auto"/>
              </w:rPr>
            </w:pPr>
          </w:p>
        </w:tc>
        <w:tc>
          <w:tcPr>
            <w:tcW w:w="16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2,610</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6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Other non-current assets</w:t>
            </w:r>
          </w:p>
        </w:tc>
        <w:tc>
          <w:tcPr>
            <w:tcW w:w="220" w:type="dxa"/>
            <w:vAlign w:val="bottom"/>
            <w:tcBorders>
              <w:bottom w:val="single" w:sz="8" w:color="auto"/>
            </w:tcBorders>
            <w:shd w:val="clear" w:color="auto" w:fill="CCEEFF"/>
          </w:tcPr>
          <w:p>
            <w:pPr>
              <w:spacing w:after="0"/>
              <w:rPr>
                <w:sz w:val="15"/>
                <w:szCs w:val="15"/>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37,869</w:t>
            </w:r>
          </w:p>
        </w:tc>
        <w:tc>
          <w:tcPr>
            <w:tcW w:w="10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14,301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64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Other assets</w:t>
            </w:r>
          </w:p>
        </w:tc>
        <w:tc>
          <w:tcPr>
            <w:tcW w:w="220" w:type="dxa"/>
            <w:vAlign w:val="bottom"/>
            <w:tcBorders>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46,589</w:t>
            </w:r>
          </w:p>
        </w:tc>
        <w:tc>
          <w:tcPr>
            <w:tcW w:w="100" w:type="dxa"/>
            <w:vAlign w:val="bottom"/>
          </w:tcPr>
          <w:p>
            <w:pPr>
              <w:spacing w:after="0"/>
              <w:rPr>
                <w:sz w:val="14"/>
                <w:szCs w:val="14"/>
                <w:color w:val="auto"/>
              </w:rPr>
            </w:pPr>
          </w:p>
        </w:tc>
        <w:tc>
          <w:tcPr>
            <w:tcW w:w="220" w:type="dxa"/>
            <w:vAlign w:val="bottom"/>
            <w:tcBorders>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24,647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1" w:lineRule="exact"/>
        <w:rPr>
          <w:sz w:val="20"/>
          <w:szCs w:val="20"/>
          <w:color w:val="auto"/>
        </w:rPr>
      </w:pPr>
    </w:p>
    <w:p>
      <w:pPr>
        <w:ind w:right="20" w:firstLine="255"/>
        <w:spacing w:after="0" w:line="270" w:lineRule="auto"/>
        <w:rPr>
          <w:sz w:val="20"/>
          <w:szCs w:val="20"/>
          <w:color w:val="auto"/>
        </w:rPr>
      </w:pPr>
      <w:r>
        <w:rPr>
          <w:rFonts w:ascii="Times New Roman" w:cs="Times New Roman" w:eastAsia="Times New Roman" w:hAnsi="Times New Roman"/>
          <w:sz w:val="14"/>
          <w:szCs w:val="14"/>
          <w:color w:val="auto"/>
        </w:rPr>
        <w:t xml:space="preserve">Included in other non-current assets is $29.8 million and $7.2 million as of January 25, 2025 and January 27, 2024, respectively, of capitalized implementation costs associated with cloud computing arrangements that are service contracts. The amortization of these costs are included in general and administrative expense. See Note 11, </w:t>
      </w:r>
      <w:r>
        <w:rPr>
          <w:rFonts w:ascii="Times New Roman" w:cs="Times New Roman" w:eastAsia="Times New Roman" w:hAnsi="Times New Roman"/>
          <w:sz w:val="14"/>
          <w:szCs w:val="14"/>
          <w:i w:val="1"/>
          <w:iCs w:val="1"/>
          <w:color w:val="auto"/>
        </w:rPr>
        <w:t>Accrued Insurance Claims</w:t>
      </w:r>
      <w:r>
        <w:rPr>
          <w:rFonts w:ascii="Times New Roman" w:cs="Times New Roman" w:eastAsia="Times New Roman" w:hAnsi="Times New Roman"/>
          <w:sz w:val="14"/>
          <w:szCs w:val="14"/>
          <w:color w:val="auto"/>
        </w:rPr>
        <w:t>, for information on our Insurance recoveries/receivables.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8. Cash and Equivalents and Restricted Cash</w:t>
      </w:r>
    </w:p>
    <w:p>
      <w:pPr>
        <w:spacing w:after="0" w:line="18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Amounts of cash, cash equivalents and restricted cash reported in the consolidated statement of cash flows consisted of the following (dollars in thousands):</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4060" w:type="dxa"/>
            <w:vAlign w:val="bottom"/>
          </w:tcPr>
          <w:p>
            <w:pPr>
              <w:spacing w:after="0"/>
              <w:rPr>
                <w:sz w:val="16"/>
                <w:szCs w:val="16"/>
                <w:color w:val="auto"/>
              </w:rPr>
            </w:pPr>
          </w:p>
        </w:tc>
        <w:tc>
          <w:tcPr>
            <w:tcW w:w="3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4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January 25, 2025</w:t>
            </w:r>
          </w:p>
        </w:tc>
        <w:tc>
          <w:tcPr>
            <w:tcW w:w="220" w:type="dxa"/>
            <w:vAlign w:val="bottom"/>
          </w:tcPr>
          <w:p>
            <w:pPr>
              <w:spacing w:after="0"/>
              <w:rPr>
                <w:sz w:val="16"/>
                <w:szCs w:val="16"/>
                <w:color w:val="auto"/>
              </w:rPr>
            </w:pPr>
          </w:p>
        </w:tc>
        <w:tc>
          <w:tcPr>
            <w:tcW w:w="1540" w:type="dxa"/>
            <w:vAlign w:val="bottom"/>
          </w:tcPr>
          <w:p>
            <w:pPr>
              <w:jc w:val="right"/>
              <w:ind w:right="289"/>
              <w:spacing w:after="0"/>
              <w:rPr>
                <w:sz w:val="20"/>
                <w:szCs w:val="20"/>
                <w:color w:val="auto"/>
              </w:rPr>
            </w:pPr>
            <w:r>
              <w:rPr>
                <w:rFonts w:ascii="Times New Roman" w:cs="Times New Roman" w:eastAsia="Times New Roman" w:hAnsi="Times New Roman"/>
                <w:sz w:val="14"/>
                <w:szCs w:val="14"/>
                <w:b w:val="1"/>
                <w:bCs w:val="1"/>
                <w:color w:val="auto"/>
              </w:rPr>
              <w:t>January 27, 2024</w:t>
            </w:r>
          </w:p>
        </w:tc>
        <w:tc>
          <w:tcPr>
            <w:tcW w:w="0" w:type="dxa"/>
            <w:vAlign w:val="bottom"/>
          </w:tcPr>
          <w:p>
            <w:pPr>
              <w:spacing w:after="0"/>
              <w:rPr>
                <w:sz w:val="1"/>
                <w:szCs w:val="1"/>
                <w:color w:val="auto"/>
              </w:rPr>
            </w:pPr>
          </w:p>
        </w:tc>
      </w:tr>
      <w:tr>
        <w:trPr>
          <w:trHeight w:val="180"/>
        </w:trPr>
        <w:tc>
          <w:tcPr>
            <w:tcW w:w="40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and equivalents</w:t>
            </w:r>
          </w:p>
        </w:tc>
        <w:tc>
          <w:tcPr>
            <w:tcW w:w="360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92,670</w:t>
            </w:r>
          </w:p>
        </w:tc>
        <w:tc>
          <w:tcPr>
            <w:tcW w:w="10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101,086</w:t>
            </w:r>
          </w:p>
        </w:tc>
        <w:tc>
          <w:tcPr>
            <w:tcW w:w="0" w:type="dxa"/>
            <w:vAlign w:val="bottom"/>
          </w:tcPr>
          <w:p>
            <w:pPr>
              <w:spacing w:after="0"/>
              <w:rPr>
                <w:sz w:val="1"/>
                <w:szCs w:val="1"/>
                <w:color w:val="auto"/>
              </w:rPr>
            </w:pPr>
          </w:p>
        </w:tc>
      </w:tr>
      <w:tr>
        <w:trPr>
          <w:trHeight w:val="180"/>
        </w:trPr>
        <w:tc>
          <w:tcPr>
            <w:tcW w:w="40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Restricted cash included in:</w:t>
            </w:r>
          </w:p>
        </w:tc>
        <w:tc>
          <w:tcPr>
            <w:tcW w:w="3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0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Other current assets</w:t>
            </w:r>
          </w:p>
        </w:tc>
        <w:tc>
          <w:tcPr>
            <w:tcW w:w="36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1,372</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1,372</w:t>
            </w:r>
          </w:p>
        </w:tc>
        <w:tc>
          <w:tcPr>
            <w:tcW w:w="0" w:type="dxa"/>
            <w:vAlign w:val="bottom"/>
          </w:tcPr>
          <w:p>
            <w:pPr>
              <w:spacing w:after="0"/>
              <w:rPr>
                <w:sz w:val="1"/>
                <w:szCs w:val="1"/>
                <w:color w:val="auto"/>
              </w:rPr>
            </w:pPr>
          </w:p>
        </w:tc>
      </w:tr>
      <w:tr>
        <w:trPr>
          <w:trHeight w:val="180"/>
        </w:trPr>
        <w:tc>
          <w:tcPr>
            <w:tcW w:w="406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4"/>
                <w:szCs w:val="14"/>
                <w:color w:val="auto"/>
              </w:rPr>
              <w:t>Other assets (long-term)</w:t>
            </w:r>
          </w:p>
        </w:tc>
        <w:tc>
          <w:tcPr>
            <w:tcW w:w="36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432</w:t>
            </w:r>
          </w:p>
        </w:tc>
        <w:tc>
          <w:tcPr>
            <w:tcW w:w="1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432</w:t>
            </w:r>
          </w:p>
        </w:tc>
        <w:tc>
          <w:tcPr>
            <w:tcW w:w="0" w:type="dxa"/>
            <w:vAlign w:val="bottom"/>
          </w:tcPr>
          <w:p>
            <w:pPr>
              <w:spacing w:after="0"/>
              <w:rPr>
                <w:sz w:val="1"/>
                <w:szCs w:val="1"/>
                <w:color w:val="auto"/>
              </w:rPr>
            </w:pPr>
          </w:p>
        </w:tc>
      </w:tr>
      <w:tr>
        <w:trPr>
          <w:trHeight w:val="196"/>
        </w:trPr>
        <w:tc>
          <w:tcPr>
            <w:tcW w:w="40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Cash, cash equivalents and restricted cash</w:t>
            </w:r>
          </w:p>
        </w:tc>
        <w:tc>
          <w:tcPr>
            <w:tcW w:w="36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94,474</w:t>
            </w:r>
          </w:p>
        </w:tc>
        <w:tc>
          <w:tcPr>
            <w:tcW w:w="1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102,890</w:t>
            </w:r>
          </w:p>
        </w:tc>
        <w:tc>
          <w:tcPr>
            <w:tcW w:w="0" w:type="dxa"/>
            <w:vAlign w:val="bottom"/>
          </w:tcPr>
          <w:p>
            <w:pPr>
              <w:spacing w:after="0"/>
              <w:rPr>
                <w:sz w:val="1"/>
                <w:szCs w:val="1"/>
                <w:color w:val="auto"/>
              </w:rPr>
            </w:pPr>
          </w:p>
        </w:tc>
      </w:tr>
      <w:tr>
        <w:trPr>
          <w:trHeight w:val="20"/>
        </w:trPr>
        <w:tc>
          <w:tcPr>
            <w:tcW w:w="4060" w:type="dxa"/>
            <w:vAlign w:val="bottom"/>
            <w:tcBorders>
              <w:top w:val="single" w:sz="8" w:color="CCEEFF"/>
            </w:tcBorders>
          </w:tcPr>
          <w:p>
            <w:pPr>
              <w:spacing w:after="0" w:line="20" w:lineRule="exact"/>
              <w:rPr>
                <w:sz w:val="1"/>
                <w:szCs w:val="1"/>
                <w:color w:val="auto"/>
              </w:rPr>
            </w:pPr>
          </w:p>
        </w:tc>
        <w:tc>
          <w:tcPr>
            <w:tcW w:w="3600" w:type="dxa"/>
            <w:vAlign w:val="bottom"/>
            <w:tcBorders>
              <w:top w:val="single" w:sz="8" w:color="CCEEFF"/>
              <w:bottom w:val="single" w:sz="8" w:color="CCEEFF"/>
            </w:tcBorders>
            <w:vMerge w:val="restart"/>
          </w:tcPr>
          <w:p>
            <w:pPr>
              <w:jc w:val="right"/>
              <w:ind w:right="1869"/>
              <w:spacing w:after="0"/>
              <w:rPr>
                <w:sz w:val="20"/>
                <w:szCs w:val="20"/>
                <w:color w:val="auto"/>
              </w:rPr>
            </w:pPr>
            <w:r>
              <w:rPr>
                <w:rFonts w:ascii="Times New Roman" w:cs="Times New Roman" w:eastAsia="Times New Roman" w:hAnsi="Times New Roman"/>
                <w:sz w:val="14"/>
                <w:szCs w:val="14"/>
                <w:color w:val="auto"/>
              </w:rPr>
              <w:t>58</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3"/>
        </w:trPr>
        <w:tc>
          <w:tcPr>
            <w:tcW w:w="4060" w:type="dxa"/>
            <w:vAlign w:val="bottom"/>
          </w:tcPr>
          <w:p>
            <w:pPr>
              <w:spacing w:after="0"/>
              <w:rPr>
                <w:sz w:val="24"/>
                <w:szCs w:val="24"/>
                <w:color w:val="auto"/>
              </w:rPr>
            </w:pPr>
          </w:p>
        </w:tc>
        <w:tc>
          <w:tcPr>
            <w:tcW w:w="360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4060" w:type="dxa"/>
            <w:vAlign w:val="bottom"/>
            <w:tcBorders>
              <w:bottom w:val="single" w:sz="8" w:color="9A9A9A"/>
            </w:tcBorders>
          </w:tcPr>
          <w:p>
            <w:pPr>
              <w:spacing w:after="0"/>
              <w:rPr>
                <w:sz w:val="7"/>
                <w:szCs w:val="7"/>
                <w:color w:val="auto"/>
              </w:rPr>
            </w:pPr>
          </w:p>
        </w:tc>
        <w:tc>
          <w:tcPr>
            <w:tcW w:w="360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154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154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58" w:name="page59"/>
    <w:bookmarkEnd w:id="58"/>
    <w:tbl>
      <w:tblPr>
        <w:tblLayout w:type="fixed"/>
        <w:tblInd w:w="0" w:type="dxa"/>
        <w:tblCellMar>
          <w:top w:w="0" w:type="dxa"/>
          <w:left w:w="0" w:type="dxa"/>
          <w:bottom w:w="0" w:type="dxa"/>
          <w:right w:w="0" w:type="dxa"/>
        </w:tblCellMar>
      </w:tblPr>
      <w:tr>
        <w:trPr>
          <w:trHeight w:val="161"/>
        </w:trPr>
        <w:tc>
          <w:tcPr>
            <w:tcW w:w="5720" w:type="dxa"/>
            <w:vAlign w:val="bottom"/>
            <w:gridSpan w:val="2"/>
          </w:tcPr>
          <w:p>
            <w:pPr>
              <w:spacing w:after="0"/>
              <w:rPr>
                <w:sz w:val="20"/>
                <w:szCs w:val="20"/>
                <w:color w:val="auto"/>
              </w:rPr>
            </w:pPr>
            <w:r>
              <w:rPr>
                <w:rFonts w:ascii="Times New Roman" w:cs="Times New Roman" w:eastAsia="Times New Roman" w:hAnsi="Times New Roman"/>
                <w:sz w:val="14"/>
                <w:szCs w:val="14"/>
                <w:color w:val="0000FF"/>
              </w:rPr>
              <w:t>Table of Contents</w:t>
            </w:r>
          </w:p>
        </w:tc>
        <w:tc>
          <w:tcPr>
            <w:tcW w:w="24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00" w:type="dxa"/>
            <w:vAlign w:val="bottom"/>
            <w:shd w:val="clear" w:color="auto" w:fill="0000FF"/>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6"/>
        </w:trPr>
        <w:tc>
          <w:tcPr>
            <w:tcW w:w="57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i w:val="1"/>
                <w:iCs w:val="1"/>
                <w:color w:val="auto"/>
              </w:rPr>
              <w:t>9. Property and Equipment</w:t>
            </w:r>
          </w:p>
        </w:tc>
        <w:tc>
          <w:tcPr>
            <w:tcW w:w="2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5720" w:type="dxa"/>
            <w:vAlign w:val="bottom"/>
            <w:gridSpan w:val="2"/>
          </w:tcPr>
          <w:p>
            <w:pPr>
              <w:ind w:left="260"/>
              <w:spacing w:after="0"/>
              <w:rPr>
                <w:sz w:val="20"/>
                <w:szCs w:val="20"/>
                <w:color w:val="auto"/>
              </w:rPr>
            </w:pPr>
            <w:r>
              <w:rPr>
                <w:rFonts w:ascii="Times New Roman" w:cs="Times New Roman" w:eastAsia="Times New Roman" w:hAnsi="Times New Roman"/>
                <w:sz w:val="14"/>
                <w:szCs w:val="14"/>
                <w:color w:val="auto"/>
              </w:rPr>
              <w:t>Property and equipment consisted of the following (dollars in thousands):</w:t>
            </w:r>
          </w:p>
        </w:tc>
        <w:tc>
          <w:tcPr>
            <w:tcW w:w="2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0"/>
        </w:trPr>
        <w:tc>
          <w:tcPr>
            <w:tcW w:w="1000" w:type="dxa"/>
            <w:vAlign w:val="bottom"/>
          </w:tcPr>
          <w:p>
            <w:pPr>
              <w:spacing w:after="0"/>
              <w:rPr>
                <w:sz w:val="13"/>
                <w:szCs w:val="13"/>
                <w:color w:val="auto"/>
              </w:rPr>
            </w:pPr>
          </w:p>
        </w:tc>
        <w:tc>
          <w:tcPr>
            <w:tcW w:w="47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20" w:type="dxa"/>
            <w:vAlign w:val="bottom"/>
            <w:gridSpan w:val="2"/>
          </w:tcPr>
          <w:p>
            <w:pPr>
              <w:jc w:val="center"/>
              <w:ind w:left="109"/>
              <w:spacing w:after="0" w:line="159" w:lineRule="exact"/>
              <w:rPr>
                <w:sz w:val="20"/>
                <w:szCs w:val="20"/>
                <w:color w:val="auto"/>
              </w:rPr>
            </w:pPr>
            <w:r>
              <w:rPr>
                <w:rFonts w:ascii="Times New Roman" w:cs="Times New Roman" w:eastAsia="Times New Roman" w:hAnsi="Times New Roman"/>
                <w:sz w:val="14"/>
                <w:szCs w:val="14"/>
                <w:b w:val="1"/>
                <w:bCs w:val="1"/>
                <w:color w:val="auto"/>
              </w:rPr>
              <w:t>Estimated Useful</w:t>
            </w: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580" w:type="dxa"/>
            <w:vAlign w:val="bottom"/>
            <w:gridSpan w:val="2"/>
            <w:vMerge w:val="restart"/>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January 25, 2025</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560" w:type="dxa"/>
            <w:vAlign w:val="bottom"/>
            <w:gridSpan w:val="2"/>
            <w:vMerge w:val="restart"/>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January 27, 2024</w:t>
            </w:r>
          </w:p>
        </w:tc>
        <w:tc>
          <w:tcPr>
            <w:tcW w:w="0" w:type="dxa"/>
            <w:vAlign w:val="bottom"/>
          </w:tcPr>
          <w:p>
            <w:pPr>
              <w:spacing w:after="0"/>
              <w:rPr>
                <w:sz w:val="1"/>
                <w:szCs w:val="1"/>
                <w:color w:val="auto"/>
              </w:rPr>
            </w:pPr>
          </w:p>
        </w:tc>
      </w:tr>
      <w:tr>
        <w:trPr>
          <w:trHeight w:val="182"/>
        </w:trPr>
        <w:tc>
          <w:tcPr>
            <w:tcW w:w="1000" w:type="dxa"/>
            <w:vAlign w:val="bottom"/>
            <w:tcBorders>
              <w:bottom w:val="single" w:sz="8" w:color="CCEEFF"/>
            </w:tcBorders>
          </w:tcPr>
          <w:p>
            <w:pPr>
              <w:spacing w:after="0"/>
              <w:rPr>
                <w:sz w:val="15"/>
                <w:szCs w:val="15"/>
                <w:color w:val="auto"/>
              </w:rPr>
            </w:pPr>
          </w:p>
        </w:tc>
        <w:tc>
          <w:tcPr>
            <w:tcW w:w="4720" w:type="dxa"/>
            <w:vAlign w:val="bottom"/>
            <w:tcBorders>
              <w:bottom w:val="single" w:sz="8" w:color="CCEEFF"/>
            </w:tcBorders>
          </w:tcPr>
          <w:p>
            <w:pPr>
              <w:spacing w:after="0"/>
              <w:rPr>
                <w:sz w:val="15"/>
                <w:szCs w:val="15"/>
                <w:color w:val="auto"/>
              </w:rPr>
            </w:pPr>
          </w:p>
        </w:tc>
        <w:tc>
          <w:tcPr>
            <w:tcW w:w="240" w:type="dxa"/>
            <w:vAlign w:val="bottom"/>
            <w:tcBorders>
              <w:bottom w:val="single" w:sz="8" w:color="CCEEFF"/>
            </w:tcBorders>
          </w:tcPr>
          <w:p>
            <w:pPr>
              <w:spacing w:after="0"/>
              <w:rPr>
                <w:sz w:val="15"/>
                <w:szCs w:val="15"/>
                <w:color w:val="auto"/>
              </w:rPr>
            </w:pPr>
          </w:p>
        </w:tc>
        <w:tc>
          <w:tcPr>
            <w:tcW w:w="1620" w:type="dxa"/>
            <w:vAlign w:val="bottom"/>
            <w:tcBorders>
              <w:bottom w:val="single" w:sz="8" w:color="CCEEFF"/>
            </w:tcBorders>
            <w:gridSpan w:val="2"/>
          </w:tcPr>
          <w:p>
            <w:pPr>
              <w:jc w:val="center"/>
              <w:ind w:left="109"/>
              <w:spacing w:after="0"/>
              <w:rPr>
                <w:sz w:val="20"/>
                <w:szCs w:val="20"/>
                <w:color w:val="auto"/>
              </w:rPr>
            </w:pPr>
            <w:r>
              <w:rPr>
                <w:rFonts w:ascii="Times New Roman" w:cs="Times New Roman" w:eastAsia="Times New Roman" w:hAnsi="Times New Roman"/>
                <w:sz w:val="14"/>
                <w:szCs w:val="14"/>
                <w:b w:val="1"/>
                <w:bCs w:val="1"/>
                <w:color w:val="auto"/>
              </w:rPr>
              <w:t>Lives (Years)</w:t>
            </w:r>
          </w:p>
        </w:tc>
        <w:tc>
          <w:tcPr>
            <w:tcW w:w="6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gridSpan w:val="2"/>
            <w:vMerge w:val="continue"/>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Land</w:t>
            </w:r>
          </w:p>
        </w:tc>
        <w:tc>
          <w:tcPr>
            <w:tcW w:w="240" w:type="dxa"/>
            <w:vAlign w:val="bottom"/>
            <w:shd w:val="clear" w:color="auto" w:fill="CCEEFF"/>
          </w:tcPr>
          <w:p>
            <w:pPr>
              <w:spacing w:after="0"/>
              <w:rPr>
                <w:sz w:val="15"/>
                <w:szCs w:val="15"/>
                <w:color w:val="auto"/>
              </w:rPr>
            </w:pPr>
          </w:p>
        </w:tc>
        <w:tc>
          <w:tcPr>
            <w:tcW w:w="1620" w:type="dxa"/>
            <w:vAlign w:val="bottom"/>
            <w:gridSpan w:val="2"/>
            <w:shd w:val="clear" w:color="auto" w:fill="CCEEFF"/>
          </w:tcPr>
          <w:p>
            <w:pPr>
              <w:jc w:val="center"/>
              <w:ind w:left="129"/>
              <w:spacing w:after="0"/>
              <w:rPr>
                <w:sz w:val="20"/>
                <w:szCs w:val="20"/>
                <w:color w:val="auto"/>
              </w:rPr>
            </w:pPr>
            <w:r>
              <w:rPr>
                <w:rFonts w:ascii="Times New Roman" w:cs="Times New Roman" w:eastAsia="Times New Roman" w:hAnsi="Times New Roman"/>
                <w:sz w:val="14"/>
                <w:szCs w:val="14"/>
                <w:color w:val="auto"/>
                <w:w w:val="99"/>
              </w:rPr>
              <w:t>—</w:t>
            </w:r>
          </w:p>
        </w:tc>
        <w:tc>
          <w:tcPr>
            <w:tcW w:w="6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5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8,419</w:t>
            </w: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5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8,419</w:t>
            </w:r>
          </w:p>
        </w:tc>
        <w:tc>
          <w:tcPr>
            <w:tcW w:w="0" w:type="dxa"/>
            <w:vAlign w:val="bottom"/>
          </w:tcPr>
          <w:p>
            <w:pPr>
              <w:spacing w:after="0"/>
              <w:rPr>
                <w:sz w:val="1"/>
                <w:szCs w:val="1"/>
                <w:color w:val="auto"/>
              </w:rPr>
            </w:pPr>
          </w:p>
        </w:tc>
      </w:tr>
      <w:tr>
        <w:trPr>
          <w:trHeight w:val="180"/>
        </w:trPr>
        <w:tc>
          <w:tcPr>
            <w:tcW w:w="57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Buildings</w:t>
            </w:r>
          </w:p>
        </w:tc>
        <w:tc>
          <w:tcPr>
            <w:tcW w:w="240" w:type="dxa"/>
            <w:vAlign w:val="bottom"/>
          </w:tcPr>
          <w:p>
            <w:pPr>
              <w:spacing w:after="0"/>
              <w:rPr>
                <w:sz w:val="15"/>
                <w:szCs w:val="15"/>
                <w:color w:val="auto"/>
              </w:rPr>
            </w:pPr>
          </w:p>
        </w:tc>
        <w:tc>
          <w:tcPr>
            <w:tcW w:w="1520" w:type="dxa"/>
            <w:vAlign w:val="bottom"/>
          </w:tcPr>
          <w:p>
            <w:pPr>
              <w:jc w:val="center"/>
              <w:ind w:left="209"/>
              <w:spacing w:after="0"/>
              <w:rPr>
                <w:sz w:val="20"/>
                <w:szCs w:val="20"/>
                <w:color w:val="auto"/>
              </w:rPr>
            </w:pPr>
            <w:r>
              <w:rPr>
                <w:rFonts w:ascii="Times New Roman" w:cs="Times New Roman" w:eastAsia="Times New Roman" w:hAnsi="Times New Roman"/>
                <w:sz w:val="14"/>
                <w:szCs w:val="14"/>
                <w:color w:val="auto"/>
                <w:w w:val="97"/>
              </w:rPr>
              <w:t>10-35</w:t>
            </w: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8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19,851</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10,399</w:t>
            </w:r>
          </w:p>
        </w:tc>
        <w:tc>
          <w:tcPr>
            <w:tcW w:w="0" w:type="dxa"/>
            <w:vAlign w:val="bottom"/>
          </w:tcPr>
          <w:p>
            <w:pPr>
              <w:spacing w:after="0"/>
              <w:rPr>
                <w:sz w:val="1"/>
                <w:szCs w:val="1"/>
                <w:color w:val="auto"/>
              </w:rPr>
            </w:pPr>
          </w:p>
        </w:tc>
      </w:tr>
      <w:tr>
        <w:trPr>
          <w:trHeight w:val="180"/>
        </w:trPr>
        <w:tc>
          <w:tcPr>
            <w:tcW w:w="5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Leasehold improvements</w:t>
            </w:r>
          </w:p>
        </w:tc>
        <w:tc>
          <w:tcPr>
            <w:tcW w:w="240" w:type="dxa"/>
            <w:vAlign w:val="bottom"/>
            <w:shd w:val="clear" w:color="auto" w:fill="CCEEFF"/>
          </w:tcPr>
          <w:p>
            <w:pPr>
              <w:spacing w:after="0"/>
              <w:rPr>
                <w:sz w:val="15"/>
                <w:szCs w:val="15"/>
                <w:color w:val="auto"/>
              </w:rPr>
            </w:pPr>
          </w:p>
        </w:tc>
        <w:tc>
          <w:tcPr>
            <w:tcW w:w="1520" w:type="dxa"/>
            <w:vAlign w:val="bottom"/>
            <w:shd w:val="clear" w:color="auto" w:fill="CCEEFF"/>
          </w:tcPr>
          <w:p>
            <w:pPr>
              <w:jc w:val="center"/>
              <w:ind w:left="229"/>
              <w:spacing w:after="0"/>
              <w:rPr>
                <w:sz w:val="20"/>
                <w:szCs w:val="20"/>
                <w:color w:val="auto"/>
              </w:rPr>
            </w:pPr>
            <w:r>
              <w:rPr>
                <w:rFonts w:ascii="Times New Roman" w:cs="Times New Roman" w:eastAsia="Times New Roman" w:hAnsi="Times New Roman"/>
                <w:sz w:val="14"/>
                <w:szCs w:val="14"/>
                <w:color w:val="auto"/>
              </w:rPr>
              <w:t>1-10</w:t>
            </w:r>
          </w:p>
        </w:tc>
        <w:tc>
          <w:tcPr>
            <w:tcW w:w="1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5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27,685</w:t>
            </w: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5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19,188</w:t>
            </w:r>
          </w:p>
        </w:tc>
        <w:tc>
          <w:tcPr>
            <w:tcW w:w="0" w:type="dxa"/>
            <w:vAlign w:val="bottom"/>
          </w:tcPr>
          <w:p>
            <w:pPr>
              <w:spacing w:after="0"/>
              <w:rPr>
                <w:sz w:val="1"/>
                <w:szCs w:val="1"/>
                <w:color w:val="auto"/>
              </w:rPr>
            </w:pPr>
          </w:p>
        </w:tc>
      </w:tr>
      <w:tr>
        <w:trPr>
          <w:trHeight w:val="180"/>
        </w:trPr>
        <w:tc>
          <w:tcPr>
            <w:tcW w:w="57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Vehicles</w:t>
            </w:r>
          </w:p>
        </w:tc>
        <w:tc>
          <w:tcPr>
            <w:tcW w:w="240" w:type="dxa"/>
            <w:vAlign w:val="bottom"/>
          </w:tcPr>
          <w:p>
            <w:pPr>
              <w:spacing w:after="0"/>
              <w:rPr>
                <w:sz w:val="15"/>
                <w:szCs w:val="15"/>
                <w:color w:val="auto"/>
              </w:rPr>
            </w:pPr>
          </w:p>
        </w:tc>
        <w:tc>
          <w:tcPr>
            <w:tcW w:w="1520" w:type="dxa"/>
            <w:vAlign w:val="bottom"/>
          </w:tcPr>
          <w:p>
            <w:pPr>
              <w:jc w:val="center"/>
              <w:ind w:left="209"/>
              <w:spacing w:after="0"/>
              <w:rPr>
                <w:sz w:val="20"/>
                <w:szCs w:val="20"/>
                <w:color w:val="auto"/>
              </w:rPr>
            </w:pPr>
            <w:r>
              <w:rPr>
                <w:rFonts w:ascii="Times New Roman" w:cs="Times New Roman" w:eastAsia="Times New Roman" w:hAnsi="Times New Roman"/>
                <w:sz w:val="14"/>
                <w:szCs w:val="14"/>
                <w:color w:val="auto"/>
              </w:rPr>
              <w:t>1-5</w:t>
            </w: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8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932,209</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873,944</w:t>
            </w:r>
          </w:p>
        </w:tc>
        <w:tc>
          <w:tcPr>
            <w:tcW w:w="0" w:type="dxa"/>
            <w:vAlign w:val="bottom"/>
          </w:tcPr>
          <w:p>
            <w:pPr>
              <w:spacing w:after="0"/>
              <w:rPr>
                <w:sz w:val="1"/>
                <w:szCs w:val="1"/>
                <w:color w:val="auto"/>
              </w:rPr>
            </w:pPr>
          </w:p>
        </w:tc>
      </w:tr>
      <w:tr>
        <w:trPr>
          <w:trHeight w:val="180"/>
        </w:trPr>
        <w:tc>
          <w:tcPr>
            <w:tcW w:w="5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Equipment and machinery</w:t>
            </w:r>
          </w:p>
        </w:tc>
        <w:tc>
          <w:tcPr>
            <w:tcW w:w="240" w:type="dxa"/>
            <w:vAlign w:val="bottom"/>
            <w:shd w:val="clear" w:color="auto" w:fill="CCEEFF"/>
          </w:tcPr>
          <w:p>
            <w:pPr>
              <w:spacing w:after="0"/>
              <w:rPr>
                <w:sz w:val="15"/>
                <w:szCs w:val="15"/>
                <w:color w:val="auto"/>
              </w:rPr>
            </w:pPr>
          </w:p>
        </w:tc>
        <w:tc>
          <w:tcPr>
            <w:tcW w:w="1520" w:type="dxa"/>
            <w:vAlign w:val="bottom"/>
            <w:shd w:val="clear" w:color="auto" w:fill="CCEEFF"/>
          </w:tcPr>
          <w:p>
            <w:pPr>
              <w:jc w:val="center"/>
              <w:ind w:left="229"/>
              <w:spacing w:after="0"/>
              <w:rPr>
                <w:sz w:val="20"/>
                <w:szCs w:val="20"/>
                <w:color w:val="auto"/>
              </w:rPr>
            </w:pPr>
            <w:r>
              <w:rPr>
                <w:rFonts w:ascii="Times New Roman" w:cs="Times New Roman" w:eastAsia="Times New Roman" w:hAnsi="Times New Roman"/>
                <w:sz w:val="14"/>
                <w:szCs w:val="14"/>
                <w:color w:val="auto"/>
              </w:rPr>
              <w:t>1-10</w:t>
            </w:r>
          </w:p>
        </w:tc>
        <w:tc>
          <w:tcPr>
            <w:tcW w:w="1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5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448,368</w:t>
            </w: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5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414,067</w:t>
            </w:r>
          </w:p>
        </w:tc>
        <w:tc>
          <w:tcPr>
            <w:tcW w:w="0" w:type="dxa"/>
            <w:vAlign w:val="bottom"/>
          </w:tcPr>
          <w:p>
            <w:pPr>
              <w:spacing w:after="0"/>
              <w:rPr>
                <w:sz w:val="1"/>
                <w:szCs w:val="1"/>
                <w:color w:val="auto"/>
              </w:rPr>
            </w:pPr>
          </w:p>
        </w:tc>
      </w:tr>
      <w:tr>
        <w:trPr>
          <w:trHeight w:val="180"/>
        </w:trPr>
        <w:tc>
          <w:tcPr>
            <w:tcW w:w="57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Computer hardware and software</w:t>
            </w:r>
          </w:p>
        </w:tc>
        <w:tc>
          <w:tcPr>
            <w:tcW w:w="240" w:type="dxa"/>
            <w:vAlign w:val="bottom"/>
          </w:tcPr>
          <w:p>
            <w:pPr>
              <w:spacing w:after="0"/>
              <w:rPr>
                <w:sz w:val="15"/>
                <w:szCs w:val="15"/>
                <w:color w:val="auto"/>
              </w:rPr>
            </w:pPr>
          </w:p>
        </w:tc>
        <w:tc>
          <w:tcPr>
            <w:tcW w:w="1520" w:type="dxa"/>
            <w:vAlign w:val="bottom"/>
          </w:tcPr>
          <w:p>
            <w:pPr>
              <w:jc w:val="center"/>
              <w:ind w:left="209"/>
              <w:spacing w:after="0"/>
              <w:rPr>
                <w:sz w:val="20"/>
                <w:szCs w:val="20"/>
                <w:color w:val="auto"/>
              </w:rPr>
            </w:pPr>
            <w:r>
              <w:rPr>
                <w:rFonts w:ascii="Times New Roman" w:cs="Times New Roman" w:eastAsia="Times New Roman" w:hAnsi="Times New Roman"/>
                <w:sz w:val="14"/>
                <w:szCs w:val="14"/>
                <w:color w:val="auto"/>
              </w:rPr>
              <w:t>1-7</w:t>
            </w: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8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136,190</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138,937</w:t>
            </w:r>
          </w:p>
        </w:tc>
        <w:tc>
          <w:tcPr>
            <w:tcW w:w="0" w:type="dxa"/>
            <w:vAlign w:val="bottom"/>
          </w:tcPr>
          <w:p>
            <w:pPr>
              <w:spacing w:after="0"/>
              <w:rPr>
                <w:sz w:val="1"/>
                <w:szCs w:val="1"/>
                <w:color w:val="auto"/>
              </w:rPr>
            </w:pPr>
          </w:p>
        </w:tc>
      </w:tr>
      <w:tr>
        <w:trPr>
          <w:trHeight w:val="180"/>
        </w:trPr>
        <w:tc>
          <w:tcPr>
            <w:tcW w:w="5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Office furniture and equipment</w:t>
            </w:r>
          </w:p>
        </w:tc>
        <w:tc>
          <w:tcPr>
            <w:tcW w:w="240" w:type="dxa"/>
            <w:vAlign w:val="bottom"/>
            <w:shd w:val="clear" w:color="auto" w:fill="CCEEFF"/>
          </w:tcPr>
          <w:p>
            <w:pPr>
              <w:spacing w:after="0"/>
              <w:rPr>
                <w:sz w:val="15"/>
                <w:szCs w:val="15"/>
                <w:color w:val="auto"/>
              </w:rPr>
            </w:pPr>
          </w:p>
        </w:tc>
        <w:tc>
          <w:tcPr>
            <w:tcW w:w="1520" w:type="dxa"/>
            <w:vAlign w:val="bottom"/>
            <w:shd w:val="clear" w:color="auto" w:fill="CCEEFF"/>
          </w:tcPr>
          <w:p>
            <w:pPr>
              <w:jc w:val="center"/>
              <w:ind w:left="229"/>
              <w:spacing w:after="0"/>
              <w:rPr>
                <w:sz w:val="20"/>
                <w:szCs w:val="20"/>
                <w:color w:val="auto"/>
              </w:rPr>
            </w:pPr>
            <w:r>
              <w:rPr>
                <w:rFonts w:ascii="Times New Roman" w:cs="Times New Roman" w:eastAsia="Times New Roman" w:hAnsi="Times New Roman"/>
                <w:sz w:val="14"/>
                <w:szCs w:val="14"/>
                <w:color w:val="auto"/>
              </w:rPr>
              <w:t>1-10</w:t>
            </w:r>
          </w:p>
        </w:tc>
        <w:tc>
          <w:tcPr>
            <w:tcW w:w="1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158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12,285</w:t>
            </w: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156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11,927</w:t>
            </w:r>
          </w:p>
        </w:tc>
        <w:tc>
          <w:tcPr>
            <w:tcW w:w="0" w:type="dxa"/>
            <w:vAlign w:val="bottom"/>
          </w:tcPr>
          <w:p>
            <w:pPr>
              <w:spacing w:after="0"/>
              <w:rPr>
                <w:sz w:val="1"/>
                <w:szCs w:val="1"/>
                <w:color w:val="auto"/>
              </w:rPr>
            </w:pPr>
          </w:p>
        </w:tc>
      </w:tr>
      <w:tr>
        <w:trPr>
          <w:trHeight w:val="171"/>
        </w:trPr>
        <w:tc>
          <w:tcPr>
            <w:tcW w:w="572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Total</w:t>
            </w:r>
          </w:p>
        </w:tc>
        <w:tc>
          <w:tcPr>
            <w:tcW w:w="24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8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1,585,007</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1,476,881</w:t>
            </w:r>
          </w:p>
        </w:tc>
        <w:tc>
          <w:tcPr>
            <w:tcW w:w="0" w:type="dxa"/>
            <w:vAlign w:val="bottom"/>
          </w:tcPr>
          <w:p>
            <w:pPr>
              <w:spacing w:after="0"/>
              <w:rPr>
                <w:sz w:val="1"/>
                <w:szCs w:val="1"/>
                <w:color w:val="auto"/>
              </w:rPr>
            </w:pPr>
          </w:p>
        </w:tc>
      </w:tr>
      <w:tr>
        <w:trPr>
          <w:trHeight w:val="180"/>
        </w:trPr>
        <w:tc>
          <w:tcPr>
            <w:tcW w:w="57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Less: accumulated depreciation</w:t>
            </w:r>
          </w:p>
        </w:tc>
        <w:tc>
          <w:tcPr>
            <w:tcW w:w="240" w:type="dxa"/>
            <w:vAlign w:val="bottom"/>
            <w:shd w:val="clear" w:color="auto" w:fill="CCEEFF"/>
          </w:tcPr>
          <w:p>
            <w:pPr>
              <w:spacing w:after="0"/>
              <w:rPr>
                <w:sz w:val="15"/>
                <w:szCs w:val="15"/>
                <w:color w:val="auto"/>
              </w:rPr>
            </w:pPr>
          </w:p>
        </w:tc>
        <w:tc>
          <w:tcPr>
            <w:tcW w:w="15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158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(1,043,086)</w:t>
            </w: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156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(1,031,972)</w:t>
            </w:r>
          </w:p>
        </w:tc>
        <w:tc>
          <w:tcPr>
            <w:tcW w:w="0" w:type="dxa"/>
            <w:vAlign w:val="bottom"/>
          </w:tcPr>
          <w:p>
            <w:pPr>
              <w:spacing w:after="0"/>
              <w:rPr>
                <w:sz w:val="1"/>
                <w:szCs w:val="1"/>
                <w:color w:val="auto"/>
              </w:rPr>
            </w:pPr>
          </w:p>
        </w:tc>
      </w:tr>
      <w:tr>
        <w:trPr>
          <w:trHeight w:val="171"/>
        </w:trPr>
        <w:tc>
          <w:tcPr>
            <w:tcW w:w="572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Property and equipment, net</w:t>
            </w:r>
          </w:p>
        </w:tc>
        <w:tc>
          <w:tcPr>
            <w:tcW w:w="24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58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541,921</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56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444,909</w:t>
            </w:r>
          </w:p>
        </w:tc>
        <w:tc>
          <w:tcPr>
            <w:tcW w:w="0" w:type="dxa"/>
            <w:vAlign w:val="bottom"/>
          </w:tcPr>
          <w:p>
            <w:pPr>
              <w:spacing w:after="0"/>
              <w:rPr>
                <w:sz w:val="1"/>
                <w:szCs w:val="1"/>
                <w:color w:val="auto"/>
              </w:rPr>
            </w:pPr>
          </w:p>
        </w:tc>
      </w:tr>
      <w:tr>
        <w:trPr>
          <w:trHeight w:val="20"/>
        </w:trPr>
        <w:tc>
          <w:tcPr>
            <w:tcW w:w="5960" w:type="dxa"/>
            <w:vAlign w:val="bottom"/>
            <w:gridSpan w:val="3"/>
            <w:vMerge w:val="restart"/>
          </w:tcPr>
          <w:p>
            <w:pPr>
              <w:ind w:left="260"/>
              <w:spacing w:after="0"/>
              <w:rPr>
                <w:sz w:val="20"/>
                <w:szCs w:val="20"/>
                <w:color w:val="auto"/>
              </w:rPr>
            </w:pPr>
            <w:r>
              <w:rPr>
                <w:rFonts w:ascii="Times New Roman" w:cs="Times New Roman" w:eastAsia="Times New Roman" w:hAnsi="Times New Roman"/>
                <w:sz w:val="14"/>
                <w:szCs w:val="14"/>
                <w:color w:val="auto"/>
              </w:rPr>
              <w:t>Depreciation expense and repairs and maintenance expense were as follows (dollars in thousands):</w:t>
            </w:r>
          </w:p>
        </w:tc>
        <w:tc>
          <w:tcPr>
            <w:tcW w:w="1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8"/>
        </w:trPr>
        <w:tc>
          <w:tcPr>
            <w:tcW w:w="5960" w:type="dxa"/>
            <w:vAlign w:val="bottom"/>
            <w:gridSpan w:val="3"/>
            <w:vMerge w:val="continue"/>
          </w:tcPr>
          <w:p>
            <w:pPr>
              <w:spacing w:after="0"/>
              <w:rPr>
                <w:sz w:val="24"/>
                <w:szCs w:val="24"/>
                <w:color w:val="auto"/>
              </w:rPr>
            </w:pPr>
          </w:p>
        </w:tc>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1000" w:type="dxa"/>
            <w:vAlign w:val="bottom"/>
          </w:tcPr>
          <w:p>
            <w:pPr>
              <w:spacing w:after="0"/>
              <w:rPr>
                <w:sz w:val="17"/>
                <w:szCs w:val="17"/>
                <w:color w:val="auto"/>
              </w:rPr>
            </w:pPr>
          </w:p>
        </w:tc>
        <w:tc>
          <w:tcPr>
            <w:tcW w:w="47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gridSpan w:val="2"/>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Fiscal Year Ended</w:t>
            </w:r>
          </w:p>
        </w:tc>
        <w:tc>
          <w:tcPr>
            <w:tcW w:w="4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1000" w:type="dxa"/>
            <w:vAlign w:val="bottom"/>
          </w:tcPr>
          <w:p>
            <w:pPr>
              <w:spacing w:after="0"/>
              <w:rPr>
                <w:sz w:val="15"/>
                <w:szCs w:val="15"/>
                <w:color w:val="auto"/>
              </w:rPr>
            </w:pPr>
          </w:p>
        </w:tc>
        <w:tc>
          <w:tcPr>
            <w:tcW w:w="47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2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January 25, 2025</w:t>
            </w: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8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January 27, 2024</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00" w:type="dxa"/>
            <w:vAlign w:val="bottom"/>
          </w:tcPr>
          <w:p>
            <w:pPr>
              <w:jc w:val="right"/>
              <w:ind w:right="289"/>
              <w:spacing w:after="0"/>
              <w:rPr>
                <w:sz w:val="20"/>
                <w:szCs w:val="20"/>
                <w:color w:val="auto"/>
              </w:rPr>
            </w:pPr>
            <w:r>
              <w:rPr>
                <w:rFonts w:ascii="Times New Roman" w:cs="Times New Roman" w:eastAsia="Times New Roman" w:hAnsi="Times New Roman"/>
                <w:sz w:val="14"/>
                <w:szCs w:val="14"/>
                <w:b w:val="1"/>
                <w:bCs w:val="1"/>
                <w:color w:val="auto"/>
              </w:rPr>
              <w:t>January 28, 2023</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72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Depreciation expense</w:t>
            </w:r>
          </w:p>
        </w:tc>
        <w:tc>
          <w:tcPr>
            <w:tcW w:w="240" w:type="dxa"/>
            <w:vAlign w:val="bottom"/>
            <w:tcBorders>
              <w:top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167,203</w:t>
            </w:r>
          </w:p>
        </w:tc>
        <w:tc>
          <w:tcPr>
            <w:tcW w:w="10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gridSpan w:val="2"/>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143,280</w:t>
            </w:r>
          </w:p>
        </w:tc>
        <w:tc>
          <w:tcPr>
            <w:tcW w:w="6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tcBorders>
            <w:gridSpan w:val="2"/>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128,840</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57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Repairs and maintenance expense</w:t>
            </w:r>
          </w:p>
        </w:tc>
        <w:tc>
          <w:tcPr>
            <w:tcW w:w="24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72,545</w:t>
            </w:r>
          </w:p>
        </w:tc>
        <w:tc>
          <w:tcPr>
            <w:tcW w:w="100" w:type="dxa"/>
            <w:vAlign w:val="bottom"/>
          </w:tcPr>
          <w:p>
            <w:pPr>
              <w:spacing w:after="0"/>
              <w:rPr>
                <w:sz w:val="16"/>
                <w:szCs w:val="16"/>
                <w:color w:val="auto"/>
              </w:rPr>
            </w:pPr>
          </w:p>
        </w:tc>
        <w:tc>
          <w:tcPr>
            <w:tcW w:w="240" w:type="dxa"/>
            <w:vAlign w:val="bottom"/>
            <w:gridSpan w:val="2"/>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68,006</w:t>
            </w:r>
          </w:p>
        </w:tc>
        <w:tc>
          <w:tcPr>
            <w:tcW w:w="60" w:type="dxa"/>
            <w:vAlign w:val="bottom"/>
          </w:tcPr>
          <w:p>
            <w:pPr>
              <w:spacing w:after="0"/>
              <w:rPr>
                <w:sz w:val="16"/>
                <w:szCs w:val="16"/>
                <w:color w:val="auto"/>
              </w:rPr>
            </w:pPr>
          </w:p>
        </w:tc>
        <w:tc>
          <w:tcPr>
            <w:tcW w:w="300" w:type="dxa"/>
            <w:vAlign w:val="bottom"/>
            <w:gridSpan w:val="3"/>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62,724</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56" w:lineRule="exact"/>
        <w:rPr>
          <w:sz w:val="20"/>
          <w:szCs w:val="20"/>
          <w:color w:val="auto"/>
        </w:rPr>
      </w:pPr>
    </w:p>
    <w:p>
      <w:pPr>
        <w:ind w:left="260" w:right="9240" w:hanging="255"/>
        <w:spacing w:after="0" w:line="539" w:lineRule="auto"/>
        <w:tabs>
          <w:tab w:leader="none" w:pos="217" w:val="left"/>
        </w:tabs>
        <w:numPr>
          <w:ilvl w:val="0"/>
          <w:numId w:val="11"/>
        </w:numPr>
        <w:rPr>
          <w:rFonts w:ascii="Times New Roman" w:cs="Times New Roman" w:eastAsia="Times New Roman" w:hAnsi="Times New Roman"/>
          <w:sz w:val="14"/>
          <w:szCs w:val="14"/>
          <w:b w:val="1"/>
          <w:bCs w:val="1"/>
          <w:i w:val="1"/>
          <w:iCs w:val="1"/>
          <w:color w:val="auto"/>
        </w:rPr>
      </w:pPr>
      <w:r>
        <w:rPr>
          <w:rFonts w:ascii="Times New Roman" w:cs="Times New Roman" w:eastAsia="Times New Roman" w:hAnsi="Times New Roman"/>
          <w:sz w:val="14"/>
          <w:szCs w:val="14"/>
          <w:b w:val="1"/>
          <w:bCs w:val="1"/>
          <w:i w:val="1"/>
          <w:iCs w:val="1"/>
          <w:color w:val="auto"/>
        </w:rPr>
        <w:t xml:space="preserve">Goodwill and Intangible Assets </w:t>
      </w:r>
      <w:r>
        <w:rPr>
          <w:rFonts w:ascii="Times New Roman" w:cs="Times New Roman" w:eastAsia="Times New Roman" w:hAnsi="Times New Roman"/>
          <w:sz w:val="14"/>
          <w:szCs w:val="14"/>
          <w:b w:val="1"/>
          <w:bCs w:val="1"/>
          <w:color w:val="auto"/>
        </w:rPr>
        <w:t>Goodwill</w:t>
      </w:r>
    </w:p>
    <w:p>
      <w:pPr>
        <w:ind w:right="260" w:firstLine="255"/>
        <w:spacing w:after="0" w:line="275" w:lineRule="auto"/>
        <w:rPr>
          <w:sz w:val="20"/>
          <w:szCs w:val="20"/>
          <w:color w:val="auto"/>
        </w:rPr>
      </w:pPr>
      <w:r>
        <w:rPr>
          <w:rFonts w:ascii="Times New Roman" w:cs="Times New Roman" w:eastAsia="Times New Roman" w:hAnsi="Times New Roman"/>
          <w:sz w:val="14"/>
          <w:szCs w:val="14"/>
          <w:color w:val="auto"/>
        </w:rPr>
        <w:t>The Company’s goodwill balance was $330.3 million and $312.0 million as of January 25, 2025 and January 27, 2024, respectively. Changes in the carrying amount of goodwill during fiscal 2024 and 2025 were as follows (dollars in thousands):</w:t>
      </w:r>
    </w:p>
    <w:tbl>
      <w:tblPr>
        <w:tblLayout w:type="fixed"/>
        <w:tblInd w:w="0" w:type="dxa"/>
        <w:tblCellMar>
          <w:top w:w="0" w:type="dxa"/>
          <w:left w:w="0" w:type="dxa"/>
          <w:bottom w:w="0" w:type="dxa"/>
          <w:right w:w="0" w:type="dxa"/>
        </w:tblCellMar>
      </w:tblPr>
      <w:tr>
        <w:trPr>
          <w:trHeight w:val="149"/>
        </w:trPr>
        <w:tc>
          <w:tcPr>
            <w:tcW w:w="5820" w:type="dxa"/>
            <w:vAlign w:val="bottom"/>
          </w:tcPr>
          <w:p>
            <w:pPr>
              <w:spacing w:after="0"/>
              <w:rPr>
                <w:sz w:val="12"/>
                <w:szCs w:val="12"/>
                <w:color w:val="auto"/>
              </w:rPr>
            </w:pPr>
          </w:p>
        </w:tc>
        <w:tc>
          <w:tcPr>
            <w:tcW w:w="12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Goodwill</w:t>
            </w: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76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Accumulated Impairment</w:t>
            </w:r>
          </w:p>
        </w:tc>
        <w:tc>
          <w:tcPr>
            <w:tcW w:w="400" w:type="dxa"/>
            <w:vAlign w:val="bottom"/>
          </w:tcPr>
          <w:p>
            <w:pPr>
              <w:spacing w:after="0"/>
              <w:rPr>
                <w:sz w:val="12"/>
                <w:szCs w:val="12"/>
                <w:color w:val="auto"/>
              </w:rPr>
            </w:pPr>
          </w:p>
        </w:tc>
        <w:tc>
          <w:tcPr>
            <w:tcW w:w="1360" w:type="dxa"/>
            <w:vAlign w:val="bottom"/>
            <w:vMerge w:val="restart"/>
          </w:tcPr>
          <w:p>
            <w:pPr>
              <w:jc w:val="right"/>
              <w:ind w:right="649"/>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6"/>
        </w:trPr>
        <w:tc>
          <w:tcPr>
            <w:tcW w:w="5820" w:type="dxa"/>
            <w:vAlign w:val="bottom"/>
          </w:tcPr>
          <w:p>
            <w:pPr>
              <w:spacing w:after="0"/>
              <w:rPr>
                <w:sz w:val="16"/>
                <w:szCs w:val="16"/>
                <w:color w:val="auto"/>
              </w:rPr>
            </w:pPr>
          </w:p>
        </w:tc>
        <w:tc>
          <w:tcPr>
            <w:tcW w:w="1220" w:type="dxa"/>
            <w:vAlign w:val="bottom"/>
            <w:vMerge w:val="continue"/>
          </w:tcPr>
          <w:p>
            <w:pPr>
              <w:spacing w:after="0"/>
              <w:rPr>
                <w:sz w:val="16"/>
                <w:szCs w:val="16"/>
                <w:color w:val="auto"/>
              </w:rPr>
            </w:pP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76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400" w:type="dxa"/>
            <w:vAlign w:val="bottom"/>
          </w:tcPr>
          <w:p>
            <w:pPr>
              <w:spacing w:after="0"/>
              <w:rPr>
                <w:sz w:val="16"/>
                <w:szCs w:val="16"/>
                <w:color w:val="auto"/>
              </w:rPr>
            </w:pPr>
          </w:p>
        </w:tc>
        <w:tc>
          <w:tcPr>
            <w:tcW w:w="13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58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as of January 28, 2023</w:t>
            </w:r>
          </w:p>
        </w:tc>
        <w:tc>
          <w:tcPr>
            <w:tcW w:w="1220" w:type="dxa"/>
            <w:vAlign w:val="bottom"/>
            <w:tcBorders>
              <w:top w:val="single" w:sz="8" w:color="auto"/>
            </w:tcBorders>
            <w:shd w:val="clear" w:color="auto" w:fill="CCEEFF"/>
          </w:tcPr>
          <w:p>
            <w:pPr>
              <w:jc w:val="right"/>
              <w:ind w:right="1049"/>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521,576</w:t>
            </w:r>
          </w:p>
        </w:tc>
        <w:tc>
          <w:tcPr>
            <w:tcW w:w="8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(249,031)</w:t>
            </w:r>
          </w:p>
        </w:tc>
        <w:tc>
          <w:tcPr>
            <w:tcW w:w="80" w:type="dxa"/>
            <w:vAlign w:val="bottom"/>
            <w:tcBorders>
              <w:top w:val="single" w:sz="8" w:color="CCEEFF"/>
            </w:tcBorders>
            <w:shd w:val="clear" w:color="auto" w:fill="CCEEFF"/>
          </w:tcPr>
          <w:p>
            <w:pPr>
              <w:spacing w:after="0"/>
              <w:rPr>
                <w:sz w:val="14"/>
                <w:szCs w:val="14"/>
                <w:color w:val="auto"/>
              </w:rPr>
            </w:pPr>
          </w:p>
        </w:tc>
        <w:tc>
          <w:tcPr>
            <w:tcW w:w="400" w:type="dxa"/>
            <w:vAlign w:val="bottom"/>
            <w:tcBorders>
              <w:top w:val="single" w:sz="8" w:color="auto"/>
            </w:tcBorders>
            <w:shd w:val="clear" w:color="auto" w:fill="CCEEFF"/>
          </w:tcPr>
          <w:p>
            <w:pPr>
              <w:jc w:val="right"/>
              <w:ind w:right="249"/>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272,545</w:t>
            </w:r>
          </w:p>
        </w:tc>
        <w:tc>
          <w:tcPr>
            <w:tcW w:w="0" w:type="dxa"/>
            <w:vAlign w:val="bottom"/>
          </w:tcPr>
          <w:p>
            <w:pPr>
              <w:spacing w:after="0"/>
              <w:rPr>
                <w:sz w:val="1"/>
                <w:szCs w:val="1"/>
                <w:color w:val="auto"/>
              </w:rPr>
            </w:pPr>
          </w:p>
        </w:tc>
      </w:tr>
      <w:tr>
        <w:trPr>
          <w:trHeight w:val="180"/>
        </w:trPr>
        <w:tc>
          <w:tcPr>
            <w:tcW w:w="58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Goodwill from fiscal 2024 acquisition</w:t>
            </w:r>
          </w:p>
        </w:tc>
        <w:tc>
          <w:tcPr>
            <w:tcW w:w="122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39,446</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760" w:type="dxa"/>
            <w:vAlign w:val="bottom"/>
            <w:gridSpan w:val="2"/>
          </w:tcPr>
          <w:p>
            <w:pPr>
              <w:ind w:left="148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39,446</w:t>
            </w:r>
          </w:p>
        </w:tc>
        <w:tc>
          <w:tcPr>
            <w:tcW w:w="0" w:type="dxa"/>
            <w:vAlign w:val="bottom"/>
          </w:tcPr>
          <w:p>
            <w:pPr>
              <w:spacing w:after="0"/>
              <w:rPr>
                <w:sz w:val="1"/>
                <w:szCs w:val="1"/>
                <w:color w:val="auto"/>
              </w:rPr>
            </w:pPr>
          </w:p>
        </w:tc>
      </w:tr>
      <w:tr>
        <w:trPr>
          <w:trHeight w:val="171"/>
        </w:trPr>
        <w:tc>
          <w:tcPr>
            <w:tcW w:w="58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as of January 27, 2024</w:t>
            </w:r>
          </w:p>
        </w:tc>
        <w:tc>
          <w:tcPr>
            <w:tcW w:w="1220" w:type="dxa"/>
            <w:vAlign w:val="bottom"/>
            <w:tcBorders>
              <w:top w:val="single" w:sz="8" w:color="auto"/>
            </w:tcBorders>
            <w:shd w:val="clear" w:color="auto" w:fill="CCEEFF"/>
          </w:tcPr>
          <w:p>
            <w:pPr>
              <w:spacing w:after="0"/>
              <w:rPr>
                <w:sz w:val="14"/>
                <w:szCs w:val="14"/>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561,022</w:t>
            </w:r>
          </w:p>
        </w:tc>
        <w:tc>
          <w:tcPr>
            <w:tcW w:w="8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1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(249,031)</w:t>
            </w:r>
          </w:p>
        </w:tc>
        <w:tc>
          <w:tcPr>
            <w:tcW w:w="80" w:type="dxa"/>
            <w:vAlign w:val="bottom"/>
            <w:tcBorders>
              <w:top w:val="single" w:sz="8" w:color="CCEEFF"/>
            </w:tcBorders>
            <w:shd w:val="clear" w:color="auto" w:fill="CCEEFF"/>
          </w:tcPr>
          <w:p>
            <w:pPr>
              <w:spacing w:after="0"/>
              <w:rPr>
                <w:sz w:val="14"/>
                <w:szCs w:val="14"/>
                <w:color w:val="auto"/>
              </w:rPr>
            </w:pPr>
          </w:p>
        </w:tc>
        <w:tc>
          <w:tcPr>
            <w:tcW w:w="400" w:type="dxa"/>
            <w:vAlign w:val="bottom"/>
            <w:tcBorders>
              <w:top w:val="single" w:sz="8" w:color="auto"/>
            </w:tcBorders>
            <w:shd w:val="clear" w:color="auto" w:fill="CCEEFF"/>
          </w:tcPr>
          <w:p>
            <w:pPr>
              <w:spacing w:after="0"/>
              <w:rPr>
                <w:sz w:val="14"/>
                <w:szCs w:val="14"/>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311,991</w:t>
            </w:r>
          </w:p>
        </w:tc>
        <w:tc>
          <w:tcPr>
            <w:tcW w:w="0" w:type="dxa"/>
            <w:vAlign w:val="bottom"/>
          </w:tcPr>
          <w:p>
            <w:pPr>
              <w:spacing w:after="0"/>
              <w:rPr>
                <w:sz w:val="1"/>
                <w:szCs w:val="1"/>
                <w:color w:val="auto"/>
              </w:rPr>
            </w:pPr>
          </w:p>
        </w:tc>
      </w:tr>
      <w:tr>
        <w:trPr>
          <w:trHeight w:val="180"/>
        </w:trPr>
        <w:tc>
          <w:tcPr>
            <w:tcW w:w="58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Goodwill adjustment from fiscal 2024 acquisition</w:t>
            </w:r>
          </w:p>
        </w:tc>
        <w:tc>
          <w:tcPr>
            <w:tcW w:w="122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(244)</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760" w:type="dxa"/>
            <w:vAlign w:val="bottom"/>
            <w:gridSpan w:val="2"/>
          </w:tcPr>
          <w:p>
            <w:pPr>
              <w:ind w:left="148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(244)</w:t>
            </w:r>
          </w:p>
        </w:tc>
        <w:tc>
          <w:tcPr>
            <w:tcW w:w="0" w:type="dxa"/>
            <w:vAlign w:val="bottom"/>
          </w:tcPr>
          <w:p>
            <w:pPr>
              <w:spacing w:after="0"/>
              <w:rPr>
                <w:sz w:val="1"/>
                <w:szCs w:val="1"/>
                <w:color w:val="auto"/>
              </w:rPr>
            </w:pPr>
          </w:p>
        </w:tc>
      </w:tr>
      <w:tr>
        <w:trPr>
          <w:trHeight w:val="180"/>
        </w:trPr>
        <w:tc>
          <w:tcPr>
            <w:tcW w:w="58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Goodwill from fiscal 2025 acquisition</w:t>
            </w:r>
          </w:p>
        </w:tc>
        <w:tc>
          <w:tcPr>
            <w:tcW w:w="122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18,583</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760" w:type="dxa"/>
            <w:vAlign w:val="bottom"/>
            <w:gridSpan w:val="2"/>
            <w:shd w:val="clear" w:color="auto" w:fill="CCEEFF"/>
          </w:tcPr>
          <w:p>
            <w:pPr>
              <w:ind w:left="148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shd w:val="clear" w:color="auto" w:fill="CCEEFF"/>
          </w:tcPr>
          <w:p>
            <w:pPr>
              <w:spacing w:after="0"/>
              <w:rPr>
                <w:sz w:val="15"/>
                <w:szCs w:val="15"/>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18,583</w:t>
            </w:r>
          </w:p>
        </w:tc>
        <w:tc>
          <w:tcPr>
            <w:tcW w:w="0" w:type="dxa"/>
            <w:vAlign w:val="bottom"/>
          </w:tcPr>
          <w:p>
            <w:pPr>
              <w:spacing w:after="0"/>
              <w:rPr>
                <w:sz w:val="1"/>
                <w:szCs w:val="1"/>
                <w:color w:val="auto"/>
              </w:rPr>
            </w:pPr>
          </w:p>
        </w:tc>
      </w:tr>
      <w:tr>
        <w:trPr>
          <w:trHeight w:val="171"/>
        </w:trPr>
        <w:tc>
          <w:tcPr>
            <w:tcW w:w="5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Balance as of January 25, 2025</w:t>
            </w:r>
          </w:p>
        </w:tc>
        <w:tc>
          <w:tcPr>
            <w:tcW w:w="1220" w:type="dxa"/>
            <w:vAlign w:val="bottom"/>
            <w:tcBorders>
              <w:top w:val="single" w:sz="8" w:color="auto"/>
              <w:bottom w:val="single" w:sz="8" w:color="auto"/>
            </w:tcBorders>
          </w:tcPr>
          <w:p>
            <w:pPr>
              <w:jc w:val="right"/>
              <w:ind w:right="1049"/>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579,361</w:t>
            </w:r>
          </w:p>
        </w:tc>
        <w:tc>
          <w:tcPr>
            <w:tcW w:w="80" w:type="dxa"/>
            <w:vAlign w:val="bottom"/>
          </w:tcPr>
          <w:p>
            <w:pPr>
              <w:spacing w:after="0"/>
              <w:rPr>
                <w:sz w:val="14"/>
                <w:szCs w:val="14"/>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(249,031)</w:t>
            </w:r>
          </w:p>
        </w:tc>
        <w:tc>
          <w:tcPr>
            <w:tcW w:w="80" w:type="dxa"/>
            <w:vAlign w:val="bottom"/>
          </w:tcPr>
          <w:p>
            <w:pPr>
              <w:spacing w:after="0"/>
              <w:rPr>
                <w:sz w:val="14"/>
                <w:szCs w:val="14"/>
                <w:color w:val="auto"/>
              </w:rPr>
            </w:pPr>
          </w:p>
        </w:tc>
        <w:tc>
          <w:tcPr>
            <w:tcW w:w="400" w:type="dxa"/>
            <w:vAlign w:val="bottom"/>
            <w:tcBorders>
              <w:top w:val="single" w:sz="8" w:color="auto"/>
              <w:bottom w:val="single" w:sz="8" w:color="auto"/>
            </w:tcBorders>
          </w:tcPr>
          <w:p>
            <w:pPr>
              <w:jc w:val="right"/>
              <w:ind w:right="249"/>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330,330</w:t>
            </w:r>
          </w:p>
        </w:tc>
        <w:tc>
          <w:tcPr>
            <w:tcW w:w="0" w:type="dxa"/>
            <w:vAlign w:val="bottom"/>
          </w:tcPr>
          <w:p>
            <w:pPr>
              <w:spacing w:after="0"/>
              <w:rPr>
                <w:sz w:val="1"/>
                <w:szCs w:val="1"/>
                <w:color w:val="auto"/>
              </w:rPr>
            </w:pPr>
          </w:p>
        </w:tc>
      </w:tr>
      <w:tr>
        <w:trPr>
          <w:trHeight w:val="20"/>
        </w:trPr>
        <w:tc>
          <w:tcPr>
            <w:tcW w:w="582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1" w:lineRule="exact"/>
        <w:rPr>
          <w:sz w:val="20"/>
          <w:szCs w:val="20"/>
          <w:color w:val="auto"/>
        </w:rPr>
      </w:pPr>
    </w:p>
    <w:p>
      <w:pPr>
        <w:ind w:right="80" w:firstLine="255"/>
        <w:spacing w:after="0" w:line="257" w:lineRule="auto"/>
        <w:rPr>
          <w:sz w:val="20"/>
          <w:szCs w:val="20"/>
          <w:color w:val="auto"/>
        </w:rPr>
      </w:pPr>
      <w:r>
        <w:rPr>
          <w:rFonts w:ascii="Times New Roman" w:cs="Times New Roman" w:eastAsia="Times New Roman" w:hAnsi="Times New Roman"/>
          <w:sz w:val="14"/>
          <w:szCs w:val="14"/>
          <w:color w:val="auto"/>
        </w:rPr>
        <w:t>The Company’s goodwill resides in multiple reporting units and primarily consists of expected synergies, together with the expansion of our geographic presence and strengthening of our customer base from acquisitions. The profitability of individual reporting units may suffer periodically due to downturns in customer demand, increased costs of providing services, and the level of overall economic activity. Our customers may reduce capital expenditures and defer or cancel pending projects due to changes in technology, a slowing or uncertain economy, merger or acquisition activity, a decision to allocate resources to other areas of their business, or other reasons. The profitability of reporting units may also suffer if actual costs of providing services exceed the costs anticipated when the Company enters into contracts. Additionally, adverse conditions in the economy and future volatility in the equity and credit markets could impact the valuation of our reporting units. The cyclical nature of our business, the high level of competition existing within our industry, and the concentration of our revenues from a limited number of customers may also cause results to vary. These factors may affect individual reporting units disproportionately, relative to the Company as a whole. As a result, the performance of one or more of the reporting units could decline, resulting in an impairment of goodwill or intangible assets.</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6" w:right="31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44" w:lineRule="exact"/>
        <w:rPr>
          <w:sz w:val="20"/>
          <w:szCs w:val="20"/>
          <w:color w:val="auto"/>
        </w:rPr>
      </w:pPr>
    </w:p>
    <w:p>
      <w:pPr>
        <w:ind w:right="160" w:firstLine="255"/>
        <w:spacing w:after="0" w:line="264" w:lineRule="auto"/>
        <w:rPr>
          <w:sz w:val="20"/>
          <w:szCs w:val="20"/>
          <w:color w:val="auto"/>
        </w:rPr>
      </w:pPr>
      <w:r>
        <w:rPr>
          <w:rFonts w:ascii="Times New Roman" w:cs="Times New Roman" w:eastAsia="Times New Roman" w:hAnsi="Times New Roman"/>
          <w:sz w:val="14"/>
          <w:szCs w:val="14"/>
          <w:color w:val="auto"/>
        </w:rPr>
        <w:t>We evaluate current operating results, including any losses, in the assessment of goodwill and other intangible assets. The estimates and assumptions used in assessing the fair value of the reporting units and the valuation of the underlying assets and liabilities are inherently subject to significant uncertainties. Changes in judgments and estimates could result in significantly different estimates of the fair value of the reporting units and could result in impairments of goodwill or intangible assets of the reporting units. In addition, adverse changes to the key valuation assumptions contributing to the fair value of our reporting units could result in an impairment of goodwill or intangible assets.</w:t>
      </w:r>
    </w:p>
    <w:p>
      <w:pPr>
        <w:spacing w:after="0" w:line="162" w:lineRule="exact"/>
        <w:rPr>
          <w:sz w:val="20"/>
          <w:szCs w:val="20"/>
          <w:color w:val="auto"/>
        </w:rPr>
      </w:pPr>
    </w:p>
    <w:p>
      <w:pPr>
        <w:ind w:right="200" w:firstLine="255"/>
        <w:spacing w:after="0" w:line="287" w:lineRule="auto"/>
        <w:rPr>
          <w:sz w:val="20"/>
          <w:szCs w:val="20"/>
          <w:color w:val="auto"/>
        </w:rPr>
      </w:pPr>
      <w:r>
        <w:rPr>
          <w:rFonts w:ascii="Times New Roman" w:cs="Times New Roman" w:eastAsia="Times New Roman" w:hAnsi="Times New Roman"/>
          <w:sz w:val="14"/>
          <w:szCs w:val="14"/>
          <w:color w:val="auto"/>
        </w:rPr>
        <w:t>The Company performs its annual goodwill assessment as of the first day of the fourth fiscal quarter of each fiscal year. Goodwill and indefinite lived intangible assets are required to be tested for impairment between annual tests if events occur that would indicate a potential reduction in the fair value of a reporting unit below its carrying value.</w:t>
      </w:r>
    </w:p>
    <w:p>
      <w:pPr>
        <w:spacing w:after="0" w:line="145" w:lineRule="exact"/>
        <w:rPr>
          <w:sz w:val="20"/>
          <w:szCs w:val="20"/>
          <w:color w:val="auto"/>
        </w:rPr>
      </w:pPr>
    </w:p>
    <w:p>
      <w:pPr>
        <w:ind w:right="40" w:firstLine="255"/>
        <w:spacing w:after="0" w:line="256" w:lineRule="auto"/>
        <w:rPr>
          <w:sz w:val="20"/>
          <w:szCs w:val="20"/>
          <w:color w:val="auto"/>
        </w:rPr>
      </w:pPr>
      <w:r>
        <w:rPr>
          <w:rFonts w:ascii="Times New Roman" w:cs="Times New Roman" w:eastAsia="Times New Roman" w:hAnsi="Times New Roman"/>
          <w:sz w:val="14"/>
          <w:szCs w:val="14"/>
          <w:color w:val="auto"/>
        </w:rPr>
        <w:t>We performed our annual impairment assessment for fiscal 2025, fiscal 2024, and fiscal 2023, and concluded that no impairment of goodwill or the indefinite-lived intangible asset was indicated at any reporting unit for any of the periods. In each of these periods, qualitative assessments were performed on reporting units that comprise a significant portion of our consolidated goodwill balance. For the Company’s indefinite-lived intangible asset we performed a qualitative assessment for fiscal 2025 and 2024 and a quantitative analysis for fiscal 2023. A qualitative assessment includes evaluating all identified events and circumstances that could affect the significant inputs used to determine the fair value of a reporting unit or indefinite-lived intangible asset for the purpose of determining whether it is more likely than not that these assets are impaired. We consider various factors while performing qualitative assessments, including macroeconomic conditions, industry and market conditions, financial performance of the reporting units, changes in market capitalization, and any other specific reporting unit considerations. These qualitative assessments indicated that it was more likely than not that the fair value exceeded carrying value for those reporting units. For the remaining reporting units, we performed the quantitative analysis described in ASC Topic 350 in each of these periods. When performing the quantitative analysis, we determine the fair value of our reporting units using an equal weighting of fair values derived from the income approach and market approach valuation methodologies. Under the income approach, the key valuation assumptions used in determining the fair value estimates of our reporting units for each annual test were: (a) expected cash flow for a period of seven years based on our best estimate of revenue growth rates and projected operating margins; (b) terminal value based upon terminal growth rates; and (c) a discount rate based on the Company’s best estimate of the weighted average cost of capital adjusted for certain risks for the reporting units.</w:t>
      </w:r>
    </w:p>
    <w:p>
      <w:pPr>
        <w:spacing w:after="0" w:line="16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table below outlines certain assumptions used in our annual quantitative impairment analyses for fiscal 2025, fiscal 2024, and fiscal 2023:</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5720" w:type="dxa"/>
            <w:vAlign w:val="bottom"/>
          </w:tcPr>
          <w:p>
            <w:pPr>
              <w:spacing w:after="0"/>
              <w:rPr>
                <w:sz w:val="16"/>
                <w:szCs w:val="16"/>
                <w:color w:val="auto"/>
              </w:rPr>
            </w:pPr>
          </w:p>
        </w:tc>
        <w:tc>
          <w:tcPr>
            <w:tcW w:w="17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9"/>
              </w:rPr>
              <w:t>Fiscal Year Ended</w:t>
            </w:r>
          </w:p>
        </w:tc>
        <w:tc>
          <w:tcPr>
            <w:tcW w:w="17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82"/>
        </w:trPr>
        <w:tc>
          <w:tcPr>
            <w:tcW w:w="5720" w:type="dxa"/>
            <w:vAlign w:val="bottom"/>
          </w:tcPr>
          <w:p>
            <w:pPr>
              <w:spacing w:after="0"/>
              <w:rPr>
                <w:sz w:val="15"/>
                <w:szCs w:val="15"/>
                <w:color w:val="auto"/>
              </w:rPr>
            </w:pPr>
          </w:p>
        </w:tc>
        <w:tc>
          <w:tcPr>
            <w:tcW w:w="1840" w:type="dxa"/>
            <w:vAlign w:val="bottom"/>
            <w:gridSpan w:val="2"/>
          </w:tcPr>
          <w:p>
            <w:pPr>
              <w:ind w:left="360"/>
              <w:spacing w:after="0"/>
              <w:rPr>
                <w:sz w:val="20"/>
                <w:szCs w:val="20"/>
                <w:color w:val="auto"/>
              </w:rPr>
            </w:pPr>
            <w:r>
              <w:rPr>
                <w:rFonts w:ascii="Times New Roman" w:cs="Times New Roman" w:eastAsia="Times New Roman" w:hAnsi="Times New Roman"/>
                <w:sz w:val="14"/>
                <w:szCs w:val="14"/>
                <w:b w:val="1"/>
                <w:bCs w:val="1"/>
                <w:color w:val="auto"/>
              </w:rPr>
              <w:t>January 25, 2025</w:t>
            </w:r>
          </w:p>
        </w:tc>
        <w:tc>
          <w:tcPr>
            <w:tcW w:w="18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9"/>
              </w:rPr>
              <w:t>January 27, 2024</w:t>
            </w:r>
          </w:p>
        </w:tc>
        <w:tc>
          <w:tcPr>
            <w:tcW w:w="1760" w:type="dxa"/>
            <w:vAlign w:val="bottom"/>
          </w:tcPr>
          <w:p>
            <w:pPr>
              <w:ind w:left="380"/>
              <w:spacing w:after="0"/>
              <w:rPr>
                <w:sz w:val="20"/>
                <w:szCs w:val="20"/>
                <w:color w:val="auto"/>
              </w:rPr>
            </w:pPr>
            <w:r>
              <w:rPr>
                <w:rFonts w:ascii="Times New Roman" w:cs="Times New Roman" w:eastAsia="Times New Roman" w:hAnsi="Times New Roman"/>
                <w:sz w:val="14"/>
                <w:szCs w:val="14"/>
                <w:b w:val="1"/>
                <w:bCs w:val="1"/>
                <w:color w:val="auto"/>
              </w:rPr>
              <w:t>January 28, 2023</w:t>
            </w:r>
          </w:p>
        </w:tc>
        <w:tc>
          <w:tcPr>
            <w:tcW w:w="100" w:type="dxa"/>
            <w:vAlign w:val="bottom"/>
          </w:tcPr>
          <w:p>
            <w:pPr>
              <w:spacing w:after="0"/>
              <w:rPr>
                <w:sz w:val="15"/>
                <w:szCs w:val="15"/>
                <w:color w:val="auto"/>
              </w:rPr>
            </w:pPr>
          </w:p>
        </w:tc>
      </w:tr>
      <w:tr>
        <w:trPr>
          <w:trHeight w:val="180"/>
        </w:trPr>
        <w:tc>
          <w:tcPr>
            <w:tcW w:w="57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Terminal Growth Rate</w:t>
            </w:r>
          </w:p>
        </w:tc>
        <w:tc>
          <w:tcPr>
            <w:tcW w:w="1760" w:type="dxa"/>
            <w:vAlign w:val="bottom"/>
            <w:tcBorders>
              <w:top w:val="single" w:sz="8" w:color="auto"/>
            </w:tcBorders>
            <w:shd w:val="clear" w:color="auto" w:fill="CCEEFF"/>
          </w:tcPr>
          <w:p>
            <w:pPr>
              <w:jc w:val="right"/>
              <w:ind w:right="569"/>
              <w:spacing w:after="0"/>
              <w:rPr>
                <w:sz w:val="20"/>
                <w:szCs w:val="20"/>
                <w:color w:val="auto"/>
              </w:rPr>
            </w:pPr>
            <w:r>
              <w:rPr>
                <w:rFonts w:ascii="Times New Roman" w:cs="Times New Roman" w:eastAsia="Times New Roman" w:hAnsi="Times New Roman"/>
                <w:sz w:val="14"/>
                <w:szCs w:val="14"/>
                <w:color w:val="auto"/>
              </w:rPr>
              <w:t>2% - 3%</w:t>
            </w:r>
          </w:p>
        </w:tc>
        <w:tc>
          <w:tcPr>
            <w:tcW w:w="80" w:type="dxa"/>
            <w:vAlign w:val="bottom"/>
            <w:tcBorders>
              <w:top w:val="single" w:sz="8" w:color="CCEEFF"/>
            </w:tcBorders>
            <w:shd w:val="clear" w:color="auto" w:fill="CCEEFF"/>
          </w:tcPr>
          <w:p>
            <w:pPr>
              <w:spacing w:after="0"/>
              <w:rPr>
                <w:sz w:val="15"/>
                <w:szCs w:val="15"/>
                <w:color w:val="auto"/>
              </w:rPr>
            </w:pPr>
          </w:p>
        </w:tc>
        <w:tc>
          <w:tcPr>
            <w:tcW w:w="1780" w:type="dxa"/>
            <w:vAlign w:val="bottom"/>
            <w:tcBorders>
              <w:top w:val="single" w:sz="8" w:color="auto"/>
            </w:tcBorders>
            <w:shd w:val="clear" w:color="auto" w:fill="CCEEFF"/>
          </w:tcPr>
          <w:p>
            <w:pPr>
              <w:jc w:val="right"/>
              <w:ind w:right="669"/>
              <w:spacing w:after="0"/>
              <w:rPr>
                <w:sz w:val="20"/>
                <w:szCs w:val="20"/>
                <w:color w:val="auto"/>
              </w:rPr>
            </w:pPr>
            <w:r>
              <w:rPr>
                <w:rFonts w:ascii="Times New Roman" w:cs="Times New Roman" w:eastAsia="Times New Roman" w:hAnsi="Times New Roman"/>
                <w:sz w:val="14"/>
                <w:szCs w:val="14"/>
                <w:color w:val="auto"/>
              </w:rPr>
              <w:t>2.5%</w:t>
            </w:r>
          </w:p>
        </w:tc>
        <w:tc>
          <w:tcPr>
            <w:tcW w:w="80" w:type="dxa"/>
            <w:vAlign w:val="bottom"/>
            <w:tcBorders>
              <w:top w:val="single" w:sz="8" w:color="CCEEFF"/>
            </w:tcBorders>
            <w:shd w:val="clear" w:color="auto" w:fill="CCEEFF"/>
          </w:tcPr>
          <w:p>
            <w:pPr>
              <w:spacing w:after="0"/>
              <w:rPr>
                <w:sz w:val="15"/>
                <w:szCs w:val="15"/>
                <w:color w:val="auto"/>
              </w:rPr>
            </w:pPr>
          </w:p>
        </w:tc>
        <w:tc>
          <w:tcPr>
            <w:tcW w:w="1760" w:type="dxa"/>
            <w:vAlign w:val="bottom"/>
            <w:tcBorders>
              <w:top w:val="single" w:sz="8" w:color="auto"/>
            </w:tcBorders>
            <w:shd w:val="clear" w:color="auto" w:fill="CCEEFF"/>
          </w:tcPr>
          <w:p>
            <w:pPr>
              <w:jc w:val="right"/>
              <w:ind w:right="549"/>
              <w:spacing w:after="0"/>
              <w:rPr>
                <w:sz w:val="20"/>
                <w:szCs w:val="20"/>
                <w:color w:val="auto"/>
              </w:rPr>
            </w:pPr>
            <w:r>
              <w:rPr>
                <w:rFonts w:ascii="Times New Roman" w:cs="Times New Roman" w:eastAsia="Times New Roman" w:hAnsi="Times New Roman"/>
                <w:sz w:val="14"/>
                <w:szCs w:val="14"/>
                <w:color w:val="auto"/>
              </w:rPr>
              <w:t>2% - 3%</w:t>
            </w:r>
          </w:p>
        </w:tc>
        <w:tc>
          <w:tcPr>
            <w:tcW w:w="100" w:type="dxa"/>
            <w:vAlign w:val="bottom"/>
            <w:tcBorders>
              <w:top w:val="single" w:sz="8" w:color="CCEEFF"/>
            </w:tcBorders>
            <w:shd w:val="clear" w:color="auto" w:fill="CCEEFF"/>
          </w:tcPr>
          <w:p>
            <w:pPr>
              <w:spacing w:after="0"/>
              <w:rPr>
                <w:sz w:val="15"/>
                <w:szCs w:val="15"/>
                <w:color w:val="auto"/>
              </w:rPr>
            </w:pPr>
          </w:p>
        </w:tc>
      </w:tr>
      <w:tr>
        <w:trPr>
          <w:trHeight w:val="184"/>
        </w:trPr>
        <w:tc>
          <w:tcPr>
            <w:tcW w:w="5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Discount Rate</w:t>
            </w:r>
          </w:p>
        </w:tc>
        <w:tc>
          <w:tcPr>
            <w:tcW w:w="1760" w:type="dxa"/>
            <w:vAlign w:val="bottom"/>
          </w:tcPr>
          <w:p>
            <w:pPr>
              <w:jc w:val="right"/>
              <w:ind w:right="629"/>
              <w:spacing w:after="0"/>
              <w:rPr>
                <w:sz w:val="20"/>
                <w:szCs w:val="20"/>
                <w:color w:val="auto"/>
              </w:rPr>
            </w:pPr>
            <w:r>
              <w:rPr>
                <w:rFonts w:ascii="Times New Roman" w:cs="Times New Roman" w:eastAsia="Times New Roman" w:hAnsi="Times New Roman"/>
                <w:sz w:val="14"/>
                <w:szCs w:val="14"/>
                <w:color w:val="auto"/>
              </w:rPr>
              <w:t>10.5%</w:t>
            </w:r>
          </w:p>
        </w:tc>
        <w:tc>
          <w:tcPr>
            <w:tcW w:w="80" w:type="dxa"/>
            <w:vAlign w:val="bottom"/>
          </w:tcPr>
          <w:p>
            <w:pPr>
              <w:spacing w:after="0"/>
              <w:rPr>
                <w:sz w:val="16"/>
                <w:szCs w:val="16"/>
                <w:color w:val="auto"/>
              </w:rPr>
            </w:pPr>
          </w:p>
        </w:tc>
        <w:tc>
          <w:tcPr>
            <w:tcW w:w="1780" w:type="dxa"/>
            <w:vAlign w:val="bottom"/>
          </w:tcPr>
          <w:p>
            <w:pPr>
              <w:jc w:val="right"/>
              <w:ind w:right="629"/>
              <w:spacing w:after="0"/>
              <w:rPr>
                <w:sz w:val="20"/>
                <w:szCs w:val="20"/>
                <w:color w:val="auto"/>
              </w:rPr>
            </w:pPr>
            <w:r>
              <w:rPr>
                <w:rFonts w:ascii="Times New Roman" w:cs="Times New Roman" w:eastAsia="Times New Roman" w:hAnsi="Times New Roman"/>
                <w:sz w:val="14"/>
                <w:szCs w:val="14"/>
                <w:color w:val="auto"/>
              </w:rPr>
              <w:t>10.5%</w:t>
            </w:r>
          </w:p>
        </w:tc>
        <w:tc>
          <w:tcPr>
            <w:tcW w:w="80" w:type="dxa"/>
            <w:vAlign w:val="bottom"/>
          </w:tcPr>
          <w:p>
            <w:pPr>
              <w:spacing w:after="0"/>
              <w:rPr>
                <w:sz w:val="16"/>
                <w:szCs w:val="16"/>
                <w:color w:val="auto"/>
              </w:rPr>
            </w:pPr>
          </w:p>
        </w:tc>
        <w:tc>
          <w:tcPr>
            <w:tcW w:w="1760" w:type="dxa"/>
            <w:vAlign w:val="bottom"/>
          </w:tcPr>
          <w:p>
            <w:pPr>
              <w:jc w:val="right"/>
              <w:ind w:right="629"/>
              <w:spacing w:after="0"/>
              <w:rPr>
                <w:sz w:val="20"/>
                <w:szCs w:val="20"/>
                <w:color w:val="auto"/>
              </w:rPr>
            </w:pPr>
            <w:r>
              <w:rPr>
                <w:rFonts w:ascii="Times New Roman" w:cs="Times New Roman" w:eastAsia="Times New Roman" w:hAnsi="Times New Roman"/>
                <w:sz w:val="14"/>
                <w:szCs w:val="14"/>
                <w:color w:val="auto"/>
              </w:rPr>
              <w:t>11.5%</w:t>
            </w:r>
          </w:p>
        </w:tc>
        <w:tc>
          <w:tcPr>
            <w:tcW w:w="100" w:type="dxa"/>
            <w:vAlign w:val="bottom"/>
          </w:tcPr>
          <w:p>
            <w:pPr>
              <w:spacing w:after="0"/>
              <w:rPr>
                <w:sz w:val="16"/>
                <w:szCs w:val="16"/>
                <w:color w:val="auto"/>
              </w:rPr>
            </w:pPr>
          </w:p>
        </w:tc>
      </w:tr>
    </w:tbl>
    <w:p>
      <w:pPr>
        <w:spacing w:after="0" w:line="247" w:lineRule="exact"/>
        <w:rPr>
          <w:sz w:val="20"/>
          <w:szCs w:val="20"/>
          <w:color w:val="auto"/>
        </w:rPr>
      </w:pPr>
    </w:p>
    <w:p>
      <w:pPr>
        <w:ind w:right="100" w:firstLine="255"/>
        <w:spacing w:after="0" w:line="257" w:lineRule="auto"/>
        <w:rPr>
          <w:sz w:val="20"/>
          <w:szCs w:val="20"/>
          <w:color w:val="auto"/>
        </w:rPr>
      </w:pPr>
      <w:r>
        <w:rPr>
          <w:rFonts w:ascii="Times New Roman" w:cs="Times New Roman" w:eastAsia="Times New Roman" w:hAnsi="Times New Roman"/>
          <w:sz w:val="14"/>
          <w:szCs w:val="14"/>
          <w:color w:val="auto"/>
        </w:rPr>
        <w:t>The discount rate reflects risks inherent within each reporting unit operating individually. These risks are greater than the risks inherent in the Company as a whole. Determination of discount rates included consideration of market inputs such as the risk-free rate, equity risk premium, industry premium, and cost of debt, among other assumptions. The discount rate for fiscal 2025 is consistent with the rate used in fiscal 2024. While the cost of debt decreased, there was a decrease in the market participant debt-to-capital ratios which resulted in the same weighted average cost of capital as prior year. The decrease in the discount rate for fiscal 2024 from fiscal 2023 was largely due to lower cost of equity capital and an increase in the market participant debt-to-capital ratios which results in more allocation to the cost of debt, which is lower than the cost of equity. We believe the assumptions used in the impairment analysis each year are reflective of the risks inherent in the business models of our reporting units and our industry. Under the market approach, the guideline company method develops valuation multiples by comparing our reporting units to similar publicly traded companies. Key valuation assumptions used in determining the fair value estimates of our reporting units rely on: (a) the selection of similar companies and (b) the selection of valuation multiples as they apply to the reporting unit characteristics.</w:t>
      </w:r>
    </w:p>
    <w:p>
      <w:pPr>
        <w:spacing w:after="0" w:line="170" w:lineRule="exact"/>
        <w:rPr>
          <w:sz w:val="20"/>
          <w:szCs w:val="20"/>
          <w:color w:val="auto"/>
        </w:rPr>
      </w:pPr>
    </w:p>
    <w:p>
      <w:pPr>
        <w:ind w:right="100" w:firstLine="255"/>
        <w:spacing w:after="0" w:line="261" w:lineRule="auto"/>
        <w:rPr>
          <w:sz w:val="20"/>
          <w:szCs w:val="20"/>
          <w:color w:val="auto"/>
        </w:rPr>
      </w:pPr>
      <w:r>
        <w:rPr>
          <w:rFonts w:ascii="Times New Roman" w:cs="Times New Roman" w:eastAsia="Times New Roman" w:hAnsi="Times New Roman"/>
          <w:sz w:val="14"/>
          <w:szCs w:val="14"/>
          <w:color w:val="auto"/>
        </w:rPr>
        <w:t>We determined that the fair values of each of the reporting units were in excess of their carrying values in the fiscal 2025 assessment. Management determined that significant changes were not likely in the factors considered to estimate fair value, and analyzed the impact of such changes were they to occur. Specifically, if the discount rate applied in the fiscal 2025 impairment analysis had been 100 basis points higher than estimated for each of the reporting units, and all other assumptions were held constant, the conclusion of the assessment would remain unchanged and there would be no impairment of goodwill. Additionally, if there was a 25% decrease in the fair value of any of the reporting units due to a decline in their discounted cash flows resulting from lower operating performance, the conclusion of the assessment would remain unchanged for all reporting</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44"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4"/>
          <w:szCs w:val="14"/>
          <w:color w:val="auto"/>
        </w:rPr>
        <w:t>units. Recent operating performance, along with assumptions for specific customer and industry opportunities, were considered in the key assumptions used during the fiscal 2025 impairment analysis. Management has determined the goodwill of the Company may have an increased likelihood of impairment if a prolonged downturn in customer demand were to occur, or if the reporting units were not able to execute against customer opportunities, and the long-term outlook for their cash flows were adversely impacted. Furthermore, changes in the long-term outlook may result in a change to other valuation assumptions. Factors monitored by management which could result in a change to the reporting units’ estimates include the outcome of customer requests for proposals and subsequent awards, strategies of competitors, labor market conditions and levels of overall economic activity.</w:t>
      </w:r>
    </w:p>
    <w:p>
      <w:pPr>
        <w:spacing w:after="0" w:line="164" w:lineRule="exact"/>
        <w:rPr>
          <w:sz w:val="20"/>
          <w:szCs w:val="20"/>
          <w:color w:val="auto"/>
        </w:rPr>
      </w:pPr>
    </w:p>
    <w:p>
      <w:pPr>
        <w:ind w:right="40" w:firstLine="255"/>
        <w:spacing w:after="0" w:line="264" w:lineRule="auto"/>
        <w:rPr>
          <w:sz w:val="20"/>
          <w:szCs w:val="20"/>
          <w:color w:val="auto"/>
        </w:rPr>
      </w:pPr>
      <w:r>
        <w:rPr>
          <w:rFonts w:ascii="Times New Roman" w:cs="Times New Roman" w:eastAsia="Times New Roman" w:hAnsi="Times New Roman"/>
          <w:sz w:val="14"/>
          <w:szCs w:val="14"/>
          <w:color w:val="auto"/>
        </w:rPr>
        <w:t>The Company determined that there were no events or changes in circumstances for the other reporting units or indefinite lived intangible assets during fiscal 2025 that would indicate a potential reduction in their fair value below their carrying amounts. As of January 25, 2025, the Company continues to believe the remaining goodwill and the indefinite-lived intangible asset are recoverable for all of its reporting units</w:t>
      </w:r>
      <w:r>
        <w:rPr>
          <w:rFonts w:ascii="Arial" w:cs="Arial" w:eastAsia="Arial" w:hAnsi="Arial"/>
          <w:sz w:val="14"/>
          <w:szCs w:val="14"/>
          <w:color w:val="auto"/>
        </w:rPr>
        <w:t>.</w:t>
      </w:r>
      <w:r>
        <w:rPr>
          <w:rFonts w:ascii="Times New Roman" w:cs="Times New Roman" w:eastAsia="Times New Roman" w:hAnsi="Times New Roman"/>
          <w:sz w:val="14"/>
          <w:szCs w:val="14"/>
          <w:color w:val="auto"/>
        </w:rPr>
        <w:t xml:space="preserve"> However, if adverse events were to occur or circumstances were to change indicating that the carrying amount of such assets may not be fully recoverable, the assets would be reviewed for impairment and could be impaired. There can be no assurances that goodwill or the indefinite-lived intangible asset may not be impaired in future periods.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Intangible Assets</w:t>
      </w:r>
    </w:p>
    <w:p>
      <w:pPr>
        <w:spacing w:after="0" w:line="20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Our intangible assets consisted of the following (dollars in thousands):</w:t>
      </w:r>
    </w:p>
    <w:p>
      <w:pPr>
        <w:spacing w:after="0" w:line="39" w:lineRule="exact"/>
        <w:rPr>
          <w:sz w:val="20"/>
          <w:szCs w:val="20"/>
          <w:color w:val="auto"/>
        </w:rPr>
      </w:pPr>
    </w:p>
    <w:tbl>
      <w:tblPr>
        <w:tblLayout w:type="fixed"/>
        <w:tblInd w:w="40" w:type="dxa"/>
        <w:tblCellMar>
          <w:top w:w="0" w:type="dxa"/>
          <w:left w:w="0" w:type="dxa"/>
          <w:bottom w:w="0" w:type="dxa"/>
          <w:right w:w="0" w:type="dxa"/>
        </w:tblCellMar>
      </w:tblPr>
      <w:tr>
        <w:trPr>
          <w:trHeight w:val="188"/>
        </w:trPr>
        <w:tc>
          <w:tcPr>
            <w:tcW w:w="2340" w:type="dxa"/>
            <w:vAlign w:val="bottom"/>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400" w:type="dxa"/>
            <w:vAlign w:val="bottom"/>
            <w:tcBorders>
              <w:bottom w:val="single" w:sz="8" w:color="auto"/>
            </w:tcBorders>
            <w:gridSpan w:val="5"/>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w w:val="99"/>
              </w:rPr>
              <w:t>January 25, 2025</w:t>
            </w: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January 27, 2024</w:t>
            </w: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2340" w:type="dxa"/>
            <w:vAlign w:val="bottom"/>
          </w:tcPr>
          <w:p>
            <w:pPr>
              <w:spacing w:after="0"/>
              <w:rPr>
                <w:sz w:val="11"/>
                <w:szCs w:val="11"/>
                <w:color w:val="auto"/>
              </w:rPr>
            </w:pPr>
          </w:p>
        </w:tc>
        <w:tc>
          <w:tcPr>
            <w:tcW w:w="1400" w:type="dxa"/>
            <w:vAlign w:val="bottom"/>
            <w:gridSpan w:val="2"/>
          </w:tcPr>
          <w:p>
            <w:pPr>
              <w:jc w:val="center"/>
              <w:ind w:right="100"/>
              <w:spacing w:after="0" w:line="138" w:lineRule="exact"/>
              <w:rPr>
                <w:sz w:val="20"/>
                <w:szCs w:val="20"/>
                <w:color w:val="auto"/>
              </w:rPr>
            </w:pPr>
            <w:r>
              <w:rPr>
                <w:rFonts w:ascii="Times New Roman" w:cs="Times New Roman" w:eastAsia="Times New Roman" w:hAnsi="Times New Roman"/>
                <w:sz w:val="14"/>
                <w:szCs w:val="14"/>
                <w:b w:val="1"/>
                <w:bCs w:val="1"/>
                <w:color w:val="auto"/>
                <w:w w:val="99"/>
              </w:rPr>
              <w:t>Weighted Average</w:t>
            </w:r>
          </w:p>
        </w:tc>
        <w:tc>
          <w:tcPr>
            <w:tcW w:w="108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Gross Carrying</w:t>
            </w:r>
          </w:p>
        </w:tc>
        <w:tc>
          <w:tcPr>
            <w:tcW w:w="180" w:type="dxa"/>
            <w:vAlign w:val="bottom"/>
          </w:tcPr>
          <w:p>
            <w:pPr>
              <w:spacing w:after="0"/>
              <w:rPr>
                <w:sz w:val="11"/>
                <w:szCs w:val="11"/>
                <w:color w:val="auto"/>
              </w:rPr>
            </w:pPr>
          </w:p>
        </w:tc>
        <w:tc>
          <w:tcPr>
            <w:tcW w:w="130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20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Intangible Assets,</w:t>
            </w:r>
          </w:p>
        </w:tc>
        <w:tc>
          <w:tcPr>
            <w:tcW w:w="112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Gross Carrying</w:t>
            </w:r>
          </w:p>
        </w:tc>
        <w:tc>
          <w:tcPr>
            <w:tcW w:w="140" w:type="dxa"/>
            <w:vAlign w:val="bottom"/>
          </w:tcPr>
          <w:p>
            <w:pPr>
              <w:spacing w:after="0"/>
              <w:rPr>
                <w:sz w:val="11"/>
                <w:szCs w:val="11"/>
                <w:color w:val="auto"/>
              </w:rPr>
            </w:pPr>
          </w:p>
        </w:tc>
        <w:tc>
          <w:tcPr>
            <w:tcW w:w="134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1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Intangible Assets,</w:t>
            </w:r>
          </w:p>
        </w:tc>
        <w:tc>
          <w:tcPr>
            <w:tcW w:w="0" w:type="dxa"/>
            <w:vAlign w:val="bottom"/>
          </w:tcPr>
          <w:p>
            <w:pPr>
              <w:spacing w:after="0"/>
              <w:rPr>
                <w:sz w:val="1"/>
                <w:szCs w:val="1"/>
                <w:color w:val="auto"/>
              </w:rPr>
            </w:pPr>
          </w:p>
        </w:tc>
      </w:tr>
      <w:tr>
        <w:trPr>
          <w:trHeight w:val="138"/>
        </w:trPr>
        <w:tc>
          <w:tcPr>
            <w:tcW w:w="2340" w:type="dxa"/>
            <w:vAlign w:val="bottom"/>
          </w:tcPr>
          <w:p>
            <w:pPr>
              <w:spacing w:after="0"/>
              <w:rPr>
                <w:sz w:val="11"/>
                <w:szCs w:val="11"/>
                <w:color w:val="auto"/>
              </w:rPr>
            </w:pPr>
          </w:p>
        </w:tc>
        <w:tc>
          <w:tcPr>
            <w:tcW w:w="1400" w:type="dxa"/>
            <w:vAlign w:val="bottom"/>
            <w:gridSpan w:val="2"/>
          </w:tcPr>
          <w:p>
            <w:pPr>
              <w:jc w:val="center"/>
              <w:ind w:right="120"/>
              <w:spacing w:after="0" w:line="138" w:lineRule="exact"/>
              <w:rPr>
                <w:sz w:val="20"/>
                <w:szCs w:val="20"/>
                <w:color w:val="auto"/>
              </w:rPr>
            </w:pPr>
            <w:r>
              <w:rPr>
                <w:rFonts w:ascii="Times New Roman" w:cs="Times New Roman" w:eastAsia="Times New Roman" w:hAnsi="Times New Roman"/>
                <w:sz w:val="14"/>
                <w:szCs w:val="14"/>
                <w:b w:val="1"/>
                <w:bCs w:val="1"/>
                <w:color w:val="auto"/>
              </w:rPr>
              <w:t>Remaining Useful</w:t>
            </w:r>
          </w:p>
        </w:tc>
        <w:tc>
          <w:tcPr>
            <w:tcW w:w="1080" w:type="dxa"/>
            <w:vAlign w:val="bottom"/>
            <w:gridSpan w:val="3"/>
            <w:vMerge w:val="continue"/>
          </w:tcPr>
          <w:p>
            <w:pPr>
              <w:spacing w:after="0"/>
              <w:rPr>
                <w:sz w:val="11"/>
                <w:szCs w:val="11"/>
                <w:color w:val="auto"/>
              </w:rPr>
            </w:pPr>
          </w:p>
        </w:tc>
        <w:tc>
          <w:tcPr>
            <w:tcW w:w="180" w:type="dxa"/>
            <w:vAlign w:val="bottom"/>
          </w:tcPr>
          <w:p>
            <w:pPr>
              <w:spacing w:after="0"/>
              <w:rPr>
                <w:sz w:val="11"/>
                <w:szCs w:val="11"/>
                <w:color w:val="auto"/>
              </w:rPr>
            </w:pPr>
          </w:p>
        </w:tc>
        <w:tc>
          <w:tcPr>
            <w:tcW w:w="1300" w:type="dxa"/>
            <w:vAlign w:val="bottom"/>
            <w:gridSpan w:val="2"/>
            <w:vMerge w:val="continue"/>
          </w:tcPr>
          <w:p>
            <w:pPr>
              <w:spacing w:after="0"/>
              <w:rPr>
                <w:sz w:val="11"/>
                <w:szCs w:val="11"/>
                <w:color w:val="auto"/>
              </w:rPr>
            </w:pPr>
          </w:p>
        </w:tc>
        <w:tc>
          <w:tcPr>
            <w:tcW w:w="1200" w:type="dxa"/>
            <w:vAlign w:val="bottom"/>
            <w:gridSpan w:val="3"/>
            <w:vMerge w:val="continue"/>
          </w:tcPr>
          <w:p>
            <w:pPr>
              <w:spacing w:after="0"/>
              <w:rPr>
                <w:sz w:val="11"/>
                <w:szCs w:val="11"/>
                <w:color w:val="auto"/>
              </w:rPr>
            </w:pPr>
          </w:p>
        </w:tc>
        <w:tc>
          <w:tcPr>
            <w:tcW w:w="1120" w:type="dxa"/>
            <w:vAlign w:val="bottom"/>
            <w:gridSpan w:val="3"/>
            <w:vMerge w:val="continue"/>
          </w:tcPr>
          <w:p>
            <w:pPr>
              <w:spacing w:after="0"/>
              <w:rPr>
                <w:sz w:val="11"/>
                <w:szCs w:val="11"/>
                <w:color w:val="auto"/>
              </w:rPr>
            </w:pPr>
          </w:p>
        </w:tc>
        <w:tc>
          <w:tcPr>
            <w:tcW w:w="140" w:type="dxa"/>
            <w:vAlign w:val="bottom"/>
          </w:tcPr>
          <w:p>
            <w:pPr>
              <w:spacing w:after="0"/>
              <w:rPr>
                <w:sz w:val="11"/>
                <w:szCs w:val="11"/>
                <w:color w:val="auto"/>
              </w:rPr>
            </w:pPr>
          </w:p>
        </w:tc>
        <w:tc>
          <w:tcPr>
            <w:tcW w:w="1340" w:type="dxa"/>
            <w:vAlign w:val="bottom"/>
            <w:gridSpan w:val="2"/>
            <w:vMerge w:val="continue"/>
          </w:tcPr>
          <w:p>
            <w:pPr>
              <w:spacing w:after="0"/>
              <w:rPr>
                <w:sz w:val="11"/>
                <w:szCs w:val="11"/>
                <w:color w:val="auto"/>
              </w:rPr>
            </w:pPr>
          </w:p>
        </w:tc>
        <w:tc>
          <w:tcPr>
            <w:tcW w:w="112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92"/>
        </w:trPr>
        <w:tc>
          <w:tcPr>
            <w:tcW w:w="2340" w:type="dxa"/>
            <w:vAlign w:val="bottom"/>
          </w:tcPr>
          <w:p>
            <w:pPr>
              <w:spacing w:after="0"/>
              <w:rPr>
                <w:sz w:val="16"/>
                <w:szCs w:val="16"/>
                <w:color w:val="auto"/>
              </w:rPr>
            </w:pPr>
          </w:p>
        </w:tc>
        <w:tc>
          <w:tcPr>
            <w:tcW w:w="14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Lives (Years)</w:t>
            </w:r>
          </w:p>
        </w:tc>
        <w:tc>
          <w:tcPr>
            <w:tcW w:w="160" w:type="dxa"/>
            <w:vAlign w:val="bottom"/>
          </w:tcPr>
          <w:p>
            <w:pPr>
              <w:spacing w:after="0"/>
              <w:rPr>
                <w:sz w:val="16"/>
                <w:szCs w:val="16"/>
                <w:color w:val="auto"/>
              </w:rPr>
            </w:pPr>
          </w:p>
        </w:tc>
        <w:tc>
          <w:tcPr>
            <w:tcW w:w="92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80" w:type="dxa"/>
            <w:vAlign w:val="bottom"/>
          </w:tcPr>
          <w:p>
            <w:pPr>
              <w:spacing w:after="0"/>
              <w:rPr>
                <w:sz w:val="16"/>
                <w:szCs w:val="16"/>
                <w:color w:val="auto"/>
              </w:rPr>
            </w:pPr>
          </w:p>
        </w:tc>
        <w:tc>
          <w:tcPr>
            <w:tcW w:w="130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260" w:type="dxa"/>
            <w:vAlign w:val="bottom"/>
          </w:tcPr>
          <w:p>
            <w:pPr>
              <w:spacing w:after="0"/>
              <w:rPr>
                <w:sz w:val="16"/>
                <w:szCs w:val="16"/>
                <w:color w:val="auto"/>
              </w:rPr>
            </w:pPr>
          </w:p>
        </w:tc>
        <w:tc>
          <w:tcPr>
            <w:tcW w:w="94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Net</w:t>
            </w:r>
          </w:p>
        </w:tc>
        <w:tc>
          <w:tcPr>
            <w:tcW w:w="180" w:type="dxa"/>
            <w:vAlign w:val="bottom"/>
          </w:tcPr>
          <w:p>
            <w:pPr>
              <w:spacing w:after="0"/>
              <w:rPr>
                <w:sz w:val="16"/>
                <w:szCs w:val="16"/>
                <w:color w:val="auto"/>
              </w:rPr>
            </w:pPr>
          </w:p>
        </w:tc>
        <w:tc>
          <w:tcPr>
            <w:tcW w:w="9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40" w:type="dxa"/>
            <w:vAlign w:val="bottom"/>
          </w:tcPr>
          <w:p>
            <w:pPr>
              <w:spacing w:after="0"/>
              <w:rPr>
                <w:sz w:val="16"/>
                <w:szCs w:val="16"/>
                <w:color w:val="auto"/>
              </w:rPr>
            </w:pPr>
          </w:p>
        </w:tc>
        <w:tc>
          <w:tcPr>
            <w:tcW w:w="134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260" w:type="dxa"/>
            <w:vAlign w:val="bottom"/>
          </w:tcPr>
          <w:p>
            <w:pPr>
              <w:spacing w:after="0"/>
              <w:rPr>
                <w:sz w:val="16"/>
                <w:szCs w:val="16"/>
                <w:color w:val="auto"/>
              </w:rPr>
            </w:pPr>
          </w:p>
        </w:tc>
        <w:tc>
          <w:tcPr>
            <w:tcW w:w="860" w:type="dxa"/>
            <w:vAlign w:val="bottom"/>
          </w:tcPr>
          <w:p>
            <w:pPr>
              <w:jc w:val="right"/>
              <w:ind w:right="389"/>
              <w:spacing w:after="0"/>
              <w:rPr>
                <w:sz w:val="20"/>
                <w:szCs w:val="20"/>
                <w:color w:val="auto"/>
              </w:rPr>
            </w:pPr>
            <w:r>
              <w:rPr>
                <w:rFonts w:ascii="Times New Roman" w:cs="Times New Roman" w:eastAsia="Times New Roman" w:hAnsi="Times New Roman"/>
                <w:sz w:val="14"/>
                <w:szCs w:val="14"/>
                <w:b w:val="1"/>
                <w:bCs w:val="1"/>
                <w:color w:val="auto"/>
              </w:rPr>
              <w:t>Net</w:t>
            </w:r>
          </w:p>
        </w:tc>
        <w:tc>
          <w:tcPr>
            <w:tcW w:w="0" w:type="dxa"/>
            <w:vAlign w:val="bottom"/>
          </w:tcPr>
          <w:p>
            <w:pPr>
              <w:spacing w:after="0"/>
              <w:rPr>
                <w:sz w:val="1"/>
                <w:szCs w:val="1"/>
                <w:color w:val="auto"/>
              </w:rPr>
            </w:pPr>
          </w:p>
        </w:tc>
      </w:tr>
      <w:tr>
        <w:trPr>
          <w:trHeight w:val="180"/>
        </w:trPr>
        <w:tc>
          <w:tcPr>
            <w:tcW w:w="23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Customer relationships</w:t>
            </w:r>
          </w:p>
        </w:tc>
        <w:tc>
          <w:tcPr>
            <w:tcW w:w="13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9.7</w:t>
            </w: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452,417</w:t>
            </w:r>
          </w:p>
        </w:tc>
        <w:tc>
          <w:tcPr>
            <w:tcW w:w="1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jc w:val="center"/>
              <w:ind w:right="9"/>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270,210</w:t>
            </w:r>
          </w:p>
        </w:tc>
        <w:tc>
          <w:tcPr>
            <w:tcW w:w="8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182,207</w:t>
            </w:r>
          </w:p>
        </w:tc>
        <w:tc>
          <w:tcPr>
            <w:tcW w:w="8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338,117</w:t>
            </w: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245,512</w:t>
            </w:r>
          </w:p>
        </w:tc>
        <w:tc>
          <w:tcPr>
            <w:tcW w:w="8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top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92,605</w:t>
            </w:r>
          </w:p>
        </w:tc>
        <w:tc>
          <w:tcPr>
            <w:tcW w:w="0" w:type="dxa"/>
            <w:vAlign w:val="bottom"/>
          </w:tcPr>
          <w:p>
            <w:pPr>
              <w:spacing w:after="0"/>
              <w:rPr>
                <w:sz w:val="1"/>
                <w:szCs w:val="1"/>
                <w:color w:val="auto"/>
              </w:rPr>
            </w:pPr>
          </w:p>
        </w:tc>
      </w:tr>
      <w:tr>
        <w:trPr>
          <w:trHeight w:val="180"/>
        </w:trPr>
        <w:tc>
          <w:tcPr>
            <w:tcW w:w="23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Trade names, finite</w:t>
            </w:r>
          </w:p>
        </w:tc>
        <w:tc>
          <w:tcPr>
            <w:tcW w:w="13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8.3</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14,080</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9,293</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4,787</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13,050</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8,723</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4,327</w:t>
            </w:r>
          </w:p>
        </w:tc>
        <w:tc>
          <w:tcPr>
            <w:tcW w:w="0" w:type="dxa"/>
            <w:vAlign w:val="bottom"/>
          </w:tcPr>
          <w:p>
            <w:pPr>
              <w:spacing w:after="0"/>
              <w:rPr>
                <w:sz w:val="1"/>
                <w:szCs w:val="1"/>
                <w:color w:val="auto"/>
              </w:rPr>
            </w:pPr>
          </w:p>
        </w:tc>
      </w:tr>
      <w:tr>
        <w:trPr>
          <w:trHeight w:val="180"/>
        </w:trPr>
        <w:tc>
          <w:tcPr>
            <w:tcW w:w="2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Trade name, indefinite</w:t>
            </w:r>
          </w:p>
        </w:tc>
        <w:tc>
          <w:tcPr>
            <w:tcW w:w="140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4"/>
                <w:szCs w:val="14"/>
                <w:color w:val="auto"/>
                <w:w w:val="99"/>
              </w:rPr>
              <w:t>—</w:t>
            </w:r>
          </w:p>
        </w:tc>
        <w:tc>
          <w:tcPr>
            <w:tcW w:w="16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4,700</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3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4,700</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4,700</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5"/>
                <w:szCs w:val="15"/>
                <w:color w:val="auto"/>
              </w:rPr>
            </w:pPr>
          </w:p>
        </w:tc>
        <w:tc>
          <w:tcPr>
            <w:tcW w:w="86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4,700</w:t>
            </w:r>
          </w:p>
        </w:tc>
        <w:tc>
          <w:tcPr>
            <w:tcW w:w="0" w:type="dxa"/>
            <w:vAlign w:val="bottom"/>
          </w:tcPr>
          <w:p>
            <w:pPr>
              <w:spacing w:after="0"/>
              <w:rPr>
                <w:sz w:val="1"/>
                <w:szCs w:val="1"/>
                <w:color w:val="auto"/>
              </w:rPr>
            </w:pPr>
          </w:p>
        </w:tc>
      </w:tr>
      <w:tr>
        <w:trPr>
          <w:trHeight w:val="180"/>
        </w:trPr>
        <w:tc>
          <w:tcPr>
            <w:tcW w:w="23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Contract backlog</w:t>
            </w:r>
          </w:p>
        </w:tc>
        <w:tc>
          <w:tcPr>
            <w:tcW w:w="13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1.5</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37,900</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9,890</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28,010</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11,600</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4,335</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7,265</w:t>
            </w:r>
          </w:p>
        </w:tc>
        <w:tc>
          <w:tcPr>
            <w:tcW w:w="0" w:type="dxa"/>
            <w:vAlign w:val="bottom"/>
          </w:tcPr>
          <w:p>
            <w:pPr>
              <w:spacing w:after="0"/>
              <w:rPr>
                <w:sz w:val="1"/>
                <w:szCs w:val="1"/>
                <w:color w:val="auto"/>
              </w:rPr>
            </w:pPr>
          </w:p>
        </w:tc>
      </w:tr>
      <w:tr>
        <w:trPr>
          <w:trHeight w:val="180"/>
        </w:trPr>
        <w:tc>
          <w:tcPr>
            <w:tcW w:w="2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Non-compete agreement</w:t>
            </w:r>
          </w:p>
        </w:tc>
        <w:tc>
          <w:tcPr>
            <w:tcW w:w="1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2.8</w:t>
            </w:r>
          </w:p>
        </w:tc>
        <w:tc>
          <w:tcPr>
            <w:tcW w:w="10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w:t>
            </w:r>
          </w:p>
        </w:tc>
        <w:tc>
          <w:tcPr>
            <w:tcW w:w="10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w:t>
            </w:r>
          </w:p>
        </w:tc>
        <w:tc>
          <w:tcPr>
            <w:tcW w:w="80" w:type="dxa"/>
            <w:vAlign w:val="bottom"/>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w:t>
            </w:r>
          </w:p>
        </w:tc>
        <w:tc>
          <w:tcPr>
            <w:tcW w:w="8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w:t>
            </w:r>
          </w:p>
        </w:tc>
        <w:tc>
          <w:tcPr>
            <w:tcW w:w="10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80" w:type="dxa"/>
            <w:vAlign w:val="bottom"/>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57</w:t>
            </w:r>
          </w:p>
        </w:tc>
        <w:tc>
          <w:tcPr>
            <w:tcW w:w="0" w:type="dxa"/>
            <w:vAlign w:val="bottom"/>
          </w:tcPr>
          <w:p>
            <w:pPr>
              <w:spacing w:after="0"/>
              <w:rPr>
                <w:sz w:val="1"/>
                <w:szCs w:val="1"/>
                <w:color w:val="auto"/>
              </w:rPr>
            </w:pPr>
          </w:p>
        </w:tc>
      </w:tr>
      <w:tr>
        <w:trPr>
          <w:trHeight w:val="171"/>
        </w:trPr>
        <w:tc>
          <w:tcPr>
            <w:tcW w:w="23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509,172</w:t>
            </w:r>
          </w:p>
        </w:tc>
        <w:tc>
          <w:tcPr>
            <w:tcW w:w="100" w:type="dxa"/>
            <w:vAlign w:val="bottom"/>
          </w:tcPr>
          <w:p>
            <w:pPr>
              <w:spacing w:after="0"/>
              <w:rPr>
                <w:sz w:val="14"/>
                <w:szCs w:val="14"/>
                <w:color w:val="auto"/>
              </w:rPr>
            </w:pPr>
          </w:p>
        </w:tc>
        <w:tc>
          <w:tcPr>
            <w:tcW w:w="180" w:type="dxa"/>
            <w:vAlign w:val="bottom"/>
            <w:tcBorders>
              <w:bottom w:val="single" w:sz="8" w:color="auto"/>
            </w:tcBorders>
          </w:tcPr>
          <w:p>
            <w:pPr>
              <w:jc w:val="center"/>
              <w:ind w:right="9"/>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289,426</w:t>
            </w:r>
          </w:p>
        </w:tc>
        <w:tc>
          <w:tcPr>
            <w:tcW w:w="80" w:type="dxa"/>
            <w:vAlign w:val="bottom"/>
          </w:tcPr>
          <w:p>
            <w:pPr>
              <w:spacing w:after="0"/>
              <w:rPr>
                <w:sz w:val="14"/>
                <w:szCs w:val="14"/>
                <w:color w:val="auto"/>
              </w:rPr>
            </w:pPr>
          </w:p>
        </w:tc>
        <w:tc>
          <w:tcPr>
            <w:tcW w:w="2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219,746</w:t>
            </w:r>
          </w:p>
        </w:tc>
        <w:tc>
          <w:tcPr>
            <w:tcW w:w="80" w:type="dxa"/>
            <w:vAlign w:val="bottom"/>
          </w:tcPr>
          <w:p>
            <w:pPr>
              <w:spacing w:after="0"/>
              <w:rPr>
                <w:sz w:val="14"/>
                <w:szCs w:val="14"/>
                <w:color w:val="auto"/>
              </w:rPr>
            </w:pPr>
          </w:p>
        </w:tc>
        <w:tc>
          <w:tcPr>
            <w:tcW w:w="18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367,542</w:t>
            </w:r>
          </w:p>
        </w:tc>
        <w:tc>
          <w:tcPr>
            <w:tcW w:w="100" w:type="dxa"/>
            <w:vAlign w:val="bottom"/>
          </w:tcPr>
          <w:p>
            <w:pPr>
              <w:spacing w:after="0"/>
              <w:rPr>
                <w:sz w:val="14"/>
                <w:szCs w:val="14"/>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258,588</w:t>
            </w:r>
          </w:p>
        </w:tc>
        <w:tc>
          <w:tcPr>
            <w:tcW w:w="80" w:type="dxa"/>
            <w:vAlign w:val="bottom"/>
          </w:tcPr>
          <w:p>
            <w:pPr>
              <w:spacing w:after="0"/>
              <w:rPr>
                <w:sz w:val="14"/>
                <w:szCs w:val="14"/>
                <w:color w:val="auto"/>
              </w:rPr>
            </w:pPr>
          </w:p>
        </w:tc>
        <w:tc>
          <w:tcPr>
            <w:tcW w:w="2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108,954</w:t>
            </w:r>
          </w:p>
        </w:tc>
        <w:tc>
          <w:tcPr>
            <w:tcW w:w="0" w:type="dxa"/>
            <w:vAlign w:val="bottom"/>
          </w:tcPr>
          <w:p>
            <w:pPr>
              <w:spacing w:after="0"/>
              <w:rPr>
                <w:sz w:val="1"/>
                <w:szCs w:val="1"/>
                <w:color w:val="auto"/>
              </w:rPr>
            </w:pPr>
          </w:p>
        </w:tc>
      </w:tr>
      <w:tr>
        <w:trPr>
          <w:trHeight w:val="20"/>
        </w:trPr>
        <w:tc>
          <w:tcPr>
            <w:tcW w:w="23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1" w:lineRule="exact"/>
        <w:rPr>
          <w:sz w:val="20"/>
          <w:szCs w:val="20"/>
          <w:color w:val="auto"/>
        </w:rPr>
      </w:pPr>
    </w:p>
    <w:p>
      <w:pPr>
        <w:jc w:val="both"/>
        <w:ind w:right="240" w:firstLine="255"/>
        <w:spacing w:after="0" w:line="270" w:lineRule="auto"/>
        <w:rPr>
          <w:sz w:val="20"/>
          <w:szCs w:val="20"/>
          <w:color w:val="auto"/>
        </w:rPr>
      </w:pPr>
      <w:r>
        <w:rPr>
          <w:rFonts w:ascii="Times New Roman" w:cs="Times New Roman" w:eastAsia="Times New Roman" w:hAnsi="Times New Roman"/>
          <w:sz w:val="14"/>
          <w:szCs w:val="14"/>
          <w:color w:val="auto"/>
        </w:rPr>
        <w:t>Amortization of our customer relationship intangibles and our backlog intangibles are recognized on an accelerated basis as a function of the expected economic benefit. Amortization of our other finite-lived intangibles is recognized on a straight-line basis over the estimated useful life. Amortization expense for finite-lived intangible assets was $31.4 million, $19.8 million, and $15.3 million for fiscal 2025, fiscal 2024, and fiscal 2023, respectively.</w:t>
      </w:r>
    </w:p>
    <w:p>
      <w:pPr>
        <w:spacing w:after="0" w:line="15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As of January 25, 2025, total amortization expense for existing finite-lived intangible assets for the next five fiscal years and thereafter is as follows (dollars in thousands):</w:t>
      </w:r>
    </w:p>
    <w:p>
      <w:pPr>
        <w:spacing w:after="0" w:line="39" w:lineRule="exact"/>
        <w:rPr>
          <w:sz w:val="20"/>
          <w:szCs w:val="20"/>
          <w:color w:val="auto"/>
        </w:rPr>
      </w:pPr>
    </w:p>
    <w:tbl>
      <w:tblPr>
        <w:tblLayout w:type="fixed"/>
        <w:tblInd w:w="20" w:type="dxa"/>
        <w:tblCellMar>
          <w:top w:w="0" w:type="dxa"/>
          <w:left w:w="0" w:type="dxa"/>
          <w:bottom w:w="0" w:type="dxa"/>
          <w:right w:w="0" w:type="dxa"/>
        </w:tblCellMar>
      </w:tblPr>
      <w:tr>
        <w:trPr>
          <w:trHeight w:val="188"/>
        </w:trPr>
        <w:tc>
          <w:tcPr>
            <w:tcW w:w="9000" w:type="dxa"/>
            <w:vAlign w:val="bottom"/>
            <w:tcBorders>
              <w:bottom w:val="single" w:sz="8" w:color="CCEEFF"/>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tcPr>
          <w:p>
            <w:pPr>
              <w:jc w:val="right"/>
              <w:ind w:right="809"/>
              <w:spacing w:after="0"/>
              <w:rPr>
                <w:sz w:val="20"/>
                <w:szCs w:val="20"/>
                <w:color w:val="auto"/>
              </w:rPr>
            </w:pPr>
            <w:r>
              <w:rPr>
                <w:rFonts w:ascii="Times New Roman" w:cs="Times New Roman" w:eastAsia="Times New Roman" w:hAnsi="Times New Roman"/>
                <w:sz w:val="14"/>
                <w:szCs w:val="14"/>
                <w:b w:val="1"/>
                <w:bCs w:val="1"/>
                <w:color w:val="auto"/>
              </w:rPr>
              <w:t>Amount</w:t>
            </w:r>
          </w:p>
        </w:tc>
      </w:tr>
      <w:tr>
        <w:trPr>
          <w:trHeight w:val="180"/>
        </w:trPr>
        <w:tc>
          <w:tcPr>
            <w:tcW w:w="90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2026</w:t>
            </w:r>
          </w:p>
        </w:tc>
        <w:tc>
          <w:tcPr>
            <w:tcW w:w="480" w:type="dxa"/>
            <w:vAlign w:val="bottom"/>
            <w:shd w:val="clear" w:color="auto" w:fill="CCEEFF"/>
          </w:tcPr>
          <w:p>
            <w:pPr>
              <w:jc w:val="right"/>
              <w:ind w:right="329"/>
              <w:spacing w:after="0"/>
              <w:rPr>
                <w:sz w:val="20"/>
                <w:szCs w:val="20"/>
                <w:color w:val="auto"/>
              </w:rPr>
            </w:pPr>
            <w:r>
              <w:rPr>
                <w:rFonts w:ascii="Times New Roman" w:cs="Times New Roman" w:eastAsia="Times New Roman" w:hAnsi="Times New Roman"/>
                <w:sz w:val="14"/>
                <w:szCs w:val="14"/>
                <w:color w:val="auto"/>
                <w:w w:val="85"/>
              </w:rPr>
              <w:t>$</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48,396</w:t>
            </w:r>
          </w:p>
        </w:tc>
      </w:tr>
      <w:tr>
        <w:trPr>
          <w:trHeight w:val="180"/>
        </w:trPr>
        <w:tc>
          <w:tcPr>
            <w:tcW w:w="9000" w:type="dxa"/>
            <w:vAlign w:val="bottom"/>
          </w:tcPr>
          <w:p>
            <w:pPr>
              <w:spacing w:after="0"/>
              <w:rPr>
                <w:sz w:val="20"/>
                <w:szCs w:val="20"/>
                <w:color w:val="auto"/>
              </w:rPr>
            </w:pPr>
            <w:r>
              <w:rPr>
                <w:rFonts w:ascii="Times New Roman" w:cs="Times New Roman" w:eastAsia="Times New Roman" w:hAnsi="Times New Roman"/>
                <w:sz w:val="14"/>
                <w:szCs w:val="14"/>
                <w:color w:val="auto"/>
              </w:rPr>
              <w:t>2027</w:t>
            </w:r>
          </w:p>
        </w:tc>
        <w:tc>
          <w:tcPr>
            <w:tcW w:w="480" w:type="dxa"/>
            <w:vAlign w:val="bottom"/>
          </w:tcPr>
          <w:p>
            <w:pPr>
              <w:spacing w:after="0"/>
              <w:rPr>
                <w:sz w:val="15"/>
                <w:szCs w:val="15"/>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38,500</w:t>
            </w:r>
          </w:p>
        </w:tc>
      </w:tr>
      <w:tr>
        <w:trPr>
          <w:trHeight w:val="180"/>
        </w:trPr>
        <w:tc>
          <w:tcPr>
            <w:tcW w:w="90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2028</w:t>
            </w:r>
          </w:p>
        </w:tc>
        <w:tc>
          <w:tcPr>
            <w:tcW w:w="480" w:type="dxa"/>
            <w:vAlign w:val="bottom"/>
            <w:shd w:val="clear" w:color="auto" w:fill="CCEEFF"/>
          </w:tcPr>
          <w:p>
            <w:pPr>
              <w:spacing w:after="0"/>
              <w:rPr>
                <w:sz w:val="15"/>
                <w:szCs w:val="15"/>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26,462</w:t>
            </w:r>
          </w:p>
        </w:tc>
      </w:tr>
      <w:tr>
        <w:trPr>
          <w:trHeight w:val="180"/>
        </w:trPr>
        <w:tc>
          <w:tcPr>
            <w:tcW w:w="9000" w:type="dxa"/>
            <w:vAlign w:val="bottom"/>
          </w:tcPr>
          <w:p>
            <w:pPr>
              <w:spacing w:after="0"/>
              <w:rPr>
                <w:sz w:val="20"/>
                <w:szCs w:val="20"/>
                <w:color w:val="auto"/>
              </w:rPr>
            </w:pPr>
            <w:r>
              <w:rPr>
                <w:rFonts w:ascii="Times New Roman" w:cs="Times New Roman" w:eastAsia="Times New Roman" w:hAnsi="Times New Roman"/>
                <w:sz w:val="14"/>
                <w:szCs w:val="14"/>
                <w:color w:val="auto"/>
              </w:rPr>
              <w:t>2029</w:t>
            </w:r>
          </w:p>
        </w:tc>
        <w:tc>
          <w:tcPr>
            <w:tcW w:w="480" w:type="dxa"/>
            <w:vAlign w:val="bottom"/>
          </w:tcPr>
          <w:p>
            <w:pPr>
              <w:spacing w:after="0"/>
              <w:rPr>
                <w:sz w:val="15"/>
                <w:szCs w:val="15"/>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19,269</w:t>
            </w:r>
          </w:p>
        </w:tc>
      </w:tr>
      <w:tr>
        <w:trPr>
          <w:trHeight w:val="180"/>
        </w:trPr>
        <w:tc>
          <w:tcPr>
            <w:tcW w:w="90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2030</w:t>
            </w:r>
          </w:p>
        </w:tc>
        <w:tc>
          <w:tcPr>
            <w:tcW w:w="480" w:type="dxa"/>
            <w:vAlign w:val="bottom"/>
            <w:shd w:val="clear" w:color="auto" w:fill="CCEEFF"/>
          </w:tcPr>
          <w:p>
            <w:pPr>
              <w:spacing w:after="0"/>
              <w:rPr>
                <w:sz w:val="15"/>
                <w:szCs w:val="15"/>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18,796</w:t>
            </w:r>
          </w:p>
        </w:tc>
      </w:tr>
      <w:tr>
        <w:trPr>
          <w:trHeight w:val="180"/>
        </w:trPr>
        <w:tc>
          <w:tcPr>
            <w:tcW w:w="90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color w:val="auto"/>
              </w:rPr>
              <w:t>Thereafter</w:t>
            </w:r>
          </w:p>
        </w:tc>
        <w:tc>
          <w:tcPr>
            <w:tcW w:w="480" w:type="dxa"/>
            <w:vAlign w:val="bottom"/>
            <w:tcBorders>
              <w:bottom w:val="single" w:sz="8" w:color="auto"/>
            </w:tcBorders>
          </w:tcPr>
          <w:p>
            <w:pPr>
              <w:spacing w:after="0"/>
              <w:rPr>
                <w:sz w:val="15"/>
                <w:szCs w:val="15"/>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63,623</w:t>
            </w:r>
          </w:p>
        </w:tc>
      </w:tr>
      <w:tr>
        <w:trPr>
          <w:trHeight w:val="196"/>
        </w:trPr>
        <w:tc>
          <w:tcPr>
            <w:tcW w:w="900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Total</w:t>
            </w:r>
          </w:p>
        </w:tc>
        <w:tc>
          <w:tcPr>
            <w:tcW w:w="480" w:type="dxa"/>
            <w:vAlign w:val="bottom"/>
            <w:tcBorders>
              <w:bottom w:val="single" w:sz="8" w:color="auto"/>
            </w:tcBorders>
            <w:shd w:val="clear" w:color="auto" w:fill="CCEEFF"/>
          </w:tcPr>
          <w:p>
            <w:pPr>
              <w:jc w:val="right"/>
              <w:ind w:right="329"/>
              <w:spacing w:after="0"/>
              <w:rPr>
                <w:sz w:val="20"/>
                <w:szCs w:val="20"/>
                <w:color w:val="auto"/>
              </w:rPr>
            </w:pPr>
            <w:r>
              <w:rPr>
                <w:rFonts w:ascii="Times New Roman" w:cs="Times New Roman" w:eastAsia="Times New Roman" w:hAnsi="Times New Roman"/>
                <w:sz w:val="14"/>
                <w:szCs w:val="14"/>
                <w:color w:val="auto"/>
                <w:w w:val="85"/>
              </w:rPr>
              <w:t>$</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215,046</w:t>
            </w:r>
          </w:p>
        </w:tc>
      </w:tr>
      <w:tr>
        <w:trPr>
          <w:trHeight w:val="20"/>
        </w:trPr>
        <w:tc>
          <w:tcPr>
            <w:tcW w:w="90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r>
    </w:tbl>
    <w:p>
      <w:pPr>
        <w:spacing w:after="0" w:line="261" w:lineRule="exact"/>
        <w:rPr>
          <w:sz w:val="20"/>
          <w:szCs w:val="20"/>
          <w:color w:val="auto"/>
        </w:rPr>
      </w:pPr>
    </w:p>
    <w:p>
      <w:pPr>
        <w:ind w:right="160" w:firstLine="255"/>
        <w:spacing w:after="0" w:line="287" w:lineRule="auto"/>
        <w:rPr>
          <w:sz w:val="20"/>
          <w:szCs w:val="20"/>
          <w:color w:val="auto"/>
        </w:rPr>
      </w:pPr>
      <w:r>
        <w:rPr>
          <w:rFonts w:ascii="Times New Roman" w:cs="Times New Roman" w:eastAsia="Times New Roman" w:hAnsi="Times New Roman"/>
          <w:sz w:val="14"/>
          <w:szCs w:val="14"/>
          <w:color w:val="auto"/>
        </w:rPr>
        <w:t>As of January 25, 2025, we believe that the carrying amounts of our intangible assets are recoverable. However, if adverse events were to occur or circumstances were to change indicating that the carrying amount of such assets may not be fully recoverable, the assets would be reviewed for impairment and the assets could be impaired.</w:t>
      </w: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11. Accrued Insurance Claims</w:t>
      </w:r>
    </w:p>
    <w:p>
      <w:pPr>
        <w:spacing w:after="0" w:line="181" w:lineRule="exact"/>
        <w:rPr>
          <w:sz w:val="20"/>
          <w:szCs w:val="20"/>
          <w:color w:val="auto"/>
        </w:rPr>
      </w:pPr>
    </w:p>
    <w:p>
      <w:pPr>
        <w:ind w:right="20" w:firstLine="255"/>
        <w:spacing w:after="0" w:line="280" w:lineRule="auto"/>
        <w:rPr>
          <w:sz w:val="20"/>
          <w:szCs w:val="20"/>
          <w:color w:val="auto"/>
        </w:rPr>
      </w:pPr>
      <w:r>
        <w:rPr>
          <w:rFonts w:ascii="Times New Roman" w:cs="Times New Roman" w:eastAsia="Times New Roman" w:hAnsi="Times New Roman"/>
          <w:sz w:val="14"/>
          <w:szCs w:val="14"/>
          <w:color w:val="auto"/>
        </w:rPr>
        <w:t>For claims within our insurance program, we retain the risk of loss, up to certain annual stop-loss limits, for matters related to automobile liability, general liability (including damages associated with underground facility locating services), workers’ compensation, and employee group health. Losses for claims beyond our retained risk of loss are covered by insurance up to our coverage limits.</w:t>
      </w:r>
    </w:p>
    <w:p>
      <w:pPr>
        <w:spacing w:after="0" w:line="325" w:lineRule="exact"/>
        <w:rPr>
          <w:sz w:val="20"/>
          <w:szCs w:val="20"/>
          <w:color w:val="auto"/>
        </w:rPr>
      </w:pPr>
    </w:p>
    <w:p>
      <w:pPr>
        <w:ind w:right="200" w:firstLine="255"/>
        <w:spacing w:after="0" w:line="287" w:lineRule="auto"/>
        <w:rPr>
          <w:sz w:val="20"/>
          <w:szCs w:val="20"/>
          <w:color w:val="auto"/>
        </w:rPr>
      </w:pPr>
      <w:r>
        <w:rPr>
          <w:rFonts w:ascii="Times New Roman" w:cs="Times New Roman" w:eastAsia="Times New Roman" w:hAnsi="Times New Roman"/>
          <w:sz w:val="14"/>
          <w:szCs w:val="14"/>
          <w:color w:val="auto"/>
        </w:rPr>
        <w:t>For workers’ compensation losses during fiscal 2025, 2024, and 2023, we retained the risk of loss up to $1.0 million on a per occurrence basis. This retention amount is applicable to all of the states in which we operate, except with respect to workers’ compensation insurance in two states in which we participate in state-sponsored insurance funds.</w:t>
      </w:r>
    </w:p>
    <w:p>
      <w:pPr>
        <w:spacing w:after="0" w:line="145" w:lineRule="exact"/>
        <w:rPr>
          <w:sz w:val="20"/>
          <w:szCs w:val="20"/>
          <w:color w:val="auto"/>
        </w:rPr>
      </w:pPr>
    </w:p>
    <w:p>
      <w:pPr>
        <w:ind w:right="120" w:firstLine="255"/>
        <w:spacing w:after="0" w:line="270" w:lineRule="auto"/>
        <w:rPr>
          <w:sz w:val="20"/>
          <w:szCs w:val="20"/>
          <w:color w:val="auto"/>
        </w:rPr>
      </w:pPr>
      <w:r>
        <w:rPr>
          <w:rFonts w:ascii="Times New Roman" w:cs="Times New Roman" w:eastAsia="Times New Roman" w:hAnsi="Times New Roman"/>
          <w:sz w:val="14"/>
          <w:szCs w:val="14"/>
          <w:color w:val="auto"/>
        </w:rPr>
        <w:t>For automobile liability and general liability losses during fiscal 2025 and 2024, we retained the risk of loss up to $1.0 million on a per-occurrence basis for the first $5.0 million of insurance coverage. We also retained the risk of loss for the next $10.0 million on a per-occurrence basis for losses between $5.0 million and $15.0 million, if any. Additionally, during fiscal 2024 we retained $10.0 million risk of loss on a per occurrence basis for losses between $30.0 million and $40.0 million, if any.</w:t>
      </w:r>
    </w:p>
    <w:p>
      <w:pPr>
        <w:spacing w:after="0" w:line="157" w:lineRule="exact"/>
        <w:rPr>
          <w:sz w:val="20"/>
          <w:szCs w:val="20"/>
          <w:color w:val="auto"/>
        </w:rPr>
      </w:pPr>
    </w:p>
    <w:p>
      <w:pPr>
        <w:jc w:val="both"/>
        <w:ind w:firstLine="255"/>
        <w:spacing w:after="0" w:line="264" w:lineRule="auto"/>
        <w:rPr>
          <w:sz w:val="20"/>
          <w:szCs w:val="20"/>
          <w:color w:val="auto"/>
        </w:rPr>
      </w:pPr>
      <w:r>
        <w:rPr>
          <w:rFonts w:ascii="Times New Roman" w:cs="Times New Roman" w:eastAsia="Times New Roman" w:hAnsi="Times New Roman"/>
          <w:sz w:val="14"/>
          <w:szCs w:val="14"/>
          <w:color w:val="auto"/>
        </w:rPr>
        <w:t>For automobile liability and general liability losses during fiscal 2023, we retained the risk of loss up to $1.0 million on a per-occurrence basis for the first $5.0 million of insurance coverage. We also retained the risk of loss for the next $5.0 million on a per-occurrence basis with aggregate stop loss limits of $11.5 million within this layer of retention for the period of fiscal 2023. Additionally, we retained $5.0 million risk of loss on a per occurrence basis for losses between $5.0 million and $15.0 million, if any, and we retained $10.0 million risk of loss on a per occurrence basis for losses between $30.0 million and $40.0 million, if any.</w:t>
      </w:r>
    </w:p>
    <w:p>
      <w:pPr>
        <w:spacing w:after="0" w:line="162" w:lineRule="exact"/>
        <w:rPr>
          <w:sz w:val="20"/>
          <w:szCs w:val="20"/>
          <w:color w:val="auto"/>
        </w:rPr>
      </w:pPr>
    </w:p>
    <w:p>
      <w:pPr>
        <w:ind w:right="40" w:firstLine="255"/>
        <w:spacing w:after="0" w:line="287" w:lineRule="auto"/>
        <w:rPr>
          <w:sz w:val="20"/>
          <w:szCs w:val="20"/>
          <w:color w:val="auto"/>
        </w:rPr>
      </w:pPr>
      <w:r>
        <w:rPr>
          <w:rFonts w:ascii="Times New Roman" w:cs="Times New Roman" w:eastAsia="Times New Roman" w:hAnsi="Times New Roman"/>
          <w:sz w:val="14"/>
          <w:szCs w:val="14"/>
          <w:color w:val="auto"/>
        </w:rPr>
        <w:t>We are party to a stop-loss agreement for losses under our employee group health plan. For calendar year 2025, we retain the risk of loss on an annual basis, up to the first $750,000 of claims per participant. In calendar years 2024 and 2023, we retained the risk of loss on an annual basis, up to the first $700,000 and $600,000, respectively, of claims per participant.</w:t>
      </w:r>
    </w:p>
    <w:p>
      <w:pPr>
        <w:spacing w:after="0" w:line="14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Amounts for total accrued insurance claims and insurance recoveries/receivables are as follows (dollars in thousands):</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7080" w:type="dxa"/>
            <w:vAlign w:val="bottom"/>
            <w:tcBorders>
              <w:bottom w:val="single" w:sz="8" w:color="CCEEFF"/>
            </w:tcBorders>
          </w:tcPr>
          <w:p>
            <w:pPr>
              <w:spacing w:after="0"/>
              <w:rPr>
                <w:sz w:val="16"/>
                <w:szCs w:val="16"/>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January 25, 2025</w:t>
            </w:r>
          </w:p>
        </w:tc>
        <w:tc>
          <w:tcPr>
            <w:tcW w:w="4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tcPr>
          <w:p>
            <w:pPr>
              <w:jc w:val="right"/>
              <w:ind w:right="429"/>
              <w:spacing w:after="0"/>
              <w:rPr>
                <w:sz w:val="20"/>
                <w:szCs w:val="20"/>
                <w:color w:val="auto"/>
              </w:rPr>
            </w:pPr>
            <w:r>
              <w:rPr>
                <w:rFonts w:ascii="Times New Roman" w:cs="Times New Roman" w:eastAsia="Times New Roman" w:hAnsi="Times New Roman"/>
                <w:sz w:val="14"/>
                <w:szCs w:val="14"/>
                <w:b w:val="1"/>
                <w:bCs w:val="1"/>
                <w:color w:val="auto"/>
              </w:rPr>
              <w:t>January 27, 2024</w:t>
            </w:r>
          </w:p>
        </w:tc>
        <w:tc>
          <w:tcPr>
            <w:tcW w:w="0" w:type="dxa"/>
            <w:vAlign w:val="bottom"/>
          </w:tcPr>
          <w:p>
            <w:pPr>
              <w:spacing w:after="0"/>
              <w:rPr>
                <w:sz w:val="1"/>
                <w:szCs w:val="1"/>
                <w:color w:val="auto"/>
              </w:rPr>
            </w:pPr>
          </w:p>
        </w:tc>
      </w:tr>
      <w:tr>
        <w:trPr>
          <w:trHeight w:val="180"/>
        </w:trPr>
        <w:tc>
          <w:tcPr>
            <w:tcW w:w="7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Accrued insurance claims - current</w:t>
            </w:r>
          </w:p>
        </w:tc>
        <w:tc>
          <w:tcPr>
            <w:tcW w:w="1560" w:type="dxa"/>
            <w:vAlign w:val="bottom"/>
            <w:shd w:val="clear" w:color="auto" w:fill="CCEEFF"/>
          </w:tcPr>
          <w:p>
            <w:pPr>
              <w:jc w:val="right"/>
              <w:ind w:right="1409"/>
              <w:spacing w:after="0"/>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46,686</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44,466</w:t>
            </w:r>
          </w:p>
        </w:tc>
        <w:tc>
          <w:tcPr>
            <w:tcW w:w="0" w:type="dxa"/>
            <w:vAlign w:val="bottom"/>
          </w:tcPr>
          <w:p>
            <w:pPr>
              <w:spacing w:after="0"/>
              <w:rPr>
                <w:sz w:val="1"/>
                <w:szCs w:val="1"/>
                <w:color w:val="auto"/>
              </w:rPr>
            </w:pPr>
          </w:p>
        </w:tc>
      </w:tr>
      <w:tr>
        <w:trPr>
          <w:trHeight w:val="180"/>
        </w:trPr>
        <w:tc>
          <w:tcPr>
            <w:tcW w:w="70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Accrued insurance claims - non-current</w:t>
            </w:r>
          </w:p>
        </w:tc>
        <w:tc>
          <w:tcPr>
            <w:tcW w:w="156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49,836</w:t>
            </w:r>
          </w:p>
        </w:tc>
        <w:tc>
          <w:tcPr>
            <w:tcW w:w="10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49,447</w:t>
            </w:r>
          </w:p>
        </w:tc>
        <w:tc>
          <w:tcPr>
            <w:tcW w:w="0" w:type="dxa"/>
            <w:vAlign w:val="bottom"/>
          </w:tcPr>
          <w:p>
            <w:pPr>
              <w:spacing w:after="0"/>
              <w:rPr>
                <w:sz w:val="1"/>
                <w:szCs w:val="1"/>
                <w:color w:val="auto"/>
              </w:rPr>
            </w:pPr>
          </w:p>
        </w:tc>
      </w:tr>
      <w:tr>
        <w:trPr>
          <w:trHeight w:val="196"/>
        </w:trPr>
        <w:tc>
          <w:tcPr>
            <w:tcW w:w="708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Accrued insurance claims</w:t>
            </w:r>
          </w:p>
        </w:tc>
        <w:tc>
          <w:tcPr>
            <w:tcW w:w="1560" w:type="dxa"/>
            <w:vAlign w:val="bottom"/>
            <w:tcBorders>
              <w:bottom w:val="single" w:sz="8" w:color="auto"/>
            </w:tcBorders>
            <w:shd w:val="clear" w:color="auto" w:fill="CCEEFF"/>
          </w:tcPr>
          <w:p>
            <w:pPr>
              <w:jc w:val="right"/>
              <w:ind w:right="1409"/>
              <w:spacing w:after="0"/>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96,522</w:t>
            </w:r>
          </w:p>
        </w:tc>
        <w:tc>
          <w:tcPr>
            <w:tcW w:w="10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93,913</w:t>
            </w:r>
          </w:p>
        </w:tc>
        <w:tc>
          <w:tcPr>
            <w:tcW w:w="0" w:type="dxa"/>
            <w:vAlign w:val="bottom"/>
          </w:tcPr>
          <w:p>
            <w:pPr>
              <w:spacing w:after="0"/>
              <w:rPr>
                <w:sz w:val="1"/>
                <w:szCs w:val="1"/>
                <w:color w:val="auto"/>
              </w:rPr>
            </w:pPr>
          </w:p>
        </w:tc>
      </w:tr>
      <w:tr>
        <w:trPr>
          <w:trHeight w:val="20"/>
        </w:trPr>
        <w:tc>
          <w:tcPr>
            <w:tcW w:w="70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Insurance recoveries/receivables:</w:t>
            </w: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4"/>
        </w:trPr>
        <w:tc>
          <w:tcPr>
            <w:tcW w:w="7080" w:type="dxa"/>
            <w:vAlign w:val="bottom"/>
            <w:vMerge w:val="continue"/>
          </w:tcPr>
          <w:p>
            <w:pPr>
              <w:spacing w:after="0"/>
              <w:rPr>
                <w:sz w:val="24"/>
                <w:szCs w:val="24"/>
                <w:color w:val="auto"/>
              </w:rPr>
            </w:pPr>
          </w:p>
        </w:tc>
        <w:tc>
          <w:tcPr>
            <w:tcW w:w="15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1"/>
        </w:trPr>
        <w:tc>
          <w:tcPr>
            <w:tcW w:w="70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Non-current (included in Other assets)</w:t>
            </w:r>
          </w:p>
        </w:tc>
        <w:tc>
          <w:tcPr>
            <w:tcW w:w="1560" w:type="dxa"/>
            <w:vAlign w:val="bottom"/>
            <w:tcBorders>
              <w:bottom w:val="single" w:sz="8" w:color="auto"/>
            </w:tcBorders>
            <w:shd w:val="clear" w:color="auto" w:fill="CCEEFF"/>
          </w:tcPr>
          <w:p>
            <w:pPr>
              <w:spacing w:after="0"/>
              <w:rPr>
                <w:sz w:val="15"/>
                <w:szCs w:val="15"/>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3,343</w:t>
            </w:r>
          </w:p>
        </w:tc>
        <w:tc>
          <w:tcPr>
            <w:tcW w:w="10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4,760</w:t>
            </w:r>
          </w:p>
        </w:tc>
        <w:tc>
          <w:tcPr>
            <w:tcW w:w="0" w:type="dxa"/>
            <w:vAlign w:val="bottom"/>
          </w:tcPr>
          <w:p>
            <w:pPr>
              <w:spacing w:after="0"/>
              <w:rPr>
                <w:sz w:val="1"/>
                <w:szCs w:val="1"/>
                <w:color w:val="auto"/>
              </w:rPr>
            </w:pPr>
          </w:p>
        </w:tc>
      </w:tr>
      <w:tr>
        <w:trPr>
          <w:trHeight w:val="171"/>
        </w:trPr>
        <w:tc>
          <w:tcPr>
            <w:tcW w:w="70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Insurance recoveries/receivables</w:t>
            </w:r>
          </w:p>
        </w:tc>
        <w:tc>
          <w:tcPr>
            <w:tcW w:w="1560" w:type="dxa"/>
            <w:vAlign w:val="bottom"/>
            <w:tcBorders>
              <w:bottom w:val="single" w:sz="8" w:color="auto"/>
            </w:tcBorders>
          </w:tcPr>
          <w:p>
            <w:pPr>
              <w:jc w:val="right"/>
              <w:ind w:right="1409"/>
              <w:spacing w:after="0"/>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3,343</w:t>
            </w:r>
          </w:p>
        </w:tc>
        <w:tc>
          <w:tcPr>
            <w:tcW w:w="100" w:type="dxa"/>
            <w:vAlign w:val="bottom"/>
          </w:tcPr>
          <w:p>
            <w:pPr>
              <w:spacing w:after="0"/>
              <w:rPr>
                <w:sz w:val="14"/>
                <w:szCs w:val="14"/>
                <w:color w:val="auto"/>
              </w:rPr>
            </w:pPr>
          </w:p>
        </w:tc>
        <w:tc>
          <w:tcPr>
            <w:tcW w:w="300" w:type="dxa"/>
            <w:vAlign w:val="bottom"/>
            <w:tcBorders>
              <w:bottom w:val="single" w:sz="8" w:color="auto"/>
            </w:tcBorders>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4,760</w:t>
            </w:r>
          </w:p>
        </w:tc>
        <w:tc>
          <w:tcPr>
            <w:tcW w:w="0" w:type="dxa"/>
            <w:vAlign w:val="bottom"/>
          </w:tcPr>
          <w:p>
            <w:pPr>
              <w:spacing w:after="0"/>
              <w:rPr>
                <w:sz w:val="1"/>
                <w:szCs w:val="1"/>
                <w:color w:val="auto"/>
              </w:rPr>
            </w:pPr>
          </w:p>
        </w:tc>
      </w:tr>
      <w:tr>
        <w:trPr>
          <w:trHeight w:val="20"/>
        </w:trPr>
        <w:tc>
          <w:tcPr>
            <w:tcW w:w="708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1" w:lineRule="exact"/>
        <w:rPr>
          <w:sz w:val="20"/>
          <w:szCs w:val="20"/>
          <w:color w:val="auto"/>
        </w:rPr>
      </w:pPr>
    </w:p>
    <w:p>
      <w:pPr>
        <w:ind w:right="580" w:firstLine="255"/>
        <w:spacing w:after="0" w:line="287" w:lineRule="auto"/>
        <w:rPr>
          <w:sz w:val="20"/>
          <w:szCs w:val="20"/>
          <w:color w:val="auto"/>
        </w:rPr>
      </w:pPr>
      <w:r>
        <w:rPr>
          <w:rFonts w:ascii="Times New Roman" w:cs="Times New Roman" w:eastAsia="Times New Roman" w:hAnsi="Times New Roman"/>
          <w:sz w:val="14"/>
          <w:szCs w:val="14"/>
          <w:color w:val="auto"/>
        </w:rPr>
        <w:t>The liability for total accrued insurance claims included incurred but not reported losses of approximately $47.9 million and $47.2 million as of January 25, 2025 and January 27, 2024, respectively.</w:t>
      </w:r>
    </w:p>
    <w:p>
      <w:pPr>
        <w:spacing w:after="0" w:line="145" w:lineRule="exact"/>
        <w:rPr>
          <w:sz w:val="20"/>
          <w:szCs w:val="20"/>
          <w:color w:val="auto"/>
        </w:rPr>
      </w:pPr>
    </w:p>
    <w:p>
      <w:pPr>
        <w:ind w:right="200" w:firstLine="255"/>
        <w:spacing w:after="0" w:line="270" w:lineRule="auto"/>
        <w:rPr>
          <w:sz w:val="20"/>
          <w:szCs w:val="20"/>
          <w:color w:val="auto"/>
        </w:rPr>
      </w:pPr>
      <w:r>
        <w:rPr>
          <w:rFonts w:ascii="Times New Roman" w:cs="Times New Roman" w:eastAsia="Times New Roman" w:hAnsi="Times New Roman"/>
          <w:sz w:val="14"/>
          <w:szCs w:val="14"/>
          <w:color w:val="auto"/>
        </w:rPr>
        <w:t>Insurance recoveries/receivables represent the amount of accrued insurance claims that are covered by insurance as the amounts exceed the Company’s loss retention. During fiscal 2025, total insurance recoveries/receivables decreased approximately $1.4 million primarily due to the settlement of claims that exceeded our loss retention. Accrued insurance claims decreased by a corresponding amount.</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12. Leases</w:t>
      </w:r>
    </w:p>
    <w:p>
      <w:pPr>
        <w:spacing w:after="0" w:line="202" w:lineRule="exact"/>
        <w:rPr>
          <w:sz w:val="20"/>
          <w:szCs w:val="20"/>
          <w:color w:val="auto"/>
        </w:rPr>
      </w:pPr>
    </w:p>
    <w:p>
      <w:pPr>
        <w:ind w:right="140" w:firstLine="255"/>
        <w:spacing w:after="0" w:line="287" w:lineRule="auto"/>
        <w:rPr>
          <w:sz w:val="20"/>
          <w:szCs w:val="20"/>
          <w:color w:val="auto"/>
        </w:rPr>
      </w:pPr>
      <w:r>
        <w:rPr>
          <w:rFonts w:ascii="Times New Roman" w:cs="Times New Roman" w:eastAsia="Times New Roman" w:hAnsi="Times New Roman"/>
          <w:sz w:val="14"/>
          <w:szCs w:val="14"/>
          <w:color w:val="auto"/>
        </w:rPr>
        <w:t>We lease the majority of our office facilities as well as certain equipment, all of which are accounted for as operating leases. These leases have remaining terms ranging from less than 1 year to approximately 11 years. Some leases include options to extend the lease for up to 5 years and others include options to terminate.</w:t>
      </w:r>
    </w:p>
    <w:p>
      <w:pPr>
        <w:spacing w:after="0" w:line="14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following table summarizes the components of lease cost recognized in the consolidated statement of operations for fiscal 2025 and fiscal 2024 (dollars in thousands):</w:t>
      </w:r>
    </w:p>
    <w:p>
      <w:pPr>
        <w:spacing w:after="0" w:line="200" w:lineRule="exact"/>
        <w:rPr>
          <w:sz w:val="20"/>
          <w:szCs w:val="20"/>
          <w:color w:val="auto"/>
        </w:rPr>
      </w:pPr>
    </w:p>
    <w:p>
      <w:pPr>
        <w:spacing w:after="0" w:line="24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5" w:right="339" w:bottom="1440" w:gutter="0" w:footer="0" w:header="0"/>
        </w:sectPr>
      </w:pPr>
    </w:p>
    <w:bookmarkStart w:id="62" w:name="page63"/>
    <w:bookmarkEnd w:id="62"/>
    <w:tbl>
      <w:tblPr>
        <w:tblLayout w:type="fixed"/>
        <w:tblInd w:w="0" w:type="dxa"/>
        <w:tblCellMar>
          <w:top w:w="0" w:type="dxa"/>
          <w:left w:w="0" w:type="dxa"/>
          <w:bottom w:w="0" w:type="dxa"/>
          <w:right w:w="0" w:type="dxa"/>
        </w:tblCellMar>
      </w:tblPr>
      <w:tr>
        <w:trPr>
          <w:trHeight w:val="161"/>
        </w:trPr>
        <w:tc>
          <w:tcPr>
            <w:tcW w:w="7480" w:type="dxa"/>
            <w:vAlign w:val="bottom"/>
            <w:gridSpan w:val="2"/>
          </w:tcPr>
          <w:p>
            <w:pPr>
              <w:spacing w:after="0"/>
              <w:rPr>
                <w:sz w:val="20"/>
                <w:szCs w:val="20"/>
                <w:color w:val="auto"/>
              </w:rPr>
            </w:pPr>
            <w:r>
              <w:rPr>
                <w:rFonts w:ascii="Times New Roman" w:cs="Times New Roman" w:eastAsia="Times New Roman" w:hAnsi="Times New Roman"/>
                <w:sz w:val="14"/>
                <w:szCs w:val="14"/>
                <w:color w:val="0000FF"/>
              </w:rPr>
              <w:t>Table of Contents</w:t>
            </w:r>
          </w:p>
        </w:tc>
        <w:tc>
          <w:tcPr>
            <w:tcW w:w="26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650"/>
        </w:trPr>
        <w:tc>
          <w:tcPr>
            <w:tcW w:w="1000" w:type="dxa"/>
            <w:vAlign w:val="bottom"/>
            <w:tcBorders>
              <w:top w:val="single" w:sz="8" w:color="0000FF"/>
            </w:tcBorders>
          </w:tcPr>
          <w:p>
            <w:pPr>
              <w:spacing w:after="0"/>
              <w:rPr>
                <w:sz w:val="24"/>
                <w:szCs w:val="24"/>
                <w:color w:val="auto"/>
              </w:rPr>
            </w:pPr>
          </w:p>
        </w:tc>
        <w:tc>
          <w:tcPr>
            <w:tcW w:w="648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3540" w:type="dxa"/>
            <w:vAlign w:val="bottom"/>
            <w:tcBorders>
              <w:bottom w:val="single" w:sz="8" w:color="auto"/>
            </w:tcBorders>
            <w:gridSpan w:val="4"/>
          </w:tcPr>
          <w:p>
            <w:pPr>
              <w:jc w:val="right"/>
              <w:ind w:right="1269"/>
              <w:spacing w:after="0"/>
              <w:rPr>
                <w:sz w:val="20"/>
                <w:szCs w:val="20"/>
                <w:color w:val="auto"/>
              </w:rPr>
            </w:pPr>
            <w:r>
              <w:rPr>
                <w:rFonts w:ascii="Times New Roman" w:cs="Times New Roman" w:eastAsia="Times New Roman" w:hAnsi="Times New Roman"/>
                <w:sz w:val="14"/>
                <w:szCs w:val="14"/>
                <w:b w:val="1"/>
                <w:bCs w:val="1"/>
                <w:color w:val="auto"/>
              </w:rPr>
              <w:t>Fiscal Year Ended</w:t>
            </w:r>
          </w:p>
        </w:tc>
      </w:tr>
      <w:tr>
        <w:trPr>
          <w:trHeight w:val="182"/>
        </w:trPr>
        <w:tc>
          <w:tcPr>
            <w:tcW w:w="1000" w:type="dxa"/>
            <w:vAlign w:val="bottom"/>
          </w:tcPr>
          <w:p>
            <w:pPr>
              <w:spacing w:after="0"/>
              <w:rPr>
                <w:sz w:val="15"/>
                <w:szCs w:val="15"/>
                <w:color w:val="auto"/>
              </w:rPr>
            </w:pPr>
          </w:p>
        </w:tc>
        <w:tc>
          <w:tcPr>
            <w:tcW w:w="64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8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January 25, 2025</w:t>
            </w:r>
          </w:p>
        </w:tc>
        <w:tc>
          <w:tcPr>
            <w:tcW w:w="260" w:type="dxa"/>
            <w:vAlign w:val="bottom"/>
          </w:tcPr>
          <w:p>
            <w:pPr>
              <w:spacing w:after="0"/>
              <w:rPr>
                <w:sz w:val="15"/>
                <w:szCs w:val="15"/>
                <w:color w:val="auto"/>
              </w:rPr>
            </w:pPr>
          </w:p>
        </w:tc>
        <w:tc>
          <w:tcPr>
            <w:tcW w:w="1600" w:type="dxa"/>
            <w:vAlign w:val="bottom"/>
          </w:tcPr>
          <w:p>
            <w:pPr>
              <w:jc w:val="right"/>
              <w:ind w:right="329"/>
              <w:spacing w:after="0"/>
              <w:rPr>
                <w:sz w:val="20"/>
                <w:szCs w:val="20"/>
                <w:color w:val="auto"/>
              </w:rPr>
            </w:pPr>
            <w:r>
              <w:rPr>
                <w:rFonts w:ascii="Times New Roman" w:cs="Times New Roman" w:eastAsia="Times New Roman" w:hAnsi="Times New Roman"/>
                <w:sz w:val="14"/>
                <w:szCs w:val="14"/>
                <w:b w:val="1"/>
                <w:bCs w:val="1"/>
                <w:color w:val="auto"/>
              </w:rPr>
              <w:t>January 27, 2024</w:t>
            </w:r>
          </w:p>
        </w:tc>
      </w:tr>
      <w:tr>
        <w:trPr>
          <w:trHeight w:val="180"/>
        </w:trPr>
        <w:tc>
          <w:tcPr>
            <w:tcW w:w="748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Lease cost under long-term operating leases</w:t>
            </w:r>
          </w:p>
        </w:tc>
        <w:tc>
          <w:tcPr>
            <w:tcW w:w="260" w:type="dxa"/>
            <w:vAlign w:val="bottom"/>
            <w:tcBorders>
              <w:top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46,151</w:t>
            </w:r>
          </w:p>
        </w:tc>
        <w:tc>
          <w:tcPr>
            <w:tcW w:w="8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38,497</w:t>
            </w:r>
          </w:p>
        </w:tc>
      </w:tr>
      <w:tr>
        <w:trPr>
          <w:trHeight w:val="180"/>
        </w:trPr>
        <w:tc>
          <w:tcPr>
            <w:tcW w:w="74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Lease cost under short-term operating leases</w:t>
            </w:r>
          </w:p>
        </w:tc>
        <w:tc>
          <w:tcPr>
            <w:tcW w:w="260" w:type="dxa"/>
            <w:vAlign w:val="bottom"/>
          </w:tcPr>
          <w:p>
            <w:pPr>
              <w:spacing w:after="0"/>
              <w:rPr>
                <w:sz w:val="15"/>
                <w:szCs w:val="15"/>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17,119</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23,048</w:t>
            </w:r>
          </w:p>
        </w:tc>
      </w:tr>
      <w:tr>
        <w:trPr>
          <w:trHeight w:val="180"/>
        </w:trPr>
        <w:tc>
          <w:tcPr>
            <w:tcW w:w="7480" w:type="dxa"/>
            <w:vAlign w:val="bottom"/>
            <w:gridSpan w:val="2"/>
            <w:shd w:val="clear" w:color="auto" w:fill="CCEEFF"/>
          </w:tcPr>
          <w:p>
            <w:pPr>
              <w:ind w:left="20"/>
              <w:spacing w:after="0" w:line="181" w:lineRule="exact"/>
              <w:rPr>
                <w:sz w:val="20"/>
                <w:szCs w:val="20"/>
                <w:color w:val="auto"/>
              </w:rPr>
            </w:pPr>
            <w:r>
              <w:rPr>
                <w:rFonts w:ascii="Times New Roman" w:cs="Times New Roman" w:eastAsia="Times New Roman" w:hAnsi="Times New Roman"/>
                <w:sz w:val="14"/>
                <w:szCs w:val="14"/>
                <w:color w:val="auto"/>
              </w:rPr>
              <w:t>Variable lease cost under short-term and long-term operating leases</w:t>
            </w:r>
            <w:r>
              <w:rPr>
                <w:rFonts w:ascii="Times New Roman" w:cs="Times New Roman" w:eastAsia="Times New Roman" w:hAnsi="Times New Roman"/>
                <w:sz w:val="18"/>
                <w:szCs w:val="18"/>
                <w:color w:val="auto"/>
                <w:vertAlign w:val="superscript"/>
              </w:rPr>
              <w:t>(1)</w:t>
            </w:r>
          </w:p>
        </w:tc>
        <w:tc>
          <w:tcPr>
            <w:tcW w:w="260" w:type="dxa"/>
            <w:vAlign w:val="bottom"/>
            <w:tcBorders>
              <w:bottom w:val="single" w:sz="8" w:color="auto"/>
            </w:tcBorders>
            <w:shd w:val="clear" w:color="auto" w:fill="CCEEFF"/>
          </w:tcPr>
          <w:p>
            <w:pPr>
              <w:spacing w:after="0"/>
              <w:rPr>
                <w:sz w:val="15"/>
                <w:szCs w:val="15"/>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3,725</w:t>
            </w:r>
          </w:p>
        </w:tc>
        <w:tc>
          <w:tcPr>
            <w:tcW w:w="80" w:type="dxa"/>
            <w:vAlign w:val="bottom"/>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3,695</w:t>
            </w:r>
          </w:p>
        </w:tc>
      </w:tr>
      <w:tr>
        <w:trPr>
          <w:trHeight w:val="171"/>
        </w:trPr>
        <w:tc>
          <w:tcPr>
            <w:tcW w:w="748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Total lease cost</w:t>
            </w:r>
          </w:p>
        </w:tc>
        <w:tc>
          <w:tcPr>
            <w:tcW w:w="26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66,995</w:t>
            </w:r>
          </w:p>
        </w:tc>
        <w:tc>
          <w:tcPr>
            <w:tcW w:w="80" w:type="dxa"/>
            <w:vAlign w:val="bottom"/>
          </w:tcPr>
          <w:p>
            <w:pPr>
              <w:spacing w:after="0"/>
              <w:rPr>
                <w:sz w:val="14"/>
                <w:szCs w:val="14"/>
                <w:color w:val="auto"/>
              </w:rPr>
            </w:pPr>
          </w:p>
        </w:tc>
        <w:tc>
          <w:tcPr>
            <w:tcW w:w="260" w:type="dxa"/>
            <w:vAlign w:val="bottom"/>
            <w:tcBorders>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65,240</w:t>
            </w:r>
          </w:p>
        </w:tc>
      </w:tr>
      <w:tr>
        <w:trPr>
          <w:trHeight w:val="20"/>
        </w:trPr>
        <w:tc>
          <w:tcPr>
            <w:tcW w:w="1000" w:type="dxa"/>
            <w:vAlign w:val="bottom"/>
          </w:tcPr>
          <w:p>
            <w:pPr>
              <w:spacing w:after="0" w:line="20" w:lineRule="exact"/>
              <w:rPr>
                <w:sz w:val="1"/>
                <w:szCs w:val="1"/>
                <w:color w:val="auto"/>
              </w:rPr>
            </w:pPr>
          </w:p>
        </w:tc>
        <w:tc>
          <w:tcPr>
            <w:tcW w:w="64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bl>
    <w:p>
      <w:pPr>
        <w:spacing w:after="0" w:line="272" w:lineRule="exact"/>
        <w:rPr>
          <w:sz w:val="20"/>
          <w:szCs w:val="20"/>
          <w:color w:val="auto"/>
        </w:rPr>
      </w:pPr>
    </w:p>
    <w:p>
      <w:pPr>
        <w:ind w:left="380" w:hanging="120"/>
        <w:spacing w:after="0"/>
        <w:tabs>
          <w:tab w:leader="none" w:pos="380" w:val="left"/>
        </w:tabs>
        <w:numPr>
          <w:ilvl w:val="0"/>
          <w:numId w:val="12"/>
        </w:numPr>
        <w:rPr>
          <w:rFonts w:ascii="Times New Roman" w:cs="Times New Roman" w:eastAsia="Times New Roman" w:hAnsi="Times New Roman"/>
          <w:sz w:val="15"/>
          <w:szCs w:val="15"/>
          <w:color w:val="auto"/>
          <w:vertAlign w:val="superscript"/>
        </w:rPr>
      </w:pPr>
      <w:r>
        <w:rPr>
          <w:rFonts w:ascii="Times New Roman" w:cs="Times New Roman" w:eastAsia="Times New Roman" w:hAnsi="Times New Roman"/>
          <w:sz w:val="12"/>
          <w:szCs w:val="12"/>
          <w:color w:val="auto"/>
        </w:rPr>
        <w:t>Variable lease cost primarily includes insurance, maintenance, and other operating expenses related to our leased office facilities.</w:t>
      </w:r>
    </w:p>
    <w:p>
      <w:pPr>
        <w:spacing w:after="0" w:line="188" w:lineRule="exact"/>
        <w:rPr>
          <w:sz w:val="20"/>
          <w:szCs w:val="20"/>
          <w:color w:val="auto"/>
        </w:rPr>
      </w:pPr>
    </w:p>
    <w:p>
      <w:pPr>
        <w:ind w:right="100" w:firstLine="255"/>
        <w:spacing w:after="0" w:line="275" w:lineRule="auto"/>
        <w:rPr>
          <w:sz w:val="20"/>
          <w:szCs w:val="20"/>
          <w:color w:val="auto"/>
        </w:rPr>
      </w:pPr>
      <w:r>
        <w:rPr>
          <w:rFonts w:ascii="Times New Roman" w:cs="Times New Roman" w:eastAsia="Times New Roman" w:hAnsi="Times New Roman"/>
          <w:sz w:val="14"/>
          <w:szCs w:val="14"/>
          <w:color w:val="auto"/>
        </w:rPr>
        <w:t>Our operating lease liabilities related to long-term operating leases were $112.8 million and $76.1 million as of January 25, 2025 and January 27, 2024, respectively. Supplemental balance sheet information related to these liabilities is as follows:</w:t>
      </w:r>
    </w:p>
    <w:tbl>
      <w:tblPr>
        <w:tblLayout w:type="fixed"/>
        <w:tblInd w:w="0" w:type="dxa"/>
        <w:tblCellMar>
          <w:top w:w="0" w:type="dxa"/>
          <w:left w:w="0" w:type="dxa"/>
          <w:bottom w:w="0" w:type="dxa"/>
          <w:right w:w="0" w:type="dxa"/>
        </w:tblCellMar>
      </w:tblPr>
      <w:tr>
        <w:trPr>
          <w:trHeight w:val="188"/>
        </w:trPr>
        <w:tc>
          <w:tcPr>
            <w:tcW w:w="7080" w:type="dxa"/>
            <w:vAlign w:val="bottom"/>
          </w:tcPr>
          <w:p>
            <w:pPr>
              <w:spacing w:after="0"/>
              <w:rPr>
                <w:sz w:val="16"/>
                <w:szCs w:val="16"/>
                <w:color w:val="auto"/>
              </w:rPr>
            </w:pPr>
          </w:p>
        </w:tc>
        <w:tc>
          <w:tcPr>
            <w:tcW w:w="2140" w:type="dxa"/>
            <w:vAlign w:val="bottom"/>
            <w:gridSpan w:val="2"/>
          </w:tcPr>
          <w:p>
            <w:pPr>
              <w:ind w:left="520"/>
              <w:spacing w:after="0"/>
              <w:rPr>
                <w:sz w:val="20"/>
                <w:szCs w:val="20"/>
                <w:color w:val="auto"/>
              </w:rPr>
            </w:pPr>
            <w:r>
              <w:rPr>
                <w:rFonts w:ascii="Times New Roman" w:cs="Times New Roman" w:eastAsia="Times New Roman" w:hAnsi="Times New Roman"/>
                <w:sz w:val="14"/>
                <w:szCs w:val="14"/>
                <w:b w:val="1"/>
                <w:bCs w:val="1"/>
                <w:color w:val="auto"/>
              </w:rPr>
              <w:t>January 25, 2025</w:t>
            </w:r>
          </w:p>
        </w:tc>
        <w:tc>
          <w:tcPr>
            <w:tcW w:w="2060" w:type="dxa"/>
            <w:vAlign w:val="bottom"/>
          </w:tcPr>
          <w:p>
            <w:pPr>
              <w:jc w:val="right"/>
              <w:ind w:right="429"/>
              <w:spacing w:after="0"/>
              <w:rPr>
                <w:sz w:val="20"/>
                <w:szCs w:val="20"/>
                <w:color w:val="auto"/>
              </w:rPr>
            </w:pPr>
            <w:r>
              <w:rPr>
                <w:rFonts w:ascii="Times New Roman" w:cs="Times New Roman" w:eastAsia="Times New Roman" w:hAnsi="Times New Roman"/>
                <w:sz w:val="14"/>
                <w:szCs w:val="14"/>
                <w:b w:val="1"/>
                <w:bCs w:val="1"/>
                <w:color w:val="auto"/>
              </w:rPr>
              <w:t>January 27, 2024</w:t>
            </w:r>
          </w:p>
        </w:tc>
      </w:tr>
      <w:tr>
        <w:trPr>
          <w:trHeight w:val="180"/>
        </w:trPr>
        <w:tc>
          <w:tcPr>
            <w:tcW w:w="70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Weighted average remaining lease term</w:t>
            </w:r>
          </w:p>
        </w:tc>
        <w:tc>
          <w:tcPr>
            <w:tcW w:w="2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 years</w:t>
            </w:r>
          </w:p>
        </w:tc>
        <w:tc>
          <w:tcPr>
            <w:tcW w:w="80" w:type="dxa"/>
            <w:vAlign w:val="bottom"/>
            <w:tcBorders>
              <w:top w:val="single" w:sz="8" w:color="CCEEFF"/>
            </w:tcBorders>
            <w:shd w:val="clear" w:color="auto" w:fill="CCEEFF"/>
          </w:tcPr>
          <w:p>
            <w:pPr>
              <w:spacing w:after="0"/>
              <w:rPr>
                <w:sz w:val="15"/>
                <w:szCs w:val="15"/>
                <w:color w:val="auto"/>
              </w:rPr>
            </w:pPr>
          </w:p>
        </w:tc>
        <w:tc>
          <w:tcPr>
            <w:tcW w:w="2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 years</w:t>
            </w:r>
          </w:p>
        </w:tc>
      </w:tr>
      <w:tr>
        <w:trPr>
          <w:trHeight w:val="184"/>
        </w:trPr>
        <w:tc>
          <w:tcPr>
            <w:tcW w:w="7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Weighted average discount rate</w:t>
            </w:r>
          </w:p>
        </w:tc>
        <w:tc>
          <w:tcPr>
            <w:tcW w:w="2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5.8 %</w:t>
            </w:r>
          </w:p>
        </w:tc>
        <w:tc>
          <w:tcPr>
            <w:tcW w:w="80" w:type="dxa"/>
            <w:vAlign w:val="bottom"/>
          </w:tcPr>
          <w:p>
            <w:pPr>
              <w:spacing w:after="0"/>
              <w:rPr>
                <w:sz w:val="16"/>
                <w:szCs w:val="16"/>
                <w:color w:val="auto"/>
              </w:rPr>
            </w:pPr>
          </w:p>
        </w:tc>
        <w:tc>
          <w:tcPr>
            <w:tcW w:w="2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5.0 %</w:t>
            </w:r>
          </w:p>
        </w:tc>
      </w:tr>
    </w:tbl>
    <w:p>
      <w:pPr>
        <w:spacing w:after="0" w:line="25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Supplemental cash flow information related to our long-term operating lease liabilities as of January 25, 2025 and January 27, 2024 is as follows (dollars in thousands):</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7300" w:type="dxa"/>
            <w:vAlign w:val="bottom"/>
          </w:tcPr>
          <w:p>
            <w:pPr>
              <w:spacing w:after="0"/>
              <w:rPr>
                <w:sz w:val="16"/>
                <w:szCs w:val="16"/>
                <w:color w:val="auto"/>
              </w:rPr>
            </w:pPr>
          </w:p>
        </w:tc>
        <w:tc>
          <w:tcPr>
            <w:tcW w:w="3540" w:type="dxa"/>
            <w:vAlign w:val="bottom"/>
            <w:tcBorders>
              <w:bottom w:val="single" w:sz="8" w:color="auto"/>
            </w:tcBorders>
            <w:gridSpan w:val="4"/>
          </w:tcPr>
          <w:p>
            <w:pPr>
              <w:jc w:val="right"/>
              <w:ind w:right="929"/>
              <w:spacing w:after="0"/>
              <w:rPr>
                <w:sz w:val="20"/>
                <w:szCs w:val="20"/>
                <w:color w:val="auto"/>
              </w:rPr>
            </w:pPr>
            <w:r>
              <w:rPr>
                <w:rFonts w:ascii="Times New Roman" w:cs="Times New Roman" w:eastAsia="Times New Roman" w:hAnsi="Times New Roman"/>
                <w:sz w:val="14"/>
                <w:szCs w:val="14"/>
                <w:b w:val="1"/>
                <w:bCs w:val="1"/>
                <w:color w:val="auto"/>
              </w:rPr>
              <w:t>Fiscal Year Ended</w:t>
            </w:r>
          </w:p>
        </w:tc>
        <w:tc>
          <w:tcPr>
            <w:tcW w:w="440" w:type="dxa"/>
            <w:vAlign w:val="bottom"/>
            <w:tcBorders>
              <w:bottom w:val="single" w:sz="8" w:color="auto"/>
            </w:tcBorders>
          </w:tcPr>
          <w:p>
            <w:pPr>
              <w:spacing w:after="0"/>
              <w:rPr>
                <w:sz w:val="16"/>
                <w:szCs w:val="16"/>
                <w:color w:val="auto"/>
              </w:rPr>
            </w:pPr>
          </w:p>
        </w:tc>
      </w:tr>
      <w:tr>
        <w:trPr>
          <w:trHeight w:val="182"/>
        </w:trPr>
        <w:tc>
          <w:tcPr>
            <w:tcW w:w="7300" w:type="dxa"/>
            <w:vAlign w:val="bottom"/>
            <w:tcBorders>
              <w:bottom w:val="single" w:sz="8" w:color="CCEEFF"/>
            </w:tcBorders>
          </w:tcPr>
          <w:p>
            <w:pPr>
              <w:spacing w:after="0"/>
              <w:rPr>
                <w:sz w:val="15"/>
                <w:szCs w:val="15"/>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January 25, 2025</w:t>
            </w:r>
          </w:p>
        </w:tc>
        <w:tc>
          <w:tcPr>
            <w:tcW w:w="44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January 27, 2024</w:t>
            </w:r>
          </w:p>
        </w:tc>
        <w:tc>
          <w:tcPr>
            <w:tcW w:w="440" w:type="dxa"/>
            <w:vAlign w:val="bottom"/>
            <w:tcBorders>
              <w:bottom w:val="single" w:sz="8" w:color="auto"/>
            </w:tcBorders>
          </w:tcPr>
          <w:p>
            <w:pPr>
              <w:spacing w:after="0"/>
              <w:rPr>
                <w:sz w:val="15"/>
                <w:szCs w:val="15"/>
                <w:color w:val="auto"/>
              </w:rPr>
            </w:pPr>
          </w:p>
        </w:tc>
      </w:tr>
      <w:tr>
        <w:trPr>
          <w:trHeight w:val="180"/>
        </w:trPr>
        <w:tc>
          <w:tcPr>
            <w:tcW w:w="7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paid for amounts included in the measurement of lease liabilities</w:t>
            </w:r>
          </w:p>
        </w:tc>
        <w:tc>
          <w:tcPr>
            <w:tcW w:w="1500" w:type="dxa"/>
            <w:vAlign w:val="bottom"/>
            <w:shd w:val="clear" w:color="auto" w:fill="CCEEFF"/>
          </w:tcPr>
          <w:p>
            <w:pPr>
              <w:jc w:val="right"/>
              <w:ind w:right="1349"/>
              <w:spacing w:after="0"/>
              <w:rPr>
                <w:sz w:val="20"/>
                <w:szCs w:val="20"/>
                <w:color w:val="auto"/>
              </w:rPr>
            </w:pPr>
            <w:r>
              <w:rPr>
                <w:rFonts w:ascii="Times New Roman" w:cs="Times New Roman" w:eastAsia="Times New Roman" w:hAnsi="Times New Roman"/>
                <w:sz w:val="14"/>
                <w:szCs w:val="14"/>
                <w:color w:val="auto"/>
                <w:w w:val="85"/>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3"/>
              </w:rPr>
              <w:t>41,574</w:t>
            </w:r>
          </w:p>
        </w:tc>
        <w:tc>
          <w:tcPr>
            <w:tcW w:w="100" w:type="dxa"/>
            <w:vAlign w:val="bottom"/>
            <w:shd w:val="clear" w:color="auto" w:fill="CCEEFF"/>
          </w:tcPr>
          <w:p>
            <w:pPr>
              <w:spacing w:after="0"/>
              <w:rPr>
                <w:sz w:val="15"/>
                <w:szCs w:val="15"/>
                <w:color w:val="auto"/>
              </w:rPr>
            </w:pPr>
          </w:p>
        </w:tc>
        <w:tc>
          <w:tcPr>
            <w:tcW w:w="1500" w:type="dxa"/>
            <w:vAlign w:val="bottom"/>
            <w:shd w:val="clear" w:color="auto" w:fill="CCEEFF"/>
          </w:tcPr>
          <w:p>
            <w:pPr>
              <w:jc w:val="right"/>
              <w:ind w:right="1349"/>
              <w:spacing w:after="0"/>
              <w:rPr>
                <w:sz w:val="20"/>
                <w:szCs w:val="20"/>
                <w:color w:val="auto"/>
              </w:rPr>
            </w:pPr>
            <w:r>
              <w:rPr>
                <w:rFonts w:ascii="Times New Roman" w:cs="Times New Roman" w:eastAsia="Times New Roman" w:hAnsi="Times New Roman"/>
                <w:sz w:val="14"/>
                <w:szCs w:val="14"/>
                <w:color w:val="auto"/>
                <w:w w:val="85"/>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3"/>
              </w:rPr>
              <w:t>36,677</w:t>
            </w:r>
          </w:p>
        </w:tc>
      </w:tr>
      <w:tr>
        <w:trPr>
          <w:trHeight w:val="184"/>
        </w:trPr>
        <w:tc>
          <w:tcPr>
            <w:tcW w:w="73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Operating lease right-of-use assets obtained in exchange for operating lease liabilities</w:t>
            </w:r>
          </w:p>
        </w:tc>
        <w:tc>
          <w:tcPr>
            <w:tcW w:w="1500" w:type="dxa"/>
            <w:vAlign w:val="bottom"/>
          </w:tcPr>
          <w:p>
            <w:pPr>
              <w:jc w:val="right"/>
              <w:ind w:right="1349"/>
              <w:spacing w:after="0"/>
              <w:rPr>
                <w:sz w:val="20"/>
                <w:szCs w:val="20"/>
                <w:color w:val="auto"/>
              </w:rPr>
            </w:pPr>
            <w:r>
              <w:rPr>
                <w:rFonts w:ascii="Times New Roman" w:cs="Times New Roman" w:eastAsia="Times New Roman" w:hAnsi="Times New Roman"/>
                <w:sz w:val="14"/>
                <w:szCs w:val="14"/>
                <w:color w:val="auto"/>
                <w:w w:val="85"/>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3"/>
              </w:rPr>
              <w:t>76,833</w:t>
            </w:r>
          </w:p>
        </w:tc>
        <w:tc>
          <w:tcPr>
            <w:tcW w:w="100" w:type="dxa"/>
            <w:vAlign w:val="bottom"/>
          </w:tcPr>
          <w:p>
            <w:pPr>
              <w:spacing w:after="0"/>
              <w:rPr>
                <w:sz w:val="16"/>
                <w:szCs w:val="16"/>
                <w:color w:val="auto"/>
              </w:rPr>
            </w:pPr>
          </w:p>
        </w:tc>
        <w:tc>
          <w:tcPr>
            <w:tcW w:w="1500" w:type="dxa"/>
            <w:vAlign w:val="bottom"/>
          </w:tcPr>
          <w:p>
            <w:pPr>
              <w:jc w:val="right"/>
              <w:ind w:right="1349"/>
              <w:spacing w:after="0"/>
              <w:rPr>
                <w:sz w:val="20"/>
                <w:szCs w:val="20"/>
                <w:color w:val="auto"/>
              </w:rPr>
            </w:pPr>
            <w:r>
              <w:rPr>
                <w:rFonts w:ascii="Times New Roman" w:cs="Times New Roman" w:eastAsia="Times New Roman" w:hAnsi="Times New Roman"/>
                <w:sz w:val="14"/>
                <w:szCs w:val="14"/>
                <w:color w:val="auto"/>
                <w:w w:val="85"/>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3"/>
              </w:rPr>
              <w:t>44,602</w:t>
            </w:r>
          </w:p>
        </w:tc>
      </w:tr>
    </w:tbl>
    <w:p>
      <w:pPr>
        <w:spacing w:after="0" w:line="25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As of January 25, 2025, maturities of our lease liabilities under our long-term operating leases for the next five fiscal years and thereafter are as follows (dollars in thousands):</w:t>
      </w:r>
    </w:p>
    <w:p>
      <w:pPr>
        <w:spacing w:after="0" w:line="39" w:lineRule="exact"/>
        <w:rPr>
          <w:sz w:val="20"/>
          <w:szCs w:val="20"/>
          <w:color w:val="auto"/>
        </w:rPr>
      </w:pPr>
    </w:p>
    <w:tbl>
      <w:tblPr>
        <w:tblLayout w:type="fixed"/>
        <w:tblInd w:w="20" w:type="dxa"/>
        <w:tblCellMar>
          <w:top w:w="0" w:type="dxa"/>
          <w:left w:w="0" w:type="dxa"/>
          <w:bottom w:w="0" w:type="dxa"/>
          <w:right w:w="0" w:type="dxa"/>
        </w:tblCellMar>
      </w:tblPr>
      <w:tr>
        <w:trPr>
          <w:trHeight w:val="188"/>
        </w:trPr>
        <w:tc>
          <w:tcPr>
            <w:tcW w:w="9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Fiscal Year</w:t>
            </w:r>
          </w:p>
        </w:tc>
        <w:tc>
          <w:tcPr>
            <w:tcW w:w="42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right"/>
              <w:ind w:right="669"/>
              <w:spacing w:after="0"/>
              <w:rPr>
                <w:sz w:val="20"/>
                <w:szCs w:val="20"/>
                <w:color w:val="auto"/>
              </w:rPr>
            </w:pPr>
            <w:r>
              <w:rPr>
                <w:rFonts w:ascii="Times New Roman" w:cs="Times New Roman" w:eastAsia="Times New Roman" w:hAnsi="Times New Roman"/>
                <w:sz w:val="14"/>
                <w:szCs w:val="14"/>
                <w:b w:val="1"/>
                <w:bCs w:val="1"/>
                <w:color w:val="auto"/>
              </w:rPr>
              <w:t>Amount</w:t>
            </w:r>
          </w:p>
        </w:tc>
      </w:tr>
      <w:tr>
        <w:trPr>
          <w:trHeight w:val="180"/>
        </w:trPr>
        <w:tc>
          <w:tcPr>
            <w:tcW w:w="9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2026</w:t>
            </w:r>
          </w:p>
        </w:tc>
        <w:tc>
          <w:tcPr>
            <w:tcW w:w="420" w:type="dxa"/>
            <w:vAlign w:val="bottom"/>
            <w:shd w:val="clear" w:color="auto" w:fill="CCEEFF"/>
          </w:tcPr>
          <w:p>
            <w:pPr>
              <w:jc w:val="right"/>
              <w:ind w:right="249"/>
              <w:spacing w:after="0"/>
              <w:rPr>
                <w:sz w:val="20"/>
                <w:szCs w:val="20"/>
                <w:color w:val="auto"/>
              </w:rPr>
            </w:pPr>
            <w:r>
              <w:rPr>
                <w:rFonts w:ascii="Times New Roman" w:cs="Times New Roman" w:eastAsia="Times New Roman" w:hAnsi="Times New Roman"/>
                <w:sz w:val="14"/>
                <w:szCs w:val="14"/>
                <w:color w:val="auto"/>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36,120</w:t>
            </w:r>
          </w:p>
        </w:tc>
      </w:tr>
      <w:tr>
        <w:trPr>
          <w:trHeight w:val="180"/>
        </w:trPr>
        <w:tc>
          <w:tcPr>
            <w:tcW w:w="92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2027</w:t>
            </w:r>
          </w:p>
        </w:tc>
        <w:tc>
          <w:tcPr>
            <w:tcW w:w="420" w:type="dxa"/>
            <w:vAlign w:val="bottom"/>
          </w:tcPr>
          <w:p>
            <w:pPr>
              <w:spacing w:after="0"/>
              <w:rPr>
                <w:sz w:val="15"/>
                <w:szCs w:val="15"/>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30,836</w:t>
            </w:r>
          </w:p>
        </w:tc>
      </w:tr>
      <w:tr>
        <w:trPr>
          <w:trHeight w:val="180"/>
        </w:trPr>
        <w:tc>
          <w:tcPr>
            <w:tcW w:w="9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2028</w:t>
            </w:r>
          </w:p>
        </w:tc>
        <w:tc>
          <w:tcPr>
            <w:tcW w:w="420" w:type="dxa"/>
            <w:vAlign w:val="bottom"/>
            <w:shd w:val="clear" w:color="auto" w:fill="CCEEFF"/>
          </w:tcPr>
          <w:p>
            <w:pPr>
              <w:spacing w:after="0"/>
              <w:rPr>
                <w:sz w:val="15"/>
                <w:szCs w:val="15"/>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19,402</w:t>
            </w:r>
          </w:p>
        </w:tc>
      </w:tr>
      <w:tr>
        <w:trPr>
          <w:trHeight w:val="180"/>
        </w:trPr>
        <w:tc>
          <w:tcPr>
            <w:tcW w:w="92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2029</w:t>
            </w:r>
          </w:p>
        </w:tc>
        <w:tc>
          <w:tcPr>
            <w:tcW w:w="420" w:type="dxa"/>
            <w:vAlign w:val="bottom"/>
          </w:tcPr>
          <w:p>
            <w:pPr>
              <w:spacing w:after="0"/>
              <w:rPr>
                <w:sz w:val="15"/>
                <w:szCs w:val="15"/>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13,071</w:t>
            </w:r>
          </w:p>
        </w:tc>
      </w:tr>
      <w:tr>
        <w:trPr>
          <w:trHeight w:val="180"/>
        </w:trPr>
        <w:tc>
          <w:tcPr>
            <w:tcW w:w="9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2030</w:t>
            </w:r>
          </w:p>
        </w:tc>
        <w:tc>
          <w:tcPr>
            <w:tcW w:w="420" w:type="dxa"/>
            <w:vAlign w:val="bottom"/>
            <w:shd w:val="clear" w:color="auto" w:fill="CCEEFF"/>
          </w:tcPr>
          <w:p>
            <w:pPr>
              <w:spacing w:after="0"/>
              <w:rPr>
                <w:sz w:val="15"/>
                <w:szCs w:val="15"/>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8,241</w:t>
            </w:r>
          </w:p>
        </w:tc>
      </w:tr>
      <w:tr>
        <w:trPr>
          <w:trHeight w:val="180"/>
        </w:trPr>
        <w:tc>
          <w:tcPr>
            <w:tcW w:w="9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Thereafter</w:t>
            </w:r>
          </w:p>
        </w:tc>
        <w:tc>
          <w:tcPr>
            <w:tcW w:w="42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25,223</w:t>
            </w:r>
          </w:p>
        </w:tc>
      </w:tr>
      <w:tr>
        <w:trPr>
          <w:trHeight w:val="171"/>
        </w:trPr>
        <w:tc>
          <w:tcPr>
            <w:tcW w:w="92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Total lease payments</w:t>
            </w:r>
          </w:p>
        </w:tc>
        <w:tc>
          <w:tcPr>
            <w:tcW w:w="420" w:type="dxa"/>
            <w:vAlign w:val="bottom"/>
            <w:shd w:val="clear" w:color="auto" w:fill="CCEEFF"/>
          </w:tcPr>
          <w:p>
            <w:pPr>
              <w:spacing w:after="0"/>
              <w:rPr>
                <w:sz w:val="14"/>
                <w:szCs w:val="14"/>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132,893</w:t>
            </w:r>
          </w:p>
        </w:tc>
      </w:tr>
      <w:tr>
        <w:trPr>
          <w:trHeight w:val="180"/>
        </w:trPr>
        <w:tc>
          <w:tcPr>
            <w:tcW w:w="9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Less: imputed interest</w:t>
            </w:r>
          </w:p>
        </w:tc>
        <w:tc>
          <w:tcPr>
            <w:tcW w:w="42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(20,142)</w:t>
            </w:r>
          </w:p>
        </w:tc>
      </w:tr>
      <w:tr>
        <w:trPr>
          <w:trHeight w:val="196"/>
        </w:trPr>
        <w:tc>
          <w:tcPr>
            <w:tcW w:w="926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Total</w:t>
            </w:r>
          </w:p>
        </w:tc>
        <w:tc>
          <w:tcPr>
            <w:tcW w:w="420" w:type="dxa"/>
            <w:vAlign w:val="bottom"/>
            <w:tcBorders>
              <w:bottom w:val="single" w:sz="8" w:color="auto"/>
            </w:tcBorders>
            <w:shd w:val="clear" w:color="auto" w:fill="CCEEFF"/>
          </w:tcPr>
          <w:p>
            <w:pPr>
              <w:jc w:val="right"/>
              <w:ind w:right="249"/>
              <w:spacing w:after="0"/>
              <w:rPr>
                <w:sz w:val="20"/>
                <w:szCs w:val="20"/>
                <w:color w:val="auto"/>
              </w:rPr>
            </w:pPr>
            <w:r>
              <w:rPr>
                <w:rFonts w:ascii="Times New Roman" w:cs="Times New Roman" w:eastAsia="Times New Roman" w:hAnsi="Times New Roman"/>
                <w:sz w:val="14"/>
                <w:szCs w:val="14"/>
                <w:color w:val="auto"/>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112,751</w:t>
            </w:r>
          </w:p>
        </w:tc>
      </w:tr>
      <w:tr>
        <w:trPr>
          <w:trHeight w:val="20"/>
        </w:trPr>
        <w:tc>
          <w:tcPr>
            <w:tcW w:w="926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r>
    </w:tbl>
    <w:p>
      <w:pPr>
        <w:spacing w:after="0" w:line="26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As of January 25, 2025, the Company had additional operating leases with total lease costs of $1.2 million that have not yet commenced. These leases will commence in fiscal 2026.</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6" w:right="319" w:bottom="1440" w:gutter="0" w:footer="0" w:header="0"/>
        </w:sectPr>
      </w:pPr>
    </w:p>
    <w:bookmarkStart w:id="63" w:name="page64"/>
    <w:bookmarkEnd w:id="63"/>
    <w:tbl>
      <w:tblPr>
        <w:tblLayout w:type="fixed"/>
        <w:tblInd w:w="0" w:type="dxa"/>
        <w:tblCellMar>
          <w:top w:w="0" w:type="dxa"/>
          <w:left w:w="0" w:type="dxa"/>
          <w:bottom w:w="0" w:type="dxa"/>
          <w:right w:w="0" w:type="dxa"/>
        </w:tblCellMar>
      </w:tblPr>
      <w:tr>
        <w:trPr>
          <w:trHeight w:val="161"/>
        </w:trPr>
        <w:tc>
          <w:tcPr>
            <w:tcW w:w="7080" w:type="dxa"/>
            <w:vAlign w:val="bottom"/>
            <w:gridSpan w:val="2"/>
          </w:tcPr>
          <w:p>
            <w:pPr>
              <w:spacing w:after="0"/>
              <w:rPr>
                <w:sz w:val="20"/>
                <w:szCs w:val="20"/>
                <w:color w:val="auto"/>
              </w:rPr>
            </w:pPr>
            <w:r>
              <w:rPr>
                <w:rFonts w:ascii="Times New Roman" w:cs="Times New Roman" w:eastAsia="Times New Roman" w:hAnsi="Times New Roman"/>
                <w:sz w:val="14"/>
                <w:szCs w:val="14"/>
                <w:color w:val="0000FF"/>
              </w:rPr>
              <w:t>Table of Contents</w:t>
            </w:r>
          </w:p>
        </w:tc>
        <w:tc>
          <w:tcPr>
            <w:tcW w:w="28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00" w:type="dxa"/>
            <w:vAlign w:val="bottom"/>
            <w:shd w:val="clear" w:color="auto" w:fill="0000FF"/>
          </w:tcPr>
          <w:p>
            <w:pPr>
              <w:spacing w:after="0" w:line="20" w:lineRule="exact"/>
              <w:rPr>
                <w:sz w:val="1"/>
                <w:szCs w:val="1"/>
                <w:color w:val="auto"/>
              </w:rPr>
            </w:pPr>
          </w:p>
        </w:tc>
        <w:tc>
          <w:tcPr>
            <w:tcW w:w="60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6"/>
        </w:trPr>
        <w:tc>
          <w:tcPr>
            <w:tcW w:w="70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i w:val="1"/>
                <w:iCs w:val="1"/>
                <w:color w:val="auto"/>
              </w:rPr>
              <w:t>13. Other Accrued Liabilities</w:t>
            </w:r>
          </w:p>
        </w:tc>
        <w:tc>
          <w:tcPr>
            <w:tcW w:w="28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7080" w:type="dxa"/>
            <w:vAlign w:val="bottom"/>
            <w:gridSpan w:val="2"/>
          </w:tcPr>
          <w:p>
            <w:pPr>
              <w:ind w:left="260"/>
              <w:spacing w:after="0"/>
              <w:rPr>
                <w:sz w:val="20"/>
                <w:szCs w:val="20"/>
                <w:color w:val="auto"/>
              </w:rPr>
            </w:pPr>
            <w:r>
              <w:rPr>
                <w:rFonts w:ascii="Times New Roman" w:cs="Times New Roman" w:eastAsia="Times New Roman" w:hAnsi="Times New Roman"/>
                <w:sz w:val="14"/>
                <w:szCs w:val="14"/>
                <w:color w:val="auto"/>
              </w:rPr>
              <w:t>Other accrued liabilities consisted of the following (dollars in thousands):</w:t>
            </w:r>
          </w:p>
        </w:tc>
        <w:tc>
          <w:tcPr>
            <w:tcW w:w="28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1000" w:type="dxa"/>
            <w:vAlign w:val="bottom"/>
          </w:tcPr>
          <w:p>
            <w:pPr>
              <w:spacing w:after="0"/>
              <w:rPr>
                <w:sz w:val="17"/>
                <w:szCs w:val="17"/>
                <w:color w:val="auto"/>
              </w:rPr>
            </w:pPr>
          </w:p>
        </w:tc>
        <w:tc>
          <w:tcPr>
            <w:tcW w:w="60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4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January 25, 2025</w:t>
            </w:r>
          </w:p>
        </w:tc>
        <w:tc>
          <w:tcPr>
            <w:tcW w:w="300" w:type="dxa"/>
            <w:vAlign w:val="bottom"/>
          </w:tcPr>
          <w:p>
            <w:pPr>
              <w:spacing w:after="0"/>
              <w:rPr>
                <w:sz w:val="17"/>
                <w:szCs w:val="17"/>
                <w:color w:val="auto"/>
              </w:rPr>
            </w:pPr>
          </w:p>
        </w:tc>
        <w:tc>
          <w:tcPr>
            <w:tcW w:w="1740" w:type="dxa"/>
            <w:vAlign w:val="bottom"/>
          </w:tcPr>
          <w:p>
            <w:pPr>
              <w:jc w:val="right"/>
              <w:ind w:right="429"/>
              <w:spacing w:after="0"/>
              <w:rPr>
                <w:sz w:val="20"/>
                <w:szCs w:val="20"/>
                <w:color w:val="auto"/>
              </w:rPr>
            </w:pPr>
            <w:r>
              <w:rPr>
                <w:rFonts w:ascii="Times New Roman" w:cs="Times New Roman" w:eastAsia="Times New Roman" w:hAnsi="Times New Roman"/>
                <w:sz w:val="14"/>
                <w:szCs w:val="14"/>
                <w:b w:val="1"/>
                <w:bCs w:val="1"/>
                <w:color w:val="auto"/>
              </w:rPr>
              <w:t>January 27, 2024</w:t>
            </w:r>
          </w:p>
        </w:tc>
        <w:tc>
          <w:tcPr>
            <w:tcW w:w="0" w:type="dxa"/>
            <w:vAlign w:val="bottom"/>
          </w:tcPr>
          <w:p>
            <w:pPr>
              <w:spacing w:after="0"/>
              <w:rPr>
                <w:sz w:val="1"/>
                <w:szCs w:val="1"/>
                <w:color w:val="auto"/>
              </w:rPr>
            </w:pPr>
          </w:p>
        </w:tc>
      </w:tr>
      <w:tr>
        <w:trPr>
          <w:trHeight w:val="180"/>
        </w:trPr>
        <w:tc>
          <w:tcPr>
            <w:tcW w:w="708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Accrued payroll and related taxes</w:t>
            </w:r>
          </w:p>
        </w:tc>
        <w:tc>
          <w:tcPr>
            <w:tcW w:w="280" w:type="dxa"/>
            <w:vAlign w:val="bottom"/>
            <w:tcBorders>
              <w:top w:val="single" w:sz="8" w:color="auto"/>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35,543</w:t>
            </w:r>
          </w:p>
        </w:tc>
        <w:tc>
          <w:tcPr>
            <w:tcW w:w="100" w:type="dxa"/>
            <w:vAlign w:val="bottom"/>
            <w:tcBorders>
              <w:top w:val="single" w:sz="8" w:color="CCEEFF"/>
            </w:tcBorders>
            <w:shd w:val="clear" w:color="auto" w:fill="CCEEFF"/>
          </w:tcPr>
          <w:p>
            <w:pPr>
              <w:spacing w:after="0"/>
              <w:rPr>
                <w:sz w:val="15"/>
                <w:szCs w:val="15"/>
                <w:color w:val="auto"/>
              </w:rPr>
            </w:pPr>
          </w:p>
        </w:tc>
        <w:tc>
          <w:tcPr>
            <w:tcW w:w="300" w:type="dxa"/>
            <w:vAlign w:val="bottom"/>
            <w:tcBorders>
              <w:top w:val="single" w:sz="8" w:color="auto"/>
            </w:tcBorders>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32,370</w:t>
            </w:r>
          </w:p>
        </w:tc>
        <w:tc>
          <w:tcPr>
            <w:tcW w:w="0" w:type="dxa"/>
            <w:vAlign w:val="bottom"/>
          </w:tcPr>
          <w:p>
            <w:pPr>
              <w:spacing w:after="0"/>
              <w:rPr>
                <w:sz w:val="1"/>
                <w:szCs w:val="1"/>
                <w:color w:val="auto"/>
              </w:rPr>
            </w:pPr>
          </w:p>
        </w:tc>
      </w:tr>
      <w:tr>
        <w:trPr>
          <w:trHeight w:val="180"/>
        </w:trPr>
        <w:tc>
          <w:tcPr>
            <w:tcW w:w="70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Accrued employee benefit and incentive plan costs</w:t>
            </w:r>
          </w:p>
        </w:tc>
        <w:tc>
          <w:tcPr>
            <w:tcW w:w="280" w:type="dxa"/>
            <w:vAlign w:val="bottom"/>
          </w:tcPr>
          <w:p>
            <w:pPr>
              <w:spacing w:after="0"/>
              <w:rPr>
                <w:sz w:val="15"/>
                <w:szCs w:val="15"/>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61,213</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51,661</w:t>
            </w:r>
          </w:p>
        </w:tc>
        <w:tc>
          <w:tcPr>
            <w:tcW w:w="0" w:type="dxa"/>
            <w:vAlign w:val="bottom"/>
          </w:tcPr>
          <w:p>
            <w:pPr>
              <w:spacing w:after="0"/>
              <w:rPr>
                <w:sz w:val="1"/>
                <w:szCs w:val="1"/>
                <w:color w:val="auto"/>
              </w:rPr>
            </w:pPr>
          </w:p>
        </w:tc>
      </w:tr>
      <w:tr>
        <w:trPr>
          <w:trHeight w:val="180"/>
        </w:trPr>
        <w:tc>
          <w:tcPr>
            <w:tcW w:w="7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Accrued construction costs</w:t>
            </w:r>
          </w:p>
        </w:tc>
        <w:tc>
          <w:tcPr>
            <w:tcW w:w="280" w:type="dxa"/>
            <w:vAlign w:val="bottom"/>
            <w:shd w:val="clear" w:color="auto" w:fill="CCEEFF"/>
          </w:tcPr>
          <w:p>
            <w:pPr>
              <w:spacing w:after="0"/>
              <w:rPr>
                <w:sz w:val="15"/>
                <w:szCs w:val="15"/>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36,078</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30,712</w:t>
            </w:r>
          </w:p>
        </w:tc>
        <w:tc>
          <w:tcPr>
            <w:tcW w:w="0" w:type="dxa"/>
            <w:vAlign w:val="bottom"/>
          </w:tcPr>
          <w:p>
            <w:pPr>
              <w:spacing w:after="0"/>
              <w:rPr>
                <w:sz w:val="1"/>
                <w:szCs w:val="1"/>
                <w:color w:val="auto"/>
              </w:rPr>
            </w:pPr>
          </w:p>
        </w:tc>
      </w:tr>
      <w:tr>
        <w:trPr>
          <w:trHeight w:val="180"/>
        </w:trPr>
        <w:tc>
          <w:tcPr>
            <w:tcW w:w="70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4"/>
                <w:szCs w:val="14"/>
                <w:color w:val="auto"/>
              </w:rPr>
              <w:t>Other current liabilities</w:t>
            </w:r>
          </w:p>
        </w:tc>
        <w:tc>
          <w:tcPr>
            <w:tcW w:w="280" w:type="dxa"/>
            <w:vAlign w:val="bottom"/>
            <w:tcBorders>
              <w:bottom w:val="single" w:sz="8" w:color="auto"/>
            </w:tcBorders>
          </w:tcPr>
          <w:p>
            <w:pPr>
              <w:spacing w:after="0"/>
              <w:rPr>
                <w:sz w:val="15"/>
                <w:szCs w:val="15"/>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34,136</w:t>
            </w:r>
          </w:p>
        </w:tc>
        <w:tc>
          <w:tcPr>
            <w:tcW w:w="10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32,476</w:t>
            </w:r>
          </w:p>
        </w:tc>
        <w:tc>
          <w:tcPr>
            <w:tcW w:w="0" w:type="dxa"/>
            <w:vAlign w:val="bottom"/>
          </w:tcPr>
          <w:p>
            <w:pPr>
              <w:spacing w:after="0"/>
              <w:rPr>
                <w:sz w:val="1"/>
                <w:szCs w:val="1"/>
                <w:color w:val="auto"/>
              </w:rPr>
            </w:pPr>
          </w:p>
        </w:tc>
      </w:tr>
      <w:tr>
        <w:trPr>
          <w:trHeight w:val="196"/>
        </w:trPr>
        <w:tc>
          <w:tcPr>
            <w:tcW w:w="708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Other accrued liabilities</w:t>
            </w:r>
          </w:p>
        </w:tc>
        <w:tc>
          <w:tcPr>
            <w:tcW w:w="280" w:type="dxa"/>
            <w:vAlign w:val="bottom"/>
            <w:tcBorders>
              <w:bottom w:val="single" w:sz="8" w:color="auto"/>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166,970</w:t>
            </w:r>
          </w:p>
        </w:tc>
        <w:tc>
          <w:tcPr>
            <w:tcW w:w="10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147,219</w:t>
            </w:r>
          </w:p>
        </w:tc>
        <w:tc>
          <w:tcPr>
            <w:tcW w:w="0" w:type="dxa"/>
            <w:vAlign w:val="bottom"/>
          </w:tcPr>
          <w:p>
            <w:pPr>
              <w:spacing w:after="0"/>
              <w:rPr>
                <w:sz w:val="1"/>
                <w:szCs w:val="1"/>
                <w:color w:val="auto"/>
              </w:rPr>
            </w:pPr>
          </w:p>
        </w:tc>
      </w:tr>
      <w:tr>
        <w:trPr>
          <w:trHeight w:val="20"/>
        </w:trPr>
        <w:tc>
          <w:tcPr>
            <w:tcW w:w="7080" w:type="dxa"/>
            <w:vAlign w:val="bottom"/>
            <w:tcBorders>
              <w:top w:val="single" w:sz="8" w:color="CCEEFF"/>
              <w:bottom w:val="single" w:sz="8" w:color="CCEEFF"/>
            </w:tcBorders>
            <w:gridSpan w:val="2"/>
            <w:vMerge w:val="restart"/>
          </w:tcPr>
          <w:p>
            <w:pPr>
              <w:spacing w:after="0"/>
              <w:rPr>
                <w:sz w:val="20"/>
                <w:szCs w:val="20"/>
                <w:color w:val="auto"/>
              </w:rPr>
            </w:pPr>
            <w:r>
              <w:rPr>
                <w:rFonts w:ascii="Times New Roman" w:cs="Times New Roman" w:eastAsia="Times New Roman" w:hAnsi="Times New Roman"/>
                <w:sz w:val="14"/>
                <w:szCs w:val="14"/>
                <w:b w:val="1"/>
                <w:bCs w:val="1"/>
                <w:i w:val="1"/>
                <w:iCs w:val="1"/>
                <w:color w:val="auto"/>
              </w:rPr>
              <w:t>14. Debt</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8"/>
        </w:trPr>
        <w:tc>
          <w:tcPr>
            <w:tcW w:w="7080" w:type="dxa"/>
            <w:vAlign w:val="bottom"/>
            <w:gridSpan w:val="2"/>
            <w:vMerge w:val="continue"/>
          </w:tcPr>
          <w:p>
            <w:pPr>
              <w:spacing w:after="0"/>
              <w:rPr>
                <w:sz w:val="24"/>
                <w:szCs w:val="24"/>
                <w:color w:val="auto"/>
              </w:rPr>
            </w:pPr>
          </w:p>
        </w:tc>
        <w:tc>
          <w:tcPr>
            <w:tcW w:w="28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7080" w:type="dxa"/>
            <w:vAlign w:val="bottom"/>
            <w:gridSpan w:val="2"/>
          </w:tcPr>
          <w:p>
            <w:pPr>
              <w:ind w:left="260"/>
              <w:spacing w:after="0"/>
              <w:rPr>
                <w:sz w:val="20"/>
                <w:szCs w:val="20"/>
                <w:color w:val="auto"/>
              </w:rPr>
            </w:pPr>
            <w:r>
              <w:rPr>
                <w:rFonts w:ascii="Times New Roman" w:cs="Times New Roman" w:eastAsia="Times New Roman" w:hAnsi="Times New Roman"/>
                <w:sz w:val="14"/>
                <w:szCs w:val="14"/>
                <w:color w:val="auto"/>
              </w:rPr>
              <w:t>The following table summarizes the net carrying value of our outstanding indebtedness (dollars in thousands):</w:t>
            </w:r>
          </w:p>
        </w:tc>
        <w:tc>
          <w:tcPr>
            <w:tcW w:w="28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1000" w:type="dxa"/>
            <w:vAlign w:val="bottom"/>
          </w:tcPr>
          <w:p>
            <w:pPr>
              <w:spacing w:after="0"/>
              <w:rPr>
                <w:sz w:val="17"/>
                <w:szCs w:val="17"/>
                <w:color w:val="auto"/>
              </w:rPr>
            </w:pPr>
          </w:p>
        </w:tc>
        <w:tc>
          <w:tcPr>
            <w:tcW w:w="60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4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January 25, 2025</w:t>
            </w:r>
          </w:p>
        </w:tc>
        <w:tc>
          <w:tcPr>
            <w:tcW w:w="300" w:type="dxa"/>
            <w:vAlign w:val="bottom"/>
          </w:tcPr>
          <w:p>
            <w:pPr>
              <w:spacing w:after="0"/>
              <w:rPr>
                <w:sz w:val="17"/>
                <w:szCs w:val="17"/>
                <w:color w:val="auto"/>
              </w:rPr>
            </w:pPr>
          </w:p>
        </w:tc>
        <w:tc>
          <w:tcPr>
            <w:tcW w:w="1740" w:type="dxa"/>
            <w:vAlign w:val="bottom"/>
          </w:tcPr>
          <w:p>
            <w:pPr>
              <w:jc w:val="right"/>
              <w:ind w:right="429"/>
              <w:spacing w:after="0"/>
              <w:rPr>
                <w:sz w:val="20"/>
                <w:szCs w:val="20"/>
                <w:color w:val="auto"/>
              </w:rPr>
            </w:pPr>
            <w:r>
              <w:rPr>
                <w:rFonts w:ascii="Times New Roman" w:cs="Times New Roman" w:eastAsia="Times New Roman" w:hAnsi="Times New Roman"/>
                <w:sz w:val="14"/>
                <w:szCs w:val="14"/>
                <w:b w:val="1"/>
                <w:bCs w:val="1"/>
                <w:color w:val="auto"/>
              </w:rPr>
              <w:t>January 27, 2024</w:t>
            </w:r>
          </w:p>
        </w:tc>
        <w:tc>
          <w:tcPr>
            <w:tcW w:w="0" w:type="dxa"/>
            <w:vAlign w:val="bottom"/>
          </w:tcPr>
          <w:p>
            <w:pPr>
              <w:spacing w:after="0"/>
              <w:rPr>
                <w:sz w:val="1"/>
                <w:szCs w:val="1"/>
                <w:color w:val="auto"/>
              </w:rPr>
            </w:pPr>
          </w:p>
        </w:tc>
      </w:tr>
      <w:tr>
        <w:trPr>
          <w:trHeight w:val="180"/>
        </w:trPr>
        <w:tc>
          <w:tcPr>
            <w:tcW w:w="708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Credit Agreement - Revolving facility (matures January 2029)</w:t>
            </w:r>
          </w:p>
        </w:tc>
        <w:tc>
          <w:tcPr>
            <w:tcW w:w="280" w:type="dxa"/>
            <w:vAlign w:val="bottom"/>
            <w:tcBorders>
              <w:top w:val="single" w:sz="8" w:color="auto"/>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5"/>
                <w:szCs w:val="15"/>
                <w:color w:val="auto"/>
              </w:rPr>
            </w:pPr>
          </w:p>
        </w:tc>
        <w:tc>
          <w:tcPr>
            <w:tcW w:w="300" w:type="dxa"/>
            <w:vAlign w:val="bottom"/>
            <w:tcBorders>
              <w:top w:val="single" w:sz="8" w:color="auto"/>
            </w:tcBorders>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70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Credit Agreement - Term loan facility (matures January 2029)</w:t>
            </w:r>
          </w:p>
        </w:tc>
        <w:tc>
          <w:tcPr>
            <w:tcW w:w="280" w:type="dxa"/>
            <w:vAlign w:val="bottom"/>
          </w:tcPr>
          <w:p>
            <w:pPr>
              <w:spacing w:after="0"/>
              <w:rPr>
                <w:sz w:val="15"/>
                <w:szCs w:val="15"/>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447,115</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313,735</w:t>
            </w:r>
          </w:p>
        </w:tc>
        <w:tc>
          <w:tcPr>
            <w:tcW w:w="0" w:type="dxa"/>
            <w:vAlign w:val="bottom"/>
          </w:tcPr>
          <w:p>
            <w:pPr>
              <w:spacing w:after="0"/>
              <w:rPr>
                <w:sz w:val="1"/>
                <w:szCs w:val="1"/>
                <w:color w:val="auto"/>
              </w:rPr>
            </w:pPr>
          </w:p>
        </w:tc>
      </w:tr>
      <w:tr>
        <w:trPr>
          <w:trHeight w:val="180"/>
        </w:trPr>
        <w:tc>
          <w:tcPr>
            <w:tcW w:w="7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4.50% senior notes, net (mature April 2029)</w:t>
            </w:r>
          </w:p>
        </w:tc>
        <w:tc>
          <w:tcPr>
            <w:tcW w:w="280" w:type="dxa"/>
            <w:vAlign w:val="bottom"/>
            <w:tcBorders>
              <w:bottom w:val="single" w:sz="8" w:color="auto"/>
            </w:tcBorders>
            <w:shd w:val="clear" w:color="auto" w:fill="CCEEFF"/>
          </w:tcPr>
          <w:p>
            <w:pPr>
              <w:spacing w:after="0"/>
              <w:rPr>
                <w:sz w:val="15"/>
                <w:szCs w:val="15"/>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496,097</w:t>
            </w:r>
          </w:p>
        </w:tc>
        <w:tc>
          <w:tcPr>
            <w:tcW w:w="10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495,180</w:t>
            </w:r>
          </w:p>
        </w:tc>
        <w:tc>
          <w:tcPr>
            <w:tcW w:w="0" w:type="dxa"/>
            <w:vAlign w:val="bottom"/>
          </w:tcPr>
          <w:p>
            <w:pPr>
              <w:spacing w:after="0"/>
              <w:rPr>
                <w:sz w:val="1"/>
                <w:szCs w:val="1"/>
                <w:color w:val="auto"/>
              </w:rPr>
            </w:pPr>
          </w:p>
        </w:tc>
      </w:tr>
      <w:tr>
        <w:trPr>
          <w:trHeight w:val="171"/>
        </w:trPr>
        <w:tc>
          <w:tcPr>
            <w:tcW w:w="1000" w:type="dxa"/>
            <w:vAlign w:val="bottom"/>
          </w:tcPr>
          <w:p>
            <w:pPr>
              <w:spacing w:after="0"/>
              <w:rPr>
                <w:sz w:val="14"/>
                <w:szCs w:val="14"/>
                <w:color w:val="auto"/>
              </w:rPr>
            </w:pPr>
          </w:p>
        </w:tc>
        <w:tc>
          <w:tcPr>
            <w:tcW w:w="60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943,212</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808,915</w:t>
            </w:r>
          </w:p>
        </w:tc>
        <w:tc>
          <w:tcPr>
            <w:tcW w:w="0" w:type="dxa"/>
            <w:vAlign w:val="bottom"/>
          </w:tcPr>
          <w:p>
            <w:pPr>
              <w:spacing w:after="0"/>
              <w:rPr>
                <w:sz w:val="1"/>
                <w:szCs w:val="1"/>
                <w:color w:val="auto"/>
              </w:rPr>
            </w:pPr>
          </w:p>
        </w:tc>
      </w:tr>
      <w:tr>
        <w:trPr>
          <w:trHeight w:val="180"/>
        </w:trPr>
        <w:tc>
          <w:tcPr>
            <w:tcW w:w="7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Less: current portion</w:t>
            </w:r>
          </w:p>
        </w:tc>
        <w:tc>
          <w:tcPr>
            <w:tcW w:w="280" w:type="dxa"/>
            <w:vAlign w:val="bottom"/>
            <w:tcBorders>
              <w:bottom w:val="single" w:sz="8" w:color="auto"/>
            </w:tcBorders>
            <w:shd w:val="clear" w:color="auto" w:fill="CCEEFF"/>
          </w:tcPr>
          <w:p>
            <w:pPr>
              <w:spacing w:after="0"/>
              <w:rPr>
                <w:sz w:val="15"/>
                <w:szCs w:val="15"/>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(10,000)</w:t>
            </w:r>
          </w:p>
        </w:tc>
        <w:tc>
          <w:tcPr>
            <w:tcW w:w="10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(17,500)</w:t>
            </w:r>
          </w:p>
        </w:tc>
        <w:tc>
          <w:tcPr>
            <w:tcW w:w="0" w:type="dxa"/>
            <w:vAlign w:val="bottom"/>
          </w:tcPr>
          <w:p>
            <w:pPr>
              <w:spacing w:after="0"/>
              <w:rPr>
                <w:sz w:val="1"/>
                <w:szCs w:val="1"/>
                <w:color w:val="auto"/>
              </w:rPr>
            </w:pPr>
          </w:p>
        </w:tc>
      </w:tr>
      <w:tr>
        <w:trPr>
          <w:trHeight w:val="171"/>
        </w:trPr>
        <w:tc>
          <w:tcPr>
            <w:tcW w:w="70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Long-term debt</w:t>
            </w:r>
          </w:p>
        </w:tc>
        <w:tc>
          <w:tcPr>
            <w:tcW w:w="280" w:type="dxa"/>
            <w:vAlign w:val="bottom"/>
            <w:tcBorders>
              <w:bottom w:val="single" w:sz="8" w:color="auto"/>
            </w:tcBorders>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933,212</w:t>
            </w:r>
          </w:p>
        </w:tc>
        <w:tc>
          <w:tcPr>
            <w:tcW w:w="100" w:type="dxa"/>
            <w:vAlign w:val="bottom"/>
          </w:tcPr>
          <w:p>
            <w:pPr>
              <w:spacing w:after="0"/>
              <w:rPr>
                <w:sz w:val="14"/>
                <w:szCs w:val="14"/>
                <w:color w:val="auto"/>
              </w:rPr>
            </w:pPr>
          </w:p>
        </w:tc>
        <w:tc>
          <w:tcPr>
            <w:tcW w:w="300" w:type="dxa"/>
            <w:vAlign w:val="bottom"/>
            <w:tcBorders>
              <w:bottom w:val="single" w:sz="8" w:color="auto"/>
            </w:tcBorders>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791,415</w:t>
            </w: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60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Credit Agreement</w:t>
      </w:r>
    </w:p>
    <w:p>
      <w:pPr>
        <w:spacing w:after="0" w:line="202" w:lineRule="exact"/>
        <w:rPr>
          <w:sz w:val="20"/>
          <w:szCs w:val="20"/>
          <w:color w:val="auto"/>
        </w:rPr>
      </w:pPr>
    </w:p>
    <w:p>
      <w:pPr>
        <w:ind w:right="40" w:firstLine="255"/>
        <w:spacing w:after="0" w:line="261" w:lineRule="auto"/>
        <w:rPr>
          <w:sz w:val="20"/>
          <w:szCs w:val="20"/>
          <w:color w:val="auto"/>
        </w:rPr>
      </w:pPr>
      <w:r>
        <w:rPr>
          <w:rFonts w:ascii="Times New Roman" w:cs="Times New Roman" w:eastAsia="Times New Roman" w:hAnsi="Times New Roman"/>
          <w:sz w:val="14"/>
          <w:szCs w:val="14"/>
          <w:color w:val="auto"/>
        </w:rPr>
        <w:t>The Company and certain of its subsidiaries are party to an amended and restated credit agreement, dated as of October 19, 2018, with the various lenders party thereto and Bank of America, N.A., as administrative agent (as amended on April 1, 2021, May 9, 2023, and May 15, 2024, the “Credit Agreement”). On May 15, 2024, we amended and restated the Credit Agreement to, among other things, increase the term loan facility and extend the maturity date. The Credit Agreement includes a revolving facility with a maximum revolver commitment of $650.0 million and a term loan facility in the principal amount of $450.0 million. The Credit Agreement also includes a $200.0 million sublimit for the issuance of letters of credit and a $50.0 million sublimit for swingline loans. The maturity of the Credit Agreement is January 15, 2029.</w:t>
      </w:r>
    </w:p>
    <w:p>
      <w:pPr>
        <w:spacing w:after="0" w:line="164" w:lineRule="exact"/>
        <w:rPr>
          <w:sz w:val="20"/>
          <w:szCs w:val="20"/>
          <w:color w:val="auto"/>
        </w:rPr>
      </w:pPr>
    </w:p>
    <w:tbl>
      <w:tblPr>
        <w:tblLayout w:type="fixed"/>
        <w:tblInd w:w="40" w:type="dxa"/>
        <w:tblCellMar>
          <w:top w:w="0" w:type="dxa"/>
          <w:left w:w="0" w:type="dxa"/>
          <w:bottom w:w="0" w:type="dxa"/>
          <w:right w:w="0" w:type="dxa"/>
        </w:tblCellMar>
      </w:tblPr>
      <w:tr>
        <w:trPr>
          <w:trHeight w:val="184"/>
        </w:trPr>
        <w:tc>
          <w:tcPr>
            <w:tcW w:w="704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The following table summarizes the net carrying value of the term loan (dollars in thousands):</w:t>
            </w:r>
          </w:p>
        </w:tc>
        <w:tc>
          <w:tcPr>
            <w:tcW w:w="30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760" w:type="dxa"/>
            <w:vAlign w:val="bottom"/>
          </w:tcPr>
          <w:p>
            <w:pPr>
              <w:spacing w:after="0"/>
              <w:rPr>
                <w:sz w:val="16"/>
                <w:szCs w:val="16"/>
                <w:color w:val="auto"/>
              </w:rPr>
            </w:pPr>
          </w:p>
        </w:tc>
      </w:tr>
      <w:tr>
        <w:trPr>
          <w:trHeight w:val="203"/>
        </w:trPr>
        <w:tc>
          <w:tcPr>
            <w:tcW w:w="70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4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January 25, 2025</w:t>
            </w:r>
          </w:p>
        </w:tc>
        <w:tc>
          <w:tcPr>
            <w:tcW w:w="280" w:type="dxa"/>
            <w:vAlign w:val="bottom"/>
          </w:tcPr>
          <w:p>
            <w:pPr>
              <w:spacing w:after="0"/>
              <w:rPr>
                <w:sz w:val="17"/>
                <w:szCs w:val="17"/>
                <w:color w:val="auto"/>
              </w:rPr>
            </w:pPr>
          </w:p>
        </w:tc>
        <w:tc>
          <w:tcPr>
            <w:tcW w:w="1760" w:type="dxa"/>
            <w:vAlign w:val="bottom"/>
          </w:tcPr>
          <w:p>
            <w:pPr>
              <w:jc w:val="right"/>
              <w:ind w:right="449"/>
              <w:spacing w:after="0"/>
              <w:rPr>
                <w:sz w:val="20"/>
                <w:szCs w:val="20"/>
                <w:color w:val="auto"/>
              </w:rPr>
            </w:pPr>
            <w:r>
              <w:rPr>
                <w:rFonts w:ascii="Times New Roman" w:cs="Times New Roman" w:eastAsia="Times New Roman" w:hAnsi="Times New Roman"/>
                <w:sz w:val="14"/>
                <w:szCs w:val="14"/>
                <w:b w:val="1"/>
                <w:bCs w:val="1"/>
                <w:color w:val="auto"/>
              </w:rPr>
              <w:t>January 27, 2024</w:t>
            </w:r>
          </w:p>
        </w:tc>
      </w:tr>
      <w:tr>
        <w:trPr>
          <w:trHeight w:val="180"/>
        </w:trPr>
        <w:tc>
          <w:tcPr>
            <w:tcW w:w="70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Principal amount of term loan</w:t>
            </w:r>
          </w:p>
        </w:tc>
        <w:tc>
          <w:tcPr>
            <w:tcW w:w="300" w:type="dxa"/>
            <w:vAlign w:val="bottom"/>
            <w:tcBorders>
              <w:top w:val="single" w:sz="8" w:color="auto"/>
            </w:tcBorders>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450,000</w:t>
            </w:r>
          </w:p>
        </w:tc>
        <w:tc>
          <w:tcPr>
            <w:tcW w:w="10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auto"/>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315,000</w:t>
            </w:r>
          </w:p>
        </w:tc>
      </w:tr>
      <w:tr>
        <w:trPr>
          <w:trHeight w:val="182"/>
        </w:trPr>
        <w:tc>
          <w:tcPr>
            <w:tcW w:w="70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color w:val="auto"/>
              </w:rPr>
              <w:t>Less: Debt issuance costs</w:t>
            </w:r>
          </w:p>
        </w:tc>
        <w:tc>
          <w:tcPr>
            <w:tcW w:w="300" w:type="dxa"/>
            <w:vAlign w:val="bottom"/>
            <w:tcBorders>
              <w:bottom w:val="single" w:sz="8" w:color="auto"/>
            </w:tcBorders>
          </w:tcPr>
          <w:p>
            <w:pPr>
              <w:spacing w:after="0"/>
              <w:rPr>
                <w:sz w:val="15"/>
                <w:szCs w:val="15"/>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(2,885)</w:t>
            </w:r>
          </w:p>
        </w:tc>
        <w:tc>
          <w:tcPr>
            <w:tcW w:w="1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(1,265)</w:t>
            </w:r>
          </w:p>
        </w:tc>
      </w:tr>
      <w:tr>
        <w:trPr>
          <w:trHeight w:val="205"/>
        </w:trPr>
        <w:tc>
          <w:tcPr>
            <w:tcW w:w="70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carrying amount of term loan</w:t>
            </w:r>
          </w:p>
        </w:tc>
        <w:tc>
          <w:tcPr>
            <w:tcW w:w="300" w:type="dxa"/>
            <w:vAlign w:val="bottom"/>
            <w:tcBorders>
              <w:bottom w:val="single" w:sz="8" w:color="auto"/>
            </w:tcBorders>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447,115</w:t>
            </w:r>
          </w:p>
        </w:tc>
        <w:tc>
          <w:tcPr>
            <w:tcW w:w="10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313,735</w:t>
            </w:r>
          </w:p>
        </w:tc>
      </w:tr>
      <w:tr>
        <w:trPr>
          <w:trHeight w:val="20"/>
        </w:trPr>
        <w:tc>
          <w:tcPr>
            <w:tcW w:w="70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r>
    </w:tbl>
    <w:p>
      <w:pPr>
        <w:spacing w:after="0" w:line="251" w:lineRule="exact"/>
        <w:rPr>
          <w:sz w:val="20"/>
          <w:szCs w:val="20"/>
          <w:color w:val="auto"/>
        </w:rPr>
      </w:pPr>
    </w:p>
    <w:p>
      <w:pPr>
        <w:ind w:right="100" w:firstLine="255"/>
        <w:spacing w:after="0" w:line="258" w:lineRule="auto"/>
        <w:rPr>
          <w:sz w:val="20"/>
          <w:szCs w:val="20"/>
          <w:color w:val="auto"/>
        </w:rPr>
      </w:pPr>
      <w:r>
        <w:rPr>
          <w:rFonts w:ascii="Times New Roman" w:cs="Times New Roman" w:eastAsia="Times New Roman" w:hAnsi="Times New Roman"/>
          <w:sz w:val="14"/>
          <w:szCs w:val="14"/>
          <w:color w:val="auto"/>
        </w:rPr>
        <w:t>Subject to certain conditions, the Credit Agreement provides us with the ability to enter into one or more incremental facilities either by increasing the revolving commitments under the Credit Agreement and/or by establishing one or more additional term loans, up to the sum of (i) $350.0 million and (ii) an aggregate amount such that, after giving effect to such incremental facilities on a pro forma basis (assuming that the amount of the incremental commitments are fully drawn and funded), the consolidated senior secured net leverage ratio does not exceed 2.25 to 1.00. The consolidated senior secured net leverage ratio is the ratio of our consolidated senior secured indebtedness reduced by unrestricted cash and equivalents in excess of $25.0 million to our trailing four-quarter consolidated earnings before interest, taxes, depreciation, and amortization (“EBITDA”), as defined by the Credit Agreement. Borrowings under the Credit Agreement are guaranteed by substantially all of our domestic subsidiaries and secured by 100% of the equity interests of our direct and indirect domestic subsidiaries and 65% of the voting equity interests and 100% of the non-voting interests of our first-tier foreign subsidiaries (subject to customary exceptions).</w:t>
      </w:r>
    </w:p>
    <w:p>
      <w:pPr>
        <w:spacing w:after="0" w:line="168" w:lineRule="exact"/>
        <w:rPr>
          <w:sz w:val="20"/>
          <w:szCs w:val="20"/>
          <w:color w:val="auto"/>
        </w:rPr>
      </w:pPr>
    </w:p>
    <w:p>
      <w:pPr>
        <w:ind w:firstLine="255"/>
        <w:spacing w:after="0" w:line="287" w:lineRule="auto"/>
        <w:rPr>
          <w:sz w:val="20"/>
          <w:szCs w:val="20"/>
          <w:color w:val="auto"/>
        </w:rPr>
      </w:pPr>
      <w:r>
        <w:rPr>
          <w:rFonts w:ascii="Times New Roman" w:cs="Times New Roman" w:eastAsia="Times New Roman" w:hAnsi="Times New Roman"/>
          <w:sz w:val="14"/>
          <w:szCs w:val="14"/>
          <w:color w:val="auto"/>
        </w:rPr>
        <w:t>Under our Credit Agreement, borrowings bear interest at the rates described below based upon our consolidated net leverage ratio, which is the ratio of our consolidated total funded debt reduced by unrestricted cash and equivalents in excess of $25.0 million to our trailing four-quarter consolidated EBITDA, as defined by our Credit Agreement. In addition, we incur</w:t>
      </w:r>
    </w:p>
    <w:p>
      <w:pPr>
        <w:spacing w:after="0" w:line="3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16"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certain fees for unused balances and letters of credit at the rates described below, also based upon our consolidated net leverage ratio.</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Borrowings - Term SOFR Loans</w:t>
            </w:r>
          </w:p>
        </w:tc>
        <w:tc>
          <w:tcPr>
            <w:tcW w:w="7240" w:type="dxa"/>
            <w:vAlign w:val="bottom"/>
            <w:gridSpan w:val="2"/>
            <w:shd w:val="clear" w:color="auto" w:fill="CCEEFF"/>
          </w:tcPr>
          <w:p>
            <w:pPr>
              <w:ind w:left="2160"/>
              <w:spacing w:after="0"/>
              <w:rPr>
                <w:sz w:val="20"/>
                <w:szCs w:val="20"/>
                <w:color w:val="auto"/>
              </w:rPr>
            </w:pPr>
            <w:r>
              <w:rPr>
                <w:rFonts w:ascii="Times New Roman" w:cs="Times New Roman" w:eastAsia="Times New Roman" w:hAnsi="Times New Roman"/>
                <w:sz w:val="14"/>
                <w:szCs w:val="14"/>
                <w:color w:val="auto"/>
              </w:rPr>
              <w:t>1.375%- 2.00% plus Term SOFR</w:t>
            </w:r>
          </w:p>
        </w:tc>
      </w:tr>
      <w:tr>
        <w:trPr>
          <w:trHeight w:val="180"/>
        </w:trPr>
        <w:tc>
          <w:tcPr>
            <w:tcW w:w="4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Borrowings - Base Rate Loans</w:t>
            </w:r>
          </w:p>
        </w:tc>
        <w:tc>
          <w:tcPr>
            <w:tcW w:w="2620" w:type="dxa"/>
            <w:vAlign w:val="bottom"/>
          </w:tcPr>
          <w:p>
            <w:pPr>
              <w:ind w:left="2160"/>
              <w:spacing w:after="0"/>
              <w:rPr>
                <w:sz w:val="20"/>
                <w:szCs w:val="20"/>
                <w:color w:val="auto"/>
              </w:rPr>
            </w:pPr>
            <w:r>
              <w:rPr>
                <w:rFonts w:ascii="Times New Roman" w:cs="Times New Roman" w:eastAsia="Times New Roman" w:hAnsi="Times New Roman"/>
                <w:sz w:val="14"/>
                <w:szCs w:val="14"/>
                <w:color w:val="auto"/>
              </w:rPr>
              <w:t>0.375%</w:t>
            </w:r>
          </w:p>
        </w:tc>
        <w:tc>
          <w:tcPr>
            <w:tcW w:w="4620" w:type="dxa"/>
            <w:vAlign w:val="bottom"/>
          </w:tcPr>
          <w:p>
            <w:pPr>
              <w:ind w:left="20"/>
              <w:spacing w:after="0" w:line="181" w:lineRule="exact"/>
              <w:rPr>
                <w:sz w:val="20"/>
                <w:szCs w:val="20"/>
                <w:color w:val="auto"/>
              </w:rPr>
            </w:pPr>
            <w:r>
              <w:rPr>
                <w:rFonts w:ascii="Times New Roman" w:cs="Times New Roman" w:eastAsia="Times New Roman" w:hAnsi="Times New Roman"/>
                <w:sz w:val="14"/>
                <w:szCs w:val="14"/>
                <w:color w:val="auto"/>
              </w:rPr>
              <w:t>- 1.00% plus Base rate</w:t>
            </w:r>
            <w:r>
              <w:rPr>
                <w:rFonts w:ascii="Times New Roman" w:cs="Times New Roman" w:eastAsia="Times New Roman" w:hAnsi="Times New Roman"/>
                <w:sz w:val="18"/>
                <w:szCs w:val="18"/>
                <w:color w:val="auto"/>
                <w:vertAlign w:val="superscript"/>
              </w:rPr>
              <w:t>(1)</w:t>
            </w:r>
          </w:p>
        </w:tc>
      </w:tr>
      <w:tr>
        <w:trPr>
          <w:trHeight w:val="180"/>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Unused Revolver Commitment</w:t>
            </w:r>
          </w:p>
        </w:tc>
        <w:tc>
          <w:tcPr>
            <w:tcW w:w="7240" w:type="dxa"/>
            <w:vAlign w:val="bottom"/>
            <w:gridSpan w:val="2"/>
            <w:shd w:val="clear" w:color="auto" w:fill="CCEEFF"/>
          </w:tcPr>
          <w:p>
            <w:pPr>
              <w:ind w:left="2160"/>
              <w:spacing w:after="0"/>
              <w:rPr>
                <w:sz w:val="20"/>
                <w:szCs w:val="20"/>
                <w:color w:val="auto"/>
              </w:rPr>
            </w:pPr>
            <w:r>
              <w:rPr>
                <w:rFonts w:ascii="Times New Roman" w:cs="Times New Roman" w:eastAsia="Times New Roman" w:hAnsi="Times New Roman"/>
                <w:sz w:val="14"/>
                <w:szCs w:val="14"/>
                <w:color w:val="auto"/>
              </w:rPr>
              <w:t>0.20% - 0.40%</w:t>
            </w:r>
          </w:p>
        </w:tc>
      </w:tr>
      <w:tr>
        <w:trPr>
          <w:trHeight w:val="180"/>
        </w:trPr>
        <w:tc>
          <w:tcPr>
            <w:tcW w:w="4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Standby Letters of Credit</w:t>
            </w:r>
          </w:p>
        </w:tc>
        <w:tc>
          <w:tcPr>
            <w:tcW w:w="2620" w:type="dxa"/>
            <w:vAlign w:val="bottom"/>
          </w:tcPr>
          <w:p>
            <w:pPr>
              <w:ind w:left="2160"/>
              <w:spacing w:after="0"/>
              <w:rPr>
                <w:sz w:val="20"/>
                <w:szCs w:val="20"/>
                <w:color w:val="auto"/>
              </w:rPr>
            </w:pPr>
            <w:r>
              <w:rPr>
                <w:rFonts w:ascii="Times New Roman" w:cs="Times New Roman" w:eastAsia="Times New Roman" w:hAnsi="Times New Roman"/>
                <w:sz w:val="14"/>
                <w:szCs w:val="14"/>
                <w:color w:val="auto"/>
              </w:rPr>
              <w:t>1.375%</w:t>
            </w:r>
          </w:p>
        </w:tc>
        <w:tc>
          <w:tcPr>
            <w:tcW w:w="4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- 2.00%</w:t>
            </w:r>
          </w:p>
        </w:tc>
      </w:tr>
      <w:tr>
        <w:trPr>
          <w:trHeight w:val="180"/>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Commercial Letters of Credit</w:t>
            </w:r>
          </w:p>
        </w:tc>
        <w:tc>
          <w:tcPr>
            <w:tcW w:w="7240" w:type="dxa"/>
            <w:vAlign w:val="bottom"/>
            <w:gridSpan w:val="2"/>
            <w:shd w:val="clear" w:color="auto" w:fill="CCEEFF"/>
          </w:tcPr>
          <w:p>
            <w:pPr>
              <w:ind w:left="2160"/>
              <w:spacing w:after="0"/>
              <w:rPr>
                <w:sz w:val="20"/>
                <w:szCs w:val="20"/>
                <w:color w:val="auto"/>
              </w:rPr>
            </w:pPr>
            <w:r>
              <w:rPr>
                <w:rFonts w:ascii="Times New Roman" w:cs="Times New Roman" w:eastAsia="Times New Roman" w:hAnsi="Times New Roman"/>
                <w:sz w:val="14"/>
                <w:szCs w:val="14"/>
                <w:color w:val="auto"/>
              </w:rPr>
              <w:t>0.6875% -1.00%</w:t>
            </w:r>
          </w:p>
        </w:tc>
      </w:tr>
    </w:tbl>
    <w:p>
      <w:pPr>
        <w:spacing w:after="0" w:line="251" w:lineRule="exact"/>
        <w:rPr>
          <w:sz w:val="20"/>
          <w:szCs w:val="20"/>
          <w:color w:val="auto"/>
        </w:rPr>
      </w:pPr>
    </w:p>
    <w:p>
      <w:pPr>
        <w:ind w:right="260" w:firstLine="5"/>
        <w:spacing w:after="0" w:line="254" w:lineRule="auto"/>
        <w:tabs>
          <w:tab w:leader="none" w:pos="130" w:val="left"/>
        </w:tabs>
        <w:numPr>
          <w:ilvl w:val="0"/>
          <w:numId w:val="13"/>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3"/>
          <w:szCs w:val="13"/>
          <w:color w:val="auto"/>
        </w:rPr>
        <w:t>Base rate is described in the Credit Agreement as the highest of (i) the Federal Funds Rate plus 0.50%, (ii) the administrative agent’s prime rate, and (iii) the Term Secured Overnight Financing Rate (“SOFR”) plus 1.00% and, if such rate is less than zero, such rate shall be deemed zero. “Term SOFR” will be the published forward-looking SOFR rate for the applicable interest</w:t>
      </w:r>
    </w:p>
    <w:p>
      <w:pPr>
        <w:spacing w:after="0"/>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4"/>
          <w:szCs w:val="14"/>
          <w:color w:val="auto"/>
        </w:rPr>
        <w:t>period plus a 0.10% spread adjustment and if such rate is less than zero, such rate shall be deemed zero.</w:t>
      </w:r>
    </w:p>
    <w:p>
      <w:pPr>
        <w:spacing w:after="0" w:line="18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Standby letters of credit of approximately $47.5 million, issued as part of our insurance program, were outstanding under our Credit Agreement as of both January 25, 2025 and January 27, 2024.</w:t>
      </w:r>
    </w:p>
    <w:p>
      <w:pPr>
        <w:spacing w:after="0" w:line="20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weighted average interest rates and fees for balances under our Credit Agreement as of January 25, 2025 and January 27, 2024 were as follows:</w:t>
      </w:r>
    </w:p>
    <w:p>
      <w:pPr>
        <w:spacing w:after="0" w:line="39" w:lineRule="exact"/>
        <w:rPr>
          <w:sz w:val="20"/>
          <w:szCs w:val="20"/>
          <w:color w:val="auto"/>
        </w:rPr>
      </w:pPr>
    </w:p>
    <w:tbl>
      <w:tblPr>
        <w:tblLayout w:type="fixed"/>
        <w:tblInd w:w="20" w:type="dxa"/>
        <w:tblCellMar>
          <w:top w:w="0" w:type="dxa"/>
          <w:left w:w="0" w:type="dxa"/>
          <w:bottom w:w="0" w:type="dxa"/>
          <w:right w:w="0" w:type="dxa"/>
        </w:tblCellMar>
      </w:tblPr>
      <w:tr>
        <w:trPr>
          <w:trHeight w:val="188"/>
        </w:trPr>
        <w:tc>
          <w:tcPr>
            <w:tcW w:w="7080" w:type="dxa"/>
            <w:vAlign w:val="bottom"/>
          </w:tcPr>
          <w:p>
            <w:pPr>
              <w:spacing w:after="0"/>
              <w:rPr>
                <w:sz w:val="16"/>
                <w:szCs w:val="16"/>
                <w:color w:val="auto"/>
              </w:rPr>
            </w:pPr>
          </w:p>
        </w:tc>
        <w:tc>
          <w:tcPr>
            <w:tcW w:w="4160" w:type="dxa"/>
            <w:vAlign w:val="bottom"/>
            <w:tcBorders>
              <w:bottom w:val="single" w:sz="8" w:color="auto"/>
            </w:tcBorders>
            <w:gridSpan w:val="3"/>
          </w:tcPr>
          <w:p>
            <w:pPr>
              <w:ind w:left="920"/>
              <w:spacing w:after="0"/>
              <w:rPr>
                <w:sz w:val="20"/>
                <w:szCs w:val="20"/>
                <w:color w:val="auto"/>
              </w:rPr>
            </w:pPr>
            <w:r>
              <w:rPr>
                <w:rFonts w:ascii="Times New Roman" w:cs="Times New Roman" w:eastAsia="Times New Roman" w:hAnsi="Times New Roman"/>
                <w:sz w:val="14"/>
                <w:szCs w:val="14"/>
                <w:b w:val="1"/>
                <w:bCs w:val="1"/>
                <w:color w:val="auto"/>
              </w:rPr>
              <w:t>Weighted Average Rate End of Period</w:t>
            </w:r>
          </w:p>
        </w:tc>
      </w:tr>
      <w:tr>
        <w:trPr>
          <w:trHeight w:val="182"/>
        </w:trPr>
        <w:tc>
          <w:tcPr>
            <w:tcW w:w="7080" w:type="dxa"/>
            <w:vAlign w:val="bottom"/>
          </w:tcPr>
          <w:p>
            <w:pPr>
              <w:spacing w:after="0"/>
              <w:rPr>
                <w:sz w:val="15"/>
                <w:szCs w:val="15"/>
                <w:color w:val="auto"/>
              </w:rPr>
            </w:pPr>
          </w:p>
        </w:tc>
        <w:tc>
          <w:tcPr>
            <w:tcW w:w="2120" w:type="dxa"/>
            <w:vAlign w:val="bottom"/>
            <w:gridSpan w:val="2"/>
          </w:tcPr>
          <w:p>
            <w:pPr>
              <w:ind w:left="500"/>
              <w:spacing w:after="0"/>
              <w:rPr>
                <w:sz w:val="20"/>
                <w:szCs w:val="20"/>
                <w:color w:val="auto"/>
              </w:rPr>
            </w:pPr>
            <w:r>
              <w:rPr>
                <w:rFonts w:ascii="Times New Roman" w:cs="Times New Roman" w:eastAsia="Times New Roman" w:hAnsi="Times New Roman"/>
                <w:sz w:val="14"/>
                <w:szCs w:val="14"/>
                <w:b w:val="1"/>
                <w:bCs w:val="1"/>
                <w:color w:val="auto"/>
              </w:rPr>
              <w:t>January 25, 2025</w:t>
            </w:r>
          </w:p>
        </w:tc>
        <w:tc>
          <w:tcPr>
            <w:tcW w:w="2040" w:type="dxa"/>
            <w:vAlign w:val="bottom"/>
          </w:tcPr>
          <w:p>
            <w:pPr>
              <w:ind w:left="500"/>
              <w:spacing w:after="0"/>
              <w:rPr>
                <w:sz w:val="20"/>
                <w:szCs w:val="20"/>
                <w:color w:val="auto"/>
              </w:rPr>
            </w:pPr>
            <w:r>
              <w:rPr>
                <w:rFonts w:ascii="Times New Roman" w:cs="Times New Roman" w:eastAsia="Times New Roman" w:hAnsi="Times New Roman"/>
                <w:sz w:val="14"/>
                <w:szCs w:val="14"/>
                <w:b w:val="1"/>
                <w:bCs w:val="1"/>
                <w:color w:val="auto"/>
              </w:rPr>
              <w:t>January 27, 2024</w:t>
            </w:r>
          </w:p>
        </w:tc>
      </w:tr>
      <w:tr>
        <w:trPr>
          <w:trHeight w:val="180"/>
        </w:trPr>
        <w:tc>
          <w:tcPr>
            <w:tcW w:w="70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Borrowings - Term loan facility</w:t>
            </w:r>
          </w:p>
        </w:tc>
        <w:tc>
          <w:tcPr>
            <w:tcW w:w="20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6.02%</w:t>
            </w:r>
          </w:p>
        </w:tc>
        <w:tc>
          <w:tcPr>
            <w:tcW w:w="100" w:type="dxa"/>
            <w:vAlign w:val="bottom"/>
            <w:tcBorders>
              <w:top w:val="single" w:sz="8" w:color="CCEEFF"/>
            </w:tcBorders>
            <w:shd w:val="clear" w:color="auto" w:fill="CCEEFF"/>
          </w:tcPr>
          <w:p>
            <w:pPr>
              <w:spacing w:after="0"/>
              <w:rPr>
                <w:sz w:val="15"/>
                <w:szCs w:val="15"/>
                <w:color w:val="auto"/>
              </w:rPr>
            </w:pPr>
          </w:p>
        </w:tc>
        <w:tc>
          <w:tcPr>
            <w:tcW w:w="20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7.06%</w:t>
            </w:r>
          </w:p>
        </w:tc>
      </w:tr>
      <w:tr>
        <w:trPr>
          <w:trHeight w:val="180"/>
        </w:trPr>
        <w:tc>
          <w:tcPr>
            <w:tcW w:w="7080" w:type="dxa"/>
            <w:vAlign w:val="bottom"/>
          </w:tcPr>
          <w:p>
            <w:pPr>
              <w:ind w:left="20"/>
              <w:spacing w:after="0" w:line="181" w:lineRule="exact"/>
              <w:rPr>
                <w:sz w:val="20"/>
                <w:szCs w:val="20"/>
                <w:color w:val="auto"/>
              </w:rPr>
            </w:pPr>
            <w:r>
              <w:rPr>
                <w:rFonts w:ascii="Times New Roman" w:cs="Times New Roman" w:eastAsia="Times New Roman" w:hAnsi="Times New Roman"/>
                <w:sz w:val="14"/>
                <w:szCs w:val="14"/>
                <w:color w:val="auto"/>
              </w:rPr>
              <w:t>Borrowings - Revolving facility</w:t>
            </w:r>
            <w:r>
              <w:rPr>
                <w:rFonts w:ascii="Times New Roman" w:cs="Times New Roman" w:eastAsia="Times New Roman" w:hAnsi="Times New Roman"/>
                <w:sz w:val="18"/>
                <w:szCs w:val="18"/>
                <w:color w:val="auto"/>
                <w:vertAlign w:val="superscript"/>
              </w:rPr>
              <w:t>(1)</w:t>
            </w:r>
          </w:p>
        </w:tc>
        <w:tc>
          <w:tcPr>
            <w:tcW w:w="21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w:t>
            </w:r>
          </w:p>
        </w:tc>
        <w:tc>
          <w:tcPr>
            <w:tcW w:w="20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7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Standby Letters of Credit</w:t>
            </w:r>
          </w:p>
        </w:tc>
        <w:tc>
          <w:tcPr>
            <w:tcW w:w="2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1.63%</w:t>
            </w:r>
          </w:p>
        </w:tc>
        <w:tc>
          <w:tcPr>
            <w:tcW w:w="100" w:type="dxa"/>
            <w:vAlign w:val="bottom"/>
            <w:shd w:val="clear" w:color="auto" w:fill="CCEEFF"/>
          </w:tcPr>
          <w:p>
            <w:pPr>
              <w:spacing w:after="0"/>
              <w:rPr>
                <w:sz w:val="15"/>
                <w:szCs w:val="15"/>
                <w:color w:val="auto"/>
              </w:rPr>
            </w:pPr>
          </w:p>
        </w:tc>
        <w:tc>
          <w:tcPr>
            <w:tcW w:w="2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1.63%</w:t>
            </w:r>
          </w:p>
        </w:tc>
      </w:tr>
      <w:tr>
        <w:trPr>
          <w:trHeight w:val="184"/>
        </w:trPr>
        <w:tc>
          <w:tcPr>
            <w:tcW w:w="7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Unused Revolver Commitment</w:t>
            </w:r>
          </w:p>
        </w:tc>
        <w:tc>
          <w:tcPr>
            <w:tcW w:w="20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0.30%</w:t>
            </w:r>
          </w:p>
        </w:tc>
        <w:tc>
          <w:tcPr>
            <w:tcW w:w="100" w:type="dxa"/>
            <w:vAlign w:val="bottom"/>
          </w:tcPr>
          <w:p>
            <w:pPr>
              <w:spacing w:after="0"/>
              <w:rPr>
                <w:sz w:val="16"/>
                <w:szCs w:val="16"/>
                <w:color w:val="auto"/>
              </w:rPr>
            </w:pPr>
          </w:p>
        </w:tc>
        <w:tc>
          <w:tcPr>
            <w:tcW w:w="20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0.30%</w:t>
            </w:r>
          </w:p>
        </w:tc>
      </w:tr>
    </w:tbl>
    <w:p>
      <w:pPr>
        <w:spacing w:after="0" w:line="225" w:lineRule="exact"/>
        <w:rPr>
          <w:sz w:val="20"/>
          <w:szCs w:val="20"/>
          <w:color w:val="auto"/>
        </w:rPr>
      </w:pPr>
    </w:p>
    <w:p>
      <w:pPr>
        <w:ind w:left="140" w:hanging="135"/>
        <w:spacing w:after="0"/>
        <w:tabs>
          <w:tab w:leader="none" w:pos="140" w:val="left"/>
        </w:tabs>
        <w:numPr>
          <w:ilvl w:val="0"/>
          <w:numId w:val="14"/>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There were no outstanding borrowings under our revolving facility as of January 25, 2025 and January 27, 2024.</w:t>
      </w:r>
    </w:p>
    <w:p>
      <w:pPr>
        <w:spacing w:after="0" w:line="177" w:lineRule="exact"/>
        <w:rPr>
          <w:sz w:val="20"/>
          <w:szCs w:val="20"/>
          <w:color w:val="auto"/>
        </w:rPr>
      </w:pPr>
    </w:p>
    <w:p>
      <w:pPr>
        <w:ind w:right="20" w:firstLine="255"/>
        <w:spacing w:after="0" w:line="258" w:lineRule="auto"/>
        <w:rPr>
          <w:sz w:val="20"/>
          <w:szCs w:val="20"/>
          <w:color w:val="auto"/>
        </w:rPr>
      </w:pPr>
      <w:r>
        <w:rPr>
          <w:rFonts w:ascii="Times New Roman" w:cs="Times New Roman" w:eastAsia="Times New Roman" w:hAnsi="Times New Roman"/>
          <w:sz w:val="14"/>
          <w:szCs w:val="14"/>
          <w:color w:val="auto"/>
        </w:rPr>
        <w:t>Our Credit Agreement contains a financial covenant that requires us to maintain a consolidated net leverage ratio of not greater than 3.50 to 1.00, as measured at the end of each fiscal quarter, and provides for certain increases to this ratio in connection with permitted acquisitions. The consolidated net leverage ratio is the ratio of our consolidated indebtedness reduced by unrestricted cash and cash equivalents in excess of $25.0 million to our trailing four-quarter consolidated earnings before interest, taxes, depreciation, and amortization as defined by our Credit Agreement. The agreement also contains a financial covenant that requires us to maintain a consolidated interest coverage ratio, which is the ratio of our trailing four-quarter consolidated EBITDA to our consolidated interest expense, each as defined by our Credit Agreement, of not less than 3.00 to 1.00, as measured at the end of each fiscal quarter. At January 25, 2025 and January 27, 2024, we were in compliance with the financial covenants of our Credit Agreement and had borrowing availability under our revolving facility of $602.5 million, as determined by the most restrictive covenant. For calculation purposes, applicable cash on hand is netted against the funded debt amount as permitted in the Credit Agreement.</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4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color w:val="auto"/>
        </w:rPr>
        <w:t>4.50% Senior Notes due 2029</w:t>
      </w:r>
    </w:p>
    <w:p>
      <w:pPr>
        <w:spacing w:after="0" w:line="202" w:lineRule="exact"/>
        <w:rPr>
          <w:sz w:val="20"/>
          <w:szCs w:val="20"/>
          <w:color w:val="auto"/>
        </w:rPr>
      </w:pPr>
    </w:p>
    <w:p>
      <w:pPr>
        <w:ind w:right="180" w:firstLine="255"/>
        <w:spacing w:after="0" w:line="287" w:lineRule="auto"/>
        <w:rPr>
          <w:sz w:val="20"/>
          <w:szCs w:val="20"/>
          <w:color w:val="auto"/>
        </w:rPr>
      </w:pPr>
      <w:r>
        <w:rPr>
          <w:rFonts w:ascii="Times New Roman" w:cs="Times New Roman" w:eastAsia="Times New Roman" w:hAnsi="Times New Roman"/>
          <w:sz w:val="14"/>
          <w:szCs w:val="14"/>
          <w:color w:val="auto"/>
        </w:rPr>
        <w:t>On April 1, 2021, we issued $500.0 million aggregate principal amount of 4.50% senior notes due 2029 (the “2029 Notes”). The 2029 Notes are guaranteed on a senior unsecured basis, jointly and severally, by all of our domestic subsidiaries that guarantee the Credit Agreement.</w:t>
      </w:r>
    </w:p>
    <w:p>
      <w:pPr>
        <w:spacing w:after="0" w:line="145" w:lineRule="exact"/>
        <w:rPr>
          <w:sz w:val="20"/>
          <w:szCs w:val="20"/>
          <w:color w:val="auto"/>
        </w:rPr>
      </w:pPr>
    </w:p>
    <w:p>
      <w:pPr>
        <w:ind w:right="20" w:firstLine="255"/>
        <w:spacing w:after="0" w:line="261" w:lineRule="auto"/>
        <w:rPr>
          <w:sz w:val="20"/>
          <w:szCs w:val="20"/>
          <w:color w:val="auto"/>
        </w:rPr>
      </w:pPr>
      <w:r>
        <w:rPr>
          <w:rFonts w:ascii="Times New Roman" w:cs="Times New Roman" w:eastAsia="Times New Roman" w:hAnsi="Times New Roman"/>
          <w:sz w:val="14"/>
          <w:szCs w:val="14"/>
          <w:color w:val="auto"/>
        </w:rPr>
        <w:t>The indenture governing the 2029 Notes contains certain covenants that limit, among other things, our ability and the ability of certain of our subsidiaries to (i) incur additional debt and issue certain preferred stock, (ii) pay certain dividends on, repurchase, or make distributions in respect of, our and our subsidiaries’ capital stock or make other payments restricted by the indenture, (iii) enter into agreements that place limitations on distributions made from certain of our subsidiaries, (iv) guarantee certain debt, (v) make certain investments, (vi) sell or exchange certain assets, (vii) enter into transactions with affiliates, (viii) create certain liens, and (ix) consolidate, merge or transfer all or substantially all of our or our Subsidiaries’ assets. These covenants are subject to a number of exceptions, limitations and qualifications as set forth in the indenture governing the 2029 Notes.</w:t>
      </w:r>
    </w:p>
    <w:p>
      <w:pPr>
        <w:spacing w:after="0" w:line="164"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70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The following table summarizes the net carrying value of the 2029 Notes (dollars in thousands):</w:t>
            </w:r>
          </w:p>
        </w:tc>
        <w:tc>
          <w:tcPr>
            <w:tcW w:w="28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740" w:type="dxa"/>
            <w:vAlign w:val="bottom"/>
          </w:tcPr>
          <w:p>
            <w:pPr>
              <w:spacing w:after="0"/>
              <w:rPr>
                <w:sz w:val="16"/>
                <w:szCs w:val="16"/>
                <w:color w:val="auto"/>
              </w:rPr>
            </w:pPr>
          </w:p>
        </w:tc>
      </w:tr>
      <w:tr>
        <w:trPr>
          <w:trHeight w:val="203"/>
        </w:trPr>
        <w:tc>
          <w:tcPr>
            <w:tcW w:w="70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4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January 25, 2025</w:t>
            </w:r>
          </w:p>
        </w:tc>
        <w:tc>
          <w:tcPr>
            <w:tcW w:w="300" w:type="dxa"/>
            <w:vAlign w:val="bottom"/>
          </w:tcPr>
          <w:p>
            <w:pPr>
              <w:spacing w:after="0"/>
              <w:rPr>
                <w:sz w:val="17"/>
                <w:szCs w:val="17"/>
                <w:color w:val="auto"/>
              </w:rPr>
            </w:pPr>
          </w:p>
        </w:tc>
        <w:tc>
          <w:tcPr>
            <w:tcW w:w="1740" w:type="dxa"/>
            <w:vAlign w:val="bottom"/>
          </w:tcPr>
          <w:p>
            <w:pPr>
              <w:jc w:val="right"/>
              <w:ind w:right="429"/>
              <w:spacing w:after="0"/>
              <w:rPr>
                <w:sz w:val="20"/>
                <w:szCs w:val="20"/>
                <w:color w:val="auto"/>
              </w:rPr>
            </w:pPr>
            <w:r>
              <w:rPr>
                <w:rFonts w:ascii="Times New Roman" w:cs="Times New Roman" w:eastAsia="Times New Roman" w:hAnsi="Times New Roman"/>
                <w:sz w:val="14"/>
                <w:szCs w:val="14"/>
                <w:b w:val="1"/>
                <w:bCs w:val="1"/>
                <w:color w:val="auto"/>
              </w:rPr>
              <w:t>January 27, 2024</w:t>
            </w:r>
          </w:p>
        </w:tc>
      </w:tr>
      <w:tr>
        <w:trPr>
          <w:trHeight w:val="180"/>
        </w:trPr>
        <w:tc>
          <w:tcPr>
            <w:tcW w:w="70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Principal amount of 2029 Notes</w:t>
            </w:r>
          </w:p>
        </w:tc>
        <w:tc>
          <w:tcPr>
            <w:tcW w:w="280" w:type="dxa"/>
            <w:vAlign w:val="bottom"/>
            <w:tcBorders>
              <w:top w:val="single" w:sz="8" w:color="auto"/>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500,000</w:t>
            </w:r>
          </w:p>
        </w:tc>
        <w:tc>
          <w:tcPr>
            <w:tcW w:w="100" w:type="dxa"/>
            <w:vAlign w:val="bottom"/>
            <w:tcBorders>
              <w:top w:val="single" w:sz="8" w:color="CCEEFF"/>
            </w:tcBorders>
            <w:shd w:val="clear" w:color="auto" w:fill="CCEEFF"/>
          </w:tcPr>
          <w:p>
            <w:pPr>
              <w:spacing w:after="0"/>
              <w:rPr>
                <w:sz w:val="15"/>
                <w:szCs w:val="15"/>
                <w:color w:val="auto"/>
              </w:rPr>
            </w:pPr>
          </w:p>
        </w:tc>
        <w:tc>
          <w:tcPr>
            <w:tcW w:w="300" w:type="dxa"/>
            <w:vAlign w:val="bottom"/>
            <w:tcBorders>
              <w:top w:val="single" w:sz="8" w:color="auto"/>
            </w:tcBorders>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500,000</w:t>
            </w:r>
          </w:p>
        </w:tc>
      </w:tr>
      <w:tr>
        <w:trPr>
          <w:trHeight w:val="180"/>
        </w:trPr>
        <w:tc>
          <w:tcPr>
            <w:tcW w:w="70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Less: Debt issuance costs</w:t>
            </w:r>
          </w:p>
        </w:tc>
        <w:tc>
          <w:tcPr>
            <w:tcW w:w="280" w:type="dxa"/>
            <w:vAlign w:val="bottom"/>
            <w:tcBorders>
              <w:bottom w:val="single" w:sz="8" w:color="auto"/>
            </w:tcBorders>
          </w:tcPr>
          <w:p>
            <w:pPr>
              <w:spacing w:after="0"/>
              <w:rPr>
                <w:sz w:val="15"/>
                <w:szCs w:val="15"/>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(3,903)</w:t>
            </w:r>
          </w:p>
        </w:tc>
        <w:tc>
          <w:tcPr>
            <w:tcW w:w="10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(4,820)</w:t>
            </w:r>
          </w:p>
        </w:tc>
      </w:tr>
      <w:tr>
        <w:trPr>
          <w:trHeight w:val="196"/>
        </w:trPr>
        <w:tc>
          <w:tcPr>
            <w:tcW w:w="7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carrying amount of 2029 Notes</w:t>
            </w:r>
          </w:p>
        </w:tc>
        <w:tc>
          <w:tcPr>
            <w:tcW w:w="280" w:type="dxa"/>
            <w:vAlign w:val="bottom"/>
            <w:tcBorders>
              <w:bottom w:val="single" w:sz="8" w:color="auto"/>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496,097</w:t>
            </w:r>
          </w:p>
        </w:tc>
        <w:tc>
          <w:tcPr>
            <w:tcW w:w="10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495,180</w:t>
            </w:r>
          </w:p>
        </w:tc>
      </w:tr>
      <w:tr>
        <w:trPr>
          <w:trHeight w:val="20"/>
        </w:trPr>
        <w:tc>
          <w:tcPr>
            <w:tcW w:w="70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r>
    </w:tbl>
    <w:p>
      <w:pPr>
        <w:spacing w:after="0" w:line="251"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The following table summarizes the fair value of the 2029 Notes, net of debt issuance costs. The fair value of the 2029 Notes is based on the closing trading price per $100 of the 2029 Notes as of the last day of trading (Level 2), which was $94.65 and $92.49 as of January 25, 2025 and January 27, 2024, respectively (dollars in thousands):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20" w:type="dxa"/>
            <w:vAlign w:val="bottom"/>
          </w:tcPr>
          <w:p>
            <w:pPr>
              <w:spacing w:after="0"/>
              <w:rPr>
                <w:sz w:val="16"/>
                <w:szCs w:val="16"/>
                <w:color w:val="auto"/>
              </w:rPr>
            </w:pPr>
          </w:p>
        </w:tc>
        <w:tc>
          <w:tcPr>
            <w:tcW w:w="5700" w:type="dxa"/>
            <w:vAlign w:val="bottom"/>
            <w:tcBorders>
              <w:bottom w:val="single" w:sz="8" w:color="CCEEFF"/>
            </w:tcBorders>
          </w:tcPr>
          <w:p>
            <w:pPr>
              <w:spacing w:after="0"/>
              <w:rPr>
                <w:sz w:val="16"/>
                <w:szCs w:val="16"/>
                <w:color w:val="auto"/>
              </w:rPr>
            </w:pPr>
          </w:p>
        </w:tc>
        <w:tc>
          <w:tcPr>
            <w:tcW w:w="220" w:type="dxa"/>
            <w:vAlign w:val="bottom"/>
            <w:tcBorders>
              <w:bottom w:val="single" w:sz="8" w:color="CCEEFF"/>
            </w:tcBorders>
          </w:tcPr>
          <w:p>
            <w:pPr>
              <w:spacing w:after="0"/>
              <w:rPr>
                <w:sz w:val="16"/>
                <w:szCs w:val="16"/>
                <w:color w:val="auto"/>
              </w:rPr>
            </w:pPr>
          </w:p>
        </w:tc>
        <w:tc>
          <w:tcPr>
            <w:tcW w:w="116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January 25, 2025</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January 27, 2024</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5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Fair value of principal amount of 2029 Notes</w:t>
            </w:r>
          </w:p>
        </w:tc>
        <w:tc>
          <w:tcPr>
            <w:tcW w:w="22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380" w:type="dxa"/>
            <w:vAlign w:val="bottom"/>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473,250</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640" w:type="dxa"/>
            <w:vAlign w:val="bottom"/>
            <w:gridSpan w:val="2"/>
            <w:shd w:val="clear" w:color="auto" w:fill="CCEEFF"/>
          </w:tcPr>
          <w:p>
            <w:pPr>
              <w:ind w:left="1120"/>
              <w:spacing w:after="0"/>
              <w:rPr>
                <w:sz w:val="20"/>
                <w:szCs w:val="20"/>
                <w:color w:val="auto"/>
              </w:rPr>
            </w:pPr>
            <w:r>
              <w:rPr>
                <w:rFonts w:ascii="Times New Roman" w:cs="Times New Roman" w:eastAsia="Times New Roman" w:hAnsi="Times New Roman"/>
                <w:sz w:val="14"/>
                <w:szCs w:val="14"/>
                <w:color w:val="auto"/>
              </w:rPr>
              <w:t>462,450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5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Less: Debt issuance costs</w:t>
            </w:r>
          </w:p>
        </w:tc>
        <w:tc>
          <w:tcPr>
            <w:tcW w:w="220" w:type="dxa"/>
            <w:vAlign w:val="bottom"/>
            <w:tcBorders>
              <w:bottom w:val="single" w:sz="8" w:color="CCEEFF"/>
            </w:tcBorders>
          </w:tcPr>
          <w:p>
            <w:pPr>
              <w:spacing w:after="0"/>
              <w:rPr>
                <w:sz w:val="15"/>
                <w:szCs w:val="15"/>
                <w:color w:val="auto"/>
              </w:rPr>
            </w:pPr>
          </w:p>
        </w:tc>
        <w:tc>
          <w:tcPr>
            <w:tcW w:w="116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(3,903)</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64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(4,820)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5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Fair value of 2029 Notes</w:t>
            </w:r>
          </w:p>
        </w:tc>
        <w:tc>
          <w:tcPr>
            <w:tcW w:w="220" w:type="dxa"/>
            <w:vAlign w:val="bottom"/>
            <w:tcBorders>
              <w:bottom w:val="single" w:sz="8" w:color="CCEEFF"/>
            </w:tcBorders>
            <w:shd w:val="clear" w:color="auto" w:fill="CCEEFF"/>
          </w:tcPr>
          <w:p>
            <w:pPr>
              <w:spacing w:after="0"/>
              <w:rPr>
                <w:sz w:val="15"/>
                <w:szCs w:val="15"/>
                <w:color w:val="auto"/>
              </w:rPr>
            </w:pPr>
          </w:p>
        </w:tc>
        <w:tc>
          <w:tcPr>
            <w:tcW w:w="116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auto"/>
            </w:tcBorders>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80" w:type="dxa"/>
            <w:vAlign w:val="bottom"/>
            <w:tcBorders>
              <w:bottom w:val="single" w:sz="8" w:color="auto"/>
            </w:tcBorders>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469,347</w:t>
            </w: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 w:type="dxa"/>
            <w:vAlign w:val="bottom"/>
            <w:tcBorders>
              <w:bottom w:val="single" w:sz="8" w:color="auto"/>
            </w:tcBorders>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1640" w:type="dxa"/>
            <w:vAlign w:val="bottom"/>
            <w:tcBorders>
              <w:bottom w:val="single" w:sz="8" w:color="auto"/>
            </w:tcBorders>
            <w:gridSpan w:val="2"/>
            <w:shd w:val="clear" w:color="auto" w:fill="CCEEFF"/>
          </w:tcPr>
          <w:p>
            <w:pPr>
              <w:ind w:left="1120"/>
              <w:spacing w:after="0"/>
              <w:rPr>
                <w:sz w:val="20"/>
                <w:szCs w:val="20"/>
                <w:color w:val="auto"/>
              </w:rPr>
            </w:pPr>
            <w:r>
              <w:rPr>
                <w:rFonts w:ascii="Times New Roman" w:cs="Times New Roman" w:eastAsia="Times New Roman" w:hAnsi="Times New Roman"/>
                <w:sz w:val="14"/>
                <w:szCs w:val="14"/>
                <w:color w:val="auto"/>
              </w:rPr>
              <w:t>457,630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0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60" w:type="dxa"/>
            <w:vAlign w:val="bottom"/>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3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5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57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i w:val="1"/>
                <w:iCs w:val="1"/>
                <w:color w:val="auto"/>
              </w:rPr>
              <w:t>15. Income Taxes</w:t>
            </w:r>
          </w:p>
        </w:tc>
        <w:tc>
          <w:tcPr>
            <w:tcW w:w="2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5720" w:type="dxa"/>
            <w:vAlign w:val="bottom"/>
            <w:gridSpan w:val="2"/>
            <w:vMerge w:val="continue"/>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1"/>
        </w:trPr>
        <w:tc>
          <w:tcPr>
            <w:tcW w:w="20" w:type="dxa"/>
            <w:vAlign w:val="bottom"/>
          </w:tcPr>
          <w:p>
            <w:pPr>
              <w:spacing w:after="0"/>
              <w:rPr>
                <w:sz w:val="24"/>
                <w:szCs w:val="24"/>
                <w:color w:val="auto"/>
              </w:rPr>
            </w:pPr>
          </w:p>
        </w:tc>
        <w:tc>
          <w:tcPr>
            <w:tcW w:w="570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The components of the provision for income taxes were as follows (dollars in thousands):</w:t>
            </w: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7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b w:val="1"/>
                <w:bCs w:val="1"/>
                <w:color w:val="auto"/>
              </w:rPr>
              <w:t>Fiscal Year Ended</w:t>
            </w: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57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20" w:type="dxa"/>
            <w:vAlign w:val="bottom"/>
            <w:gridSpan w:val="3"/>
          </w:tcPr>
          <w:p>
            <w:pPr>
              <w:ind w:left="140"/>
              <w:spacing w:after="0"/>
              <w:rPr>
                <w:sz w:val="20"/>
                <w:szCs w:val="20"/>
                <w:color w:val="auto"/>
              </w:rPr>
            </w:pPr>
            <w:r>
              <w:rPr>
                <w:rFonts w:ascii="Times New Roman" w:cs="Times New Roman" w:eastAsia="Times New Roman" w:hAnsi="Times New Roman"/>
                <w:sz w:val="14"/>
                <w:szCs w:val="14"/>
                <w:b w:val="1"/>
                <w:bCs w:val="1"/>
                <w:color w:val="auto"/>
              </w:rPr>
              <w:t>January 25, 2025</w:t>
            </w:r>
          </w:p>
        </w:tc>
        <w:tc>
          <w:tcPr>
            <w:tcW w:w="220" w:type="dxa"/>
            <w:vAlign w:val="bottom"/>
          </w:tcPr>
          <w:p>
            <w:pPr>
              <w:spacing w:after="0"/>
              <w:rPr>
                <w:sz w:val="15"/>
                <w:szCs w:val="15"/>
                <w:color w:val="auto"/>
              </w:rPr>
            </w:pPr>
          </w:p>
        </w:tc>
        <w:tc>
          <w:tcPr>
            <w:tcW w:w="1340" w:type="dxa"/>
            <w:vAlign w:val="bottom"/>
          </w:tcPr>
          <w:p>
            <w:pPr>
              <w:jc w:val="right"/>
              <w:ind w:right="89"/>
              <w:spacing w:after="0"/>
              <w:rPr>
                <w:sz w:val="20"/>
                <w:szCs w:val="20"/>
                <w:color w:val="auto"/>
              </w:rPr>
            </w:pPr>
            <w:r>
              <w:rPr>
                <w:rFonts w:ascii="Times New Roman" w:cs="Times New Roman" w:eastAsia="Times New Roman" w:hAnsi="Times New Roman"/>
                <w:sz w:val="14"/>
                <w:szCs w:val="14"/>
                <w:b w:val="1"/>
                <w:bCs w:val="1"/>
                <w:color w:val="auto"/>
              </w:rPr>
              <w:t>January 27, 2024</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60" w:type="dxa"/>
            <w:vAlign w:val="bottom"/>
          </w:tcPr>
          <w:p>
            <w:pPr>
              <w:jc w:val="right"/>
              <w:ind w:right="289"/>
              <w:spacing w:after="0"/>
              <w:rPr>
                <w:sz w:val="20"/>
                <w:szCs w:val="20"/>
                <w:color w:val="auto"/>
              </w:rPr>
            </w:pPr>
            <w:r>
              <w:rPr>
                <w:rFonts w:ascii="Times New Roman" w:cs="Times New Roman" w:eastAsia="Times New Roman" w:hAnsi="Times New Roman"/>
                <w:sz w:val="14"/>
                <w:szCs w:val="14"/>
                <w:b w:val="1"/>
                <w:bCs w:val="1"/>
                <w:color w:val="auto"/>
              </w:rPr>
              <w:t>January 28, 2023</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57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Current:</w:t>
            </w:r>
          </w:p>
        </w:tc>
        <w:tc>
          <w:tcPr>
            <w:tcW w:w="220" w:type="dxa"/>
            <w:vAlign w:val="bottom"/>
            <w:tcBorders>
              <w:top w:val="single" w:sz="8" w:color="auto"/>
            </w:tcBorders>
          </w:tcPr>
          <w:p>
            <w:pPr>
              <w:spacing w:after="0"/>
              <w:rPr>
                <w:sz w:val="14"/>
                <w:szCs w:val="14"/>
                <w:color w:val="auto"/>
              </w:rPr>
            </w:pPr>
          </w:p>
        </w:tc>
        <w:tc>
          <w:tcPr>
            <w:tcW w:w="1160" w:type="dxa"/>
            <w:vAlign w:val="bottom"/>
            <w:tcBorders>
              <w:top w:val="single" w:sz="8" w:color="auto"/>
            </w:tcBorders>
          </w:tcPr>
          <w:p>
            <w:pPr>
              <w:spacing w:after="0"/>
              <w:rPr>
                <w:sz w:val="14"/>
                <w:szCs w:val="14"/>
                <w:color w:val="auto"/>
              </w:rPr>
            </w:pPr>
          </w:p>
        </w:tc>
        <w:tc>
          <w:tcPr>
            <w:tcW w:w="38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34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56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20" w:type="dxa"/>
            <w:vAlign w:val="bottom"/>
            <w:shd w:val="clear" w:color="auto" w:fill="CCEEFF"/>
          </w:tcPr>
          <w:p>
            <w:pPr>
              <w:spacing w:after="0"/>
              <w:rPr>
                <w:sz w:val="15"/>
                <w:szCs w:val="15"/>
                <w:color w:val="auto"/>
              </w:rPr>
            </w:pPr>
          </w:p>
        </w:tc>
        <w:tc>
          <w:tcPr>
            <w:tcW w:w="57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Federal</w:t>
            </w:r>
          </w:p>
        </w:tc>
        <w:tc>
          <w:tcPr>
            <w:tcW w:w="22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73,398</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5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65,540</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24,917</w:t>
            </w: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570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Foreign</w:t>
            </w:r>
          </w:p>
        </w:tc>
        <w:tc>
          <w:tcPr>
            <w:tcW w:w="2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4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w w:val="99"/>
              </w:rPr>
              <w:t>13</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shd w:val="clear" w:color="auto" w:fill="CCEEFF"/>
          </w:tcPr>
          <w:p>
            <w:pPr>
              <w:spacing w:after="0"/>
              <w:rPr>
                <w:sz w:val="15"/>
                <w:szCs w:val="15"/>
                <w:color w:val="auto"/>
              </w:rPr>
            </w:pPr>
          </w:p>
        </w:tc>
        <w:tc>
          <w:tcPr>
            <w:tcW w:w="57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State</w:t>
            </w:r>
          </w:p>
        </w:tc>
        <w:tc>
          <w:tcPr>
            <w:tcW w:w="220" w:type="dxa"/>
            <w:vAlign w:val="bottom"/>
            <w:tcBorders>
              <w:bottom w:val="single" w:sz="8" w:color="auto"/>
            </w:tcBorders>
            <w:shd w:val="clear" w:color="auto" w:fill="CCEEFF"/>
          </w:tcPr>
          <w:p>
            <w:pPr>
              <w:spacing w:after="0"/>
              <w:rPr>
                <w:sz w:val="15"/>
                <w:szCs w:val="15"/>
                <w:color w:val="auto"/>
              </w:rPr>
            </w:pPr>
          </w:p>
        </w:tc>
        <w:tc>
          <w:tcPr>
            <w:tcW w:w="15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18,369</w:t>
            </w:r>
          </w:p>
        </w:tc>
        <w:tc>
          <w:tcPr>
            <w:tcW w:w="8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156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18,166</w:t>
            </w:r>
          </w:p>
        </w:tc>
        <w:tc>
          <w:tcPr>
            <w:tcW w:w="8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8,460</w:t>
            </w: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57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Deferred:</w:t>
            </w:r>
          </w:p>
        </w:tc>
        <w:tc>
          <w:tcPr>
            <w:tcW w:w="22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91,767</w:t>
            </w:r>
          </w:p>
        </w:tc>
        <w:tc>
          <w:tcPr>
            <w:tcW w:w="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color w:val="auto"/>
              </w:rPr>
              <w:t>83,719</w:t>
            </w:r>
          </w:p>
        </w:tc>
        <w:tc>
          <w:tcPr>
            <w:tcW w:w="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33,377</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5720" w:type="dxa"/>
            <w:vAlign w:val="bottom"/>
            <w:gridSpan w:val="2"/>
            <w:vMerge w:val="continue"/>
          </w:tcPr>
          <w:p>
            <w:pPr>
              <w:spacing w:after="0"/>
              <w:rPr>
                <w:sz w:val="13"/>
                <w:szCs w:val="13"/>
                <w:color w:val="auto"/>
              </w:rPr>
            </w:pPr>
          </w:p>
        </w:tc>
        <w:tc>
          <w:tcPr>
            <w:tcW w:w="2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1"/>
        </w:trPr>
        <w:tc>
          <w:tcPr>
            <w:tcW w:w="20" w:type="dxa"/>
            <w:vAlign w:val="bottom"/>
            <w:shd w:val="clear" w:color="auto" w:fill="CCEEFF"/>
          </w:tcPr>
          <w:p>
            <w:pPr>
              <w:spacing w:after="0"/>
              <w:rPr>
                <w:sz w:val="15"/>
                <w:szCs w:val="15"/>
                <w:color w:val="auto"/>
              </w:rPr>
            </w:pPr>
          </w:p>
        </w:tc>
        <w:tc>
          <w:tcPr>
            <w:tcW w:w="57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Federal</w:t>
            </w:r>
          </w:p>
        </w:tc>
        <w:tc>
          <w:tcPr>
            <w:tcW w:w="220" w:type="dxa"/>
            <w:vAlign w:val="bottom"/>
            <w:shd w:val="clear" w:color="auto" w:fill="CCEEFF"/>
          </w:tcPr>
          <w:p>
            <w:pPr>
              <w:spacing w:after="0"/>
              <w:rPr>
                <w:sz w:val="15"/>
                <w:szCs w:val="15"/>
                <w:color w:val="auto"/>
              </w:rPr>
            </w:pPr>
          </w:p>
        </w:tc>
        <w:tc>
          <w:tcPr>
            <w:tcW w:w="1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(15,411)</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5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(10,000)</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6,094</w:t>
            </w: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570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Foreign</w:t>
            </w:r>
          </w:p>
        </w:tc>
        <w:tc>
          <w:tcPr>
            <w:tcW w:w="2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4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30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color w:val="auto"/>
                <w:w w:val="99"/>
              </w:rPr>
              <w:t>—</w:t>
            </w:r>
          </w:p>
        </w:tc>
        <w:tc>
          <w:tcPr>
            <w:tcW w:w="200" w:type="dxa"/>
            <w:vAlign w:val="bottom"/>
          </w:tcPr>
          <w:p>
            <w:pPr>
              <w:spacing w:after="0"/>
              <w:rPr>
                <w:sz w:val="15"/>
                <w:szCs w:val="15"/>
                <w:color w:val="auto"/>
              </w:rPr>
            </w:pPr>
          </w:p>
        </w:tc>
        <w:tc>
          <w:tcPr>
            <w:tcW w:w="16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shd w:val="clear" w:color="auto" w:fill="CCEEFF"/>
          </w:tcPr>
          <w:p>
            <w:pPr>
              <w:spacing w:after="0"/>
              <w:rPr>
                <w:sz w:val="15"/>
                <w:szCs w:val="15"/>
                <w:color w:val="auto"/>
              </w:rPr>
            </w:pPr>
          </w:p>
        </w:tc>
        <w:tc>
          <w:tcPr>
            <w:tcW w:w="57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State</w:t>
            </w:r>
          </w:p>
        </w:tc>
        <w:tc>
          <w:tcPr>
            <w:tcW w:w="220" w:type="dxa"/>
            <w:vAlign w:val="bottom"/>
            <w:tcBorders>
              <w:bottom w:val="single" w:sz="8" w:color="auto"/>
            </w:tcBorders>
            <w:shd w:val="clear" w:color="auto" w:fill="CCEEFF"/>
          </w:tcPr>
          <w:p>
            <w:pPr>
              <w:spacing w:after="0"/>
              <w:rPr>
                <w:sz w:val="15"/>
                <w:szCs w:val="15"/>
                <w:color w:val="auto"/>
              </w:rPr>
            </w:pPr>
          </w:p>
        </w:tc>
        <w:tc>
          <w:tcPr>
            <w:tcW w:w="15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(1,979)</w:t>
            </w:r>
          </w:p>
        </w:tc>
        <w:tc>
          <w:tcPr>
            <w:tcW w:w="8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156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(643)</w:t>
            </w:r>
          </w:p>
        </w:tc>
        <w:tc>
          <w:tcPr>
            <w:tcW w:w="8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1560" w:type="dxa"/>
            <w:vAlign w:val="bottom"/>
            <w:tcBorders>
              <w:bottom w:val="single" w:sz="8" w:color="auto"/>
            </w:tcBorders>
            <w:shd w:val="clear" w:color="auto" w:fill="CCEEFF"/>
          </w:tcPr>
          <w:p>
            <w:pPr>
              <w:ind w:left="1140"/>
              <w:spacing w:after="0"/>
              <w:rPr>
                <w:sz w:val="20"/>
                <w:szCs w:val="20"/>
                <w:color w:val="auto"/>
              </w:rPr>
            </w:pPr>
            <w:r>
              <w:rPr>
                <w:rFonts w:ascii="Times New Roman" w:cs="Times New Roman" w:eastAsia="Times New Roman" w:hAnsi="Times New Roman"/>
                <w:sz w:val="14"/>
                <w:szCs w:val="14"/>
                <w:color w:val="auto"/>
                <w:w w:val="97"/>
              </w:rPr>
              <w:t>(1,562)</w:t>
            </w: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20" w:type="dxa"/>
            <w:vAlign w:val="bottom"/>
            <w:tcBorders>
              <w:bottom w:val="single" w:sz="8" w:color="CCEEFF"/>
            </w:tcBorders>
          </w:tcPr>
          <w:p>
            <w:pPr>
              <w:spacing w:after="0"/>
              <w:rPr>
                <w:sz w:val="14"/>
                <w:szCs w:val="14"/>
                <w:color w:val="auto"/>
              </w:rPr>
            </w:pPr>
          </w:p>
        </w:tc>
        <w:tc>
          <w:tcPr>
            <w:tcW w:w="570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(17,390)</w:t>
            </w:r>
          </w:p>
        </w:tc>
        <w:tc>
          <w:tcPr>
            <w:tcW w:w="8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color w:val="auto"/>
              </w:rPr>
              <w:t>(10,643)</w:t>
            </w:r>
          </w:p>
        </w:tc>
        <w:tc>
          <w:tcPr>
            <w:tcW w:w="8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4,532</w:t>
            </w:r>
          </w:p>
        </w:tc>
        <w:tc>
          <w:tcPr>
            <w:tcW w:w="8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57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Provision for income taxes</w:t>
            </w:r>
          </w:p>
        </w:tc>
        <w:tc>
          <w:tcPr>
            <w:tcW w:w="220" w:type="dxa"/>
            <w:vAlign w:val="bottom"/>
            <w:tcBorders>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5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74,377</w:t>
            </w:r>
          </w:p>
        </w:tc>
        <w:tc>
          <w:tcPr>
            <w:tcW w:w="8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56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73,076</w:t>
            </w:r>
          </w:p>
        </w:tc>
        <w:tc>
          <w:tcPr>
            <w:tcW w:w="8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37,909</w:t>
            </w:r>
          </w:p>
        </w:tc>
        <w:tc>
          <w:tcPr>
            <w:tcW w:w="8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57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1" w:lineRule="exact"/>
        <w:rPr>
          <w:sz w:val="20"/>
          <w:szCs w:val="20"/>
          <w:color w:val="auto"/>
        </w:rPr>
      </w:pPr>
    </w:p>
    <w:p>
      <w:pPr>
        <w:ind w:right="300" w:firstLine="255"/>
        <w:spacing w:after="0" w:line="271" w:lineRule="auto"/>
        <w:rPr>
          <w:sz w:val="20"/>
          <w:szCs w:val="20"/>
          <w:color w:val="auto"/>
        </w:rPr>
      </w:pPr>
      <w:r>
        <w:rPr>
          <w:rFonts w:ascii="Times New Roman" w:cs="Times New Roman" w:eastAsia="Times New Roman" w:hAnsi="Times New Roman"/>
          <w:sz w:val="14"/>
          <w:szCs w:val="14"/>
          <w:color w:val="auto"/>
        </w:rPr>
        <w:t>Our effective income tax rate differs from the statutory rate primarily due to the difference in income tax rates from state to state where work was performed, non-deductible and non-taxable items, tax credits recognized, the tax effects of the vesting and exercise of share-based awards, impacts of tax filings for prior years, and changes in unrecognized tax benefits.</w:t>
      </w:r>
    </w:p>
    <w:p>
      <w:pPr>
        <w:spacing w:after="0" w:line="14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We are currently under IRS audit for fiscal year 2020. We believe our provision for income taxes is adequate; however, any assessment may affect our results of operations and cash flows.</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66" w:name="page67"/>
    <w:bookmarkEnd w:id="66"/>
    <w:tbl>
      <w:tblPr>
        <w:tblLayout w:type="fixed"/>
        <w:tblInd w:w="0" w:type="dxa"/>
        <w:tblCellMar>
          <w:top w:w="0" w:type="dxa"/>
          <w:left w:w="0" w:type="dxa"/>
          <w:bottom w:w="0" w:type="dxa"/>
          <w:right w:w="0" w:type="dxa"/>
        </w:tblCellMar>
      </w:tblPr>
      <w:tr>
        <w:trPr>
          <w:trHeight w:val="161"/>
        </w:trPr>
        <w:tc>
          <w:tcPr>
            <w:tcW w:w="7140" w:type="dxa"/>
            <w:vAlign w:val="bottom"/>
            <w:gridSpan w:val="3"/>
          </w:tcPr>
          <w:p>
            <w:pPr>
              <w:spacing w:after="0"/>
              <w:rPr>
                <w:sz w:val="20"/>
                <w:szCs w:val="20"/>
                <w:color w:val="auto"/>
              </w:rPr>
            </w:pPr>
            <w:r>
              <w:rPr>
                <w:rFonts w:ascii="Times New Roman" w:cs="Times New Roman" w:eastAsia="Times New Roman" w:hAnsi="Times New Roman"/>
                <w:sz w:val="14"/>
                <w:szCs w:val="14"/>
                <w:color w:val="0000FF"/>
              </w:rPr>
              <w:t>Table of Contents</w:t>
            </w:r>
          </w:p>
        </w:tc>
        <w:tc>
          <w:tcPr>
            <w:tcW w:w="1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tcPr>
          <w:p>
            <w:pPr>
              <w:spacing w:after="0"/>
              <w:rPr>
                <w:sz w:val="13"/>
                <w:szCs w:val="13"/>
                <w:color w:val="auto"/>
              </w:rPr>
            </w:pPr>
          </w:p>
        </w:tc>
      </w:tr>
      <w:tr>
        <w:trPr>
          <w:trHeight w:val="841"/>
        </w:trPr>
        <w:tc>
          <w:tcPr>
            <w:tcW w:w="40" w:type="dxa"/>
            <w:vAlign w:val="bottom"/>
            <w:tcBorders>
              <w:top w:val="single" w:sz="8" w:color="0000FF"/>
            </w:tcBorders>
          </w:tcPr>
          <w:p>
            <w:pPr>
              <w:spacing w:after="0"/>
              <w:rPr>
                <w:sz w:val="24"/>
                <w:szCs w:val="24"/>
                <w:color w:val="auto"/>
              </w:rPr>
            </w:pPr>
          </w:p>
        </w:tc>
        <w:tc>
          <w:tcPr>
            <w:tcW w:w="960" w:type="dxa"/>
            <w:vAlign w:val="bottom"/>
            <w:tcBorders>
              <w:top w:val="single" w:sz="8" w:color="0000FF"/>
            </w:tcBorders>
          </w:tcPr>
          <w:p>
            <w:pPr>
              <w:spacing w:after="0"/>
              <w:rPr>
                <w:sz w:val="24"/>
                <w:szCs w:val="24"/>
                <w:color w:val="auto"/>
              </w:rPr>
            </w:pPr>
          </w:p>
        </w:tc>
        <w:tc>
          <w:tcPr>
            <w:tcW w:w="614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9"/>
              </w:rPr>
              <w:t>Fiscal Year Ended</w:t>
            </w:r>
          </w:p>
        </w:tc>
        <w:tc>
          <w:tcPr>
            <w:tcW w:w="10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r>
      <w:tr>
        <w:trPr>
          <w:trHeight w:val="182"/>
        </w:trPr>
        <w:tc>
          <w:tcPr>
            <w:tcW w:w="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January 25, 2025</w:t>
            </w:r>
          </w:p>
        </w:tc>
        <w:tc>
          <w:tcPr>
            <w:tcW w:w="80" w:type="dxa"/>
            <w:vAlign w:val="bottom"/>
          </w:tcPr>
          <w:p>
            <w:pPr>
              <w:spacing w:after="0"/>
              <w:rPr>
                <w:sz w:val="15"/>
                <w:szCs w:val="15"/>
                <w:color w:val="auto"/>
              </w:rPr>
            </w:pPr>
          </w:p>
        </w:tc>
        <w:tc>
          <w:tcPr>
            <w:tcW w:w="132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9"/>
              </w:rPr>
              <w:t>January 27, 2024</w:t>
            </w:r>
          </w:p>
        </w:tc>
        <w:tc>
          <w:tcPr>
            <w:tcW w:w="100" w:type="dxa"/>
            <w:vAlign w:val="bottom"/>
          </w:tcPr>
          <w:p>
            <w:pPr>
              <w:spacing w:after="0"/>
              <w:rPr>
                <w:sz w:val="15"/>
                <w:szCs w:val="15"/>
                <w:color w:val="auto"/>
              </w:rPr>
            </w:pPr>
          </w:p>
        </w:tc>
        <w:tc>
          <w:tcPr>
            <w:tcW w:w="1200" w:type="dxa"/>
            <w:vAlign w:val="bottom"/>
          </w:tcPr>
          <w:p>
            <w:pPr>
              <w:jc w:val="right"/>
              <w:ind w:right="69"/>
              <w:spacing w:after="0"/>
              <w:rPr>
                <w:sz w:val="20"/>
                <w:szCs w:val="20"/>
                <w:color w:val="auto"/>
              </w:rPr>
            </w:pPr>
            <w:r>
              <w:rPr>
                <w:rFonts w:ascii="Times New Roman" w:cs="Times New Roman" w:eastAsia="Times New Roman" w:hAnsi="Times New Roman"/>
                <w:sz w:val="14"/>
                <w:szCs w:val="14"/>
                <w:b w:val="1"/>
                <w:bCs w:val="1"/>
                <w:color w:val="auto"/>
              </w:rPr>
              <w:t>January 28, 2023</w:t>
            </w:r>
          </w:p>
        </w:tc>
      </w:tr>
      <w:tr>
        <w:trPr>
          <w:trHeight w:val="180"/>
        </w:trPr>
        <w:tc>
          <w:tcPr>
            <w:tcW w:w="40" w:type="dxa"/>
            <w:vAlign w:val="bottom"/>
          </w:tcPr>
          <w:p>
            <w:pPr>
              <w:spacing w:after="0"/>
              <w:rPr>
                <w:sz w:val="15"/>
                <w:szCs w:val="15"/>
                <w:color w:val="auto"/>
              </w:rPr>
            </w:pPr>
          </w:p>
        </w:tc>
        <w:tc>
          <w:tcPr>
            <w:tcW w:w="710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Statutory rate applied to pre-tax income</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64,636</w:t>
            </w:r>
          </w:p>
        </w:tc>
        <w:tc>
          <w:tcPr>
            <w:tcW w:w="10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61,320</w:t>
            </w: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37,826</w:t>
            </w:r>
          </w:p>
        </w:tc>
      </w:tr>
      <w:tr>
        <w:trPr>
          <w:trHeight w:val="180"/>
        </w:trPr>
        <w:tc>
          <w:tcPr>
            <w:tcW w:w="40" w:type="dxa"/>
            <w:vAlign w:val="bottom"/>
          </w:tcPr>
          <w:p>
            <w:pPr>
              <w:spacing w:after="0"/>
              <w:rPr>
                <w:sz w:val="15"/>
                <w:szCs w:val="15"/>
                <w:color w:val="auto"/>
              </w:rPr>
            </w:pPr>
          </w:p>
        </w:tc>
        <w:tc>
          <w:tcPr>
            <w:tcW w:w="71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State taxes, net of federal tax benefit</w:t>
            </w:r>
          </w:p>
        </w:tc>
        <w:tc>
          <w:tcPr>
            <w:tcW w:w="10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12,021</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13,466</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5,325</w:t>
            </w:r>
          </w:p>
        </w:tc>
      </w:tr>
      <w:tr>
        <w:trPr>
          <w:trHeight w:val="180"/>
        </w:trPr>
        <w:tc>
          <w:tcPr>
            <w:tcW w:w="40" w:type="dxa"/>
            <w:vAlign w:val="bottom"/>
          </w:tcPr>
          <w:p>
            <w:pPr>
              <w:spacing w:after="0"/>
              <w:rPr>
                <w:sz w:val="15"/>
                <w:szCs w:val="15"/>
                <w:color w:val="auto"/>
              </w:rPr>
            </w:pPr>
          </w:p>
        </w:tc>
        <w:tc>
          <w:tcPr>
            <w:tcW w:w="7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Change in accruals for uncertain tax positions</w:t>
            </w:r>
          </w:p>
        </w:tc>
        <w:tc>
          <w:tcPr>
            <w:tcW w:w="10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3,797</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2,331</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3,833</w:t>
            </w:r>
          </w:p>
        </w:tc>
      </w:tr>
      <w:tr>
        <w:trPr>
          <w:trHeight w:val="180"/>
        </w:trPr>
        <w:tc>
          <w:tcPr>
            <w:tcW w:w="40" w:type="dxa"/>
            <w:vAlign w:val="bottom"/>
          </w:tcPr>
          <w:p>
            <w:pPr>
              <w:spacing w:after="0"/>
              <w:rPr>
                <w:sz w:val="15"/>
                <w:szCs w:val="15"/>
                <w:color w:val="auto"/>
              </w:rPr>
            </w:pPr>
          </w:p>
        </w:tc>
        <w:tc>
          <w:tcPr>
            <w:tcW w:w="71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Compensation limitation</w:t>
            </w:r>
          </w:p>
        </w:tc>
        <w:tc>
          <w:tcPr>
            <w:tcW w:w="10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9,890</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2,788</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3,959</w:t>
            </w:r>
          </w:p>
        </w:tc>
      </w:tr>
      <w:tr>
        <w:trPr>
          <w:trHeight w:val="180"/>
        </w:trPr>
        <w:tc>
          <w:tcPr>
            <w:tcW w:w="40" w:type="dxa"/>
            <w:vAlign w:val="bottom"/>
          </w:tcPr>
          <w:p>
            <w:pPr>
              <w:spacing w:after="0"/>
              <w:rPr>
                <w:sz w:val="15"/>
                <w:szCs w:val="15"/>
                <w:color w:val="auto"/>
              </w:rPr>
            </w:pPr>
          </w:p>
        </w:tc>
        <w:tc>
          <w:tcPr>
            <w:tcW w:w="7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Tax filings for prior periods</w:t>
            </w:r>
          </w:p>
        </w:tc>
        <w:tc>
          <w:tcPr>
            <w:tcW w:w="100" w:type="dxa"/>
            <w:vAlign w:val="bottom"/>
            <w:shd w:val="clear" w:color="auto" w:fill="CCEEFF"/>
          </w:tcPr>
          <w:p>
            <w:pPr>
              <w:spacing w:after="0"/>
              <w:rPr>
                <w:sz w:val="15"/>
                <w:szCs w:val="15"/>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5"/>
                <w:szCs w:val="15"/>
                <w:color w:val="auto"/>
              </w:rPr>
            </w:pP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(2,505)</w:t>
            </w:r>
          </w:p>
        </w:tc>
      </w:tr>
      <w:tr>
        <w:trPr>
          <w:trHeight w:val="180"/>
        </w:trPr>
        <w:tc>
          <w:tcPr>
            <w:tcW w:w="40" w:type="dxa"/>
            <w:vAlign w:val="bottom"/>
          </w:tcPr>
          <w:p>
            <w:pPr>
              <w:spacing w:after="0"/>
              <w:rPr>
                <w:sz w:val="15"/>
                <w:szCs w:val="15"/>
                <w:color w:val="auto"/>
              </w:rPr>
            </w:pPr>
          </w:p>
        </w:tc>
        <w:tc>
          <w:tcPr>
            <w:tcW w:w="71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Tax credits</w:t>
            </w:r>
          </w:p>
        </w:tc>
        <w:tc>
          <w:tcPr>
            <w:tcW w:w="10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(6,558)</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(4,453)</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(5,056)</w:t>
            </w:r>
          </w:p>
        </w:tc>
      </w:tr>
      <w:tr>
        <w:trPr>
          <w:trHeight w:val="180"/>
        </w:trPr>
        <w:tc>
          <w:tcPr>
            <w:tcW w:w="40" w:type="dxa"/>
            <w:vAlign w:val="bottom"/>
          </w:tcPr>
          <w:p>
            <w:pPr>
              <w:spacing w:after="0"/>
              <w:rPr>
                <w:sz w:val="15"/>
                <w:szCs w:val="15"/>
                <w:color w:val="auto"/>
              </w:rPr>
            </w:pPr>
          </w:p>
        </w:tc>
        <w:tc>
          <w:tcPr>
            <w:tcW w:w="7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Federal benefit of vesting and exercise of share-based awards</w:t>
            </w:r>
          </w:p>
        </w:tc>
        <w:tc>
          <w:tcPr>
            <w:tcW w:w="10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(8,410)</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(2,413)</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(3,515)</w:t>
            </w:r>
          </w:p>
        </w:tc>
      </w:tr>
      <w:tr>
        <w:trPr>
          <w:trHeight w:val="180"/>
        </w:trPr>
        <w:tc>
          <w:tcPr>
            <w:tcW w:w="40" w:type="dxa"/>
            <w:vAlign w:val="bottom"/>
          </w:tcPr>
          <w:p>
            <w:pPr>
              <w:spacing w:after="0"/>
              <w:rPr>
                <w:sz w:val="15"/>
                <w:szCs w:val="15"/>
                <w:color w:val="auto"/>
              </w:rPr>
            </w:pPr>
          </w:p>
        </w:tc>
        <w:tc>
          <w:tcPr>
            <w:tcW w:w="71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Deferred tax remeasurements</w:t>
            </w:r>
          </w:p>
        </w:tc>
        <w:tc>
          <w:tcPr>
            <w:tcW w:w="100" w:type="dxa"/>
            <w:vAlign w:val="bottom"/>
          </w:tcPr>
          <w:p>
            <w:pPr>
              <w:spacing w:after="0"/>
              <w:rPr>
                <w:sz w:val="15"/>
                <w:szCs w:val="15"/>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371</w:t>
            </w:r>
          </w:p>
        </w:tc>
      </w:tr>
      <w:tr>
        <w:trPr>
          <w:trHeight w:val="180"/>
        </w:trPr>
        <w:tc>
          <w:tcPr>
            <w:tcW w:w="40" w:type="dxa"/>
            <w:vAlign w:val="bottom"/>
          </w:tcPr>
          <w:p>
            <w:pPr>
              <w:spacing w:after="0"/>
              <w:rPr>
                <w:sz w:val="15"/>
                <w:szCs w:val="15"/>
                <w:color w:val="auto"/>
              </w:rPr>
            </w:pPr>
          </w:p>
        </w:tc>
        <w:tc>
          <w:tcPr>
            <w:tcW w:w="7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Effect of rates other than statutory</w:t>
            </w:r>
          </w:p>
        </w:tc>
        <w:tc>
          <w:tcPr>
            <w:tcW w:w="10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511</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241</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(203)</w:t>
            </w:r>
          </w:p>
        </w:tc>
      </w:tr>
      <w:tr>
        <w:trPr>
          <w:trHeight w:val="180"/>
        </w:trPr>
        <w:tc>
          <w:tcPr>
            <w:tcW w:w="40" w:type="dxa"/>
            <w:vAlign w:val="bottom"/>
          </w:tcPr>
          <w:p>
            <w:pPr>
              <w:spacing w:after="0"/>
              <w:rPr>
                <w:sz w:val="15"/>
                <w:szCs w:val="15"/>
                <w:color w:val="auto"/>
              </w:rPr>
            </w:pPr>
          </w:p>
        </w:tc>
        <w:tc>
          <w:tcPr>
            <w:tcW w:w="71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Non-deductible and non-taxable items, net</w:t>
            </w:r>
          </w:p>
        </w:tc>
        <w:tc>
          <w:tcPr>
            <w:tcW w:w="10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1,446</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1,090</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215</w:t>
            </w:r>
          </w:p>
        </w:tc>
      </w:tr>
      <w:tr>
        <w:trPr>
          <w:trHeight w:val="180"/>
        </w:trPr>
        <w:tc>
          <w:tcPr>
            <w:tcW w:w="40" w:type="dxa"/>
            <w:vAlign w:val="bottom"/>
          </w:tcPr>
          <w:p>
            <w:pPr>
              <w:spacing w:after="0"/>
              <w:rPr>
                <w:sz w:val="15"/>
                <w:szCs w:val="15"/>
                <w:color w:val="auto"/>
              </w:rPr>
            </w:pPr>
          </w:p>
        </w:tc>
        <w:tc>
          <w:tcPr>
            <w:tcW w:w="7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Change in valuation allowance</w:t>
            </w:r>
          </w:p>
        </w:tc>
        <w:tc>
          <w:tcPr>
            <w:tcW w:w="100" w:type="dxa"/>
            <w:vAlign w:val="bottom"/>
            <w:shd w:val="clear" w:color="auto" w:fill="CCEEFF"/>
          </w:tcPr>
          <w:p>
            <w:pPr>
              <w:spacing w:after="0"/>
              <w:rPr>
                <w:sz w:val="15"/>
                <w:szCs w:val="15"/>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(546)</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(376)</w:t>
            </w:r>
          </w:p>
        </w:tc>
      </w:tr>
      <w:tr>
        <w:trPr>
          <w:trHeight w:val="180"/>
        </w:trPr>
        <w:tc>
          <w:tcPr>
            <w:tcW w:w="40" w:type="dxa"/>
            <w:vAlign w:val="bottom"/>
          </w:tcPr>
          <w:p>
            <w:pPr>
              <w:spacing w:after="0"/>
              <w:rPr>
                <w:sz w:val="15"/>
                <w:szCs w:val="15"/>
                <w:color w:val="auto"/>
              </w:rPr>
            </w:pPr>
          </w:p>
        </w:tc>
        <w:tc>
          <w:tcPr>
            <w:tcW w:w="71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4"/>
                <w:szCs w:val="14"/>
                <w:color w:val="auto"/>
              </w:rPr>
              <w:t>Other items, net</w:t>
            </w:r>
          </w:p>
        </w:tc>
        <w:tc>
          <w:tcPr>
            <w:tcW w:w="10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(2,956)</w:t>
            </w:r>
          </w:p>
        </w:tc>
        <w:tc>
          <w:tcPr>
            <w:tcW w:w="10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(748)</w:t>
            </w: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(1,965)</w:t>
            </w:r>
          </w:p>
        </w:tc>
      </w:tr>
      <w:tr>
        <w:trPr>
          <w:trHeight w:val="196"/>
        </w:trPr>
        <w:tc>
          <w:tcPr>
            <w:tcW w:w="40" w:type="dxa"/>
            <w:vAlign w:val="bottom"/>
          </w:tcPr>
          <w:p>
            <w:pPr>
              <w:spacing w:after="0"/>
              <w:rPr>
                <w:sz w:val="16"/>
                <w:szCs w:val="16"/>
                <w:color w:val="auto"/>
              </w:rPr>
            </w:pPr>
          </w:p>
        </w:tc>
        <w:tc>
          <w:tcPr>
            <w:tcW w:w="710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Provision for income taxes</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74,377</w:t>
            </w:r>
          </w:p>
        </w:tc>
        <w:tc>
          <w:tcPr>
            <w:tcW w:w="1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73,076</w:t>
            </w: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37,909</w:t>
            </w:r>
          </w:p>
        </w:tc>
      </w:tr>
      <w:tr>
        <w:trPr>
          <w:trHeight w:val="20"/>
        </w:trPr>
        <w:tc>
          <w:tcPr>
            <w:tcW w:w="40" w:type="dxa"/>
            <w:vAlign w:val="bottom"/>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6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24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color w:val="auto"/>
        </w:rPr>
        <w:t>Deferred Income Taxes</w:t>
      </w:r>
    </w:p>
    <w:p>
      <w:pPr>
        <w:spacing w:after="0" w:line="191" w:lineRule="exact"/>
        <w:rPr>
          <w:sz w:val="20"/>
          <w:szCs w:val="20"/>
          <w:color w:val="auto"/>
        </w:rPr>
      </w:pPr>
    </w:p>
    <w:p>
      <w:pPr>
        <w:ind w:right="80" w:firstLine="255"/>
        <w:spacing w:after="0" w:line="287" w:lineRule="auto"/>
        <w:rPr>
          <w:sz w:val="20"/>
          <w:szCs w:val="20"/>
          <w:color w:val="auto"/>
        </w:rPr>
      </w:pPr>
      <w:r>
        <w:rPr>
          <w:rFonts w:ascii="Times New Roman" w:cs="Times New Roman" w:eastAsia="Times New Roman" w:hAnsi="Times New Roman"/>
          <w:sz w:val="14"/>
          <w:szCs w:val="14"/>
          <w:color w:val="auto"/>
        </w:rPr>
        <w:t>The deferred tax provision represents the change in the deferred tax assets and the liabilities representing the tax consequences of changes in the amount of temporary differences and changes in tax rates during the year. The significant components of deferred tax assets and liabilities consisted of the following (dollars in thousands):</w:t>
      </w:r>
    </w:p>
    <w:p>
      <w:pPr>
        <w:spacing w:after="0" w:line="175" w:lineRule="exact"/>
        <w:rPr>
          <w:sz w:val="20"/>
          <w:szCs w:val="20"/>
          <w:color w:val="auto"/>
        </w:rPr>
      </w:pPr>
    </w:p>
    <w:tbl>
      <w:tblPr>
        <w:tblLayout w:type="fixed"/>
        <w:tblInd w:w="20" w:type="dxa"/>
        <w:tblCellMar>
          <w:top w:w="0" w:type="dxa"/>
          <w:left w:w="0" w:type="dxa"/>
          <w:bottom w:w="0" w:type="dxa"/>
          <w:right w:w="0" w:type="dxa"/>
        </w:tblCellMar>
      </w:tblPr>
      <w:tr>
        <w:trPr>
          <w:trHeight w:val="188"/>
        </w:trPr>
        <w:tc>
          <w:tcPr>
            <w:tcW w:w="70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84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January 25, 2025</w:t>
            </w:r>
          </w:p>
        </w:tc>
        <w:tc>
          <w:tcPr>
            <w:tcW w:w="300" w:type="dxa"/>
            <w:vAlign w:val="bottom"/>
          </w:tcPr>
          <w:p>
            <w:pPr>
              <w:spacing w:after="0"/>
              <w:rPr>
                <w:sz w:val="16"/>
                <w:szCs w:val="16"/>
                <w:color w:val="auto"/>
              </w:rPr>
            </w:pPr>
          </w:p>
        </w:tc>
        <w:tc>
          <w:tcPr>
            <w:tcW w:w="1740" w:type="dxa"/>
            <w:vAlign w:val="bottom"/>
          </w:tcPr>
          <w:p>
            <w:pPr>
              <w:jc w:val="right"/>
              <w:ind w:right="429"/>
              <w:spacing w:after="0"/>
              <w:rPr>
                <w:sz w:val="20"/>
                <w:szCs w:val="20"/>
                <w:color w:val="auto"/>
              </w:rPr>
            </w:pPr>
            <w:r>
              <w:rPr>
                <w:rFonts w:ascii="Times New Roman" w:cs="Times New Roman" w:eastAsia="Times New Roman" w:hAnsi="Times New Roman"/>
                <w:sz w:val="14"/>
                <w:szCs w:val="14"/>
                <w:b w:val="1"/>
                <w:bCs w:val="1"/>
                <w:color w:val="auto"/>
              </w:rPr>
              <w:t>January 27, 2024</w:t>
            </w:r>
          </w:p>
        </w:tc>
      </w:tr>
      <w:tr>
        <w:trPr>
          <w:trHeight w:val="170"/>
        </w:trPr>
        <w:tc>
          <w:tcPr>
            <w:tcW w:w="7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Deferred tax assets:</w:t>
            </w:r>
          </w:p>
        </w:tc>
        <w:tc>
          <w:tcPr>
            <w:tcW w:w="280" w:type="dxa"/>
            <w:vAlign w:val="bottom"/>
            <w:tcBorders>
              <w:top w:val="single" w:sz="8" w:color="auto"/>
            </w:tcBorders>
          </w:tcPr>
          <w:p>
            <w:pPr>
              <w:spacing w:after="0"/>
              <w:rPr>
                <w:sz w:val="14"/>
                <w:szCs w:val="14"/>
                <w:color w:val="auto"/>
              </w:rPr>
            </w:pPr>
          </w:p>
        </w:tc>
        <w:tc>
          <w:tcPr>
            <w:tcW w:w="17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1740" w:type="dxa"/>
            <w:vAlign w:val="bottom"/>
            <w:tcBorders>
              <w:top w:val="single" w:sz="8" w:color="auto"/>
            </w:tcBorders>
          </w:tcPr>
          <w:p>
            <w:pPr>
              <w:spacing w:after="0"/>
              <w:rPr>
                <w:sz w:val="14"/>
                <w:szCs w:val="14"/>
                <w:color w:val="auto"/>
              </w:rPr>
            </w:pPr>
          </w:p>
        </w:tc>
      </w:tr>
      <w:tr>
        <w:trPr>
          <w:trHeight w:val="181"/>
        </w:trPr>
        <w:tc>
          <w:tcPr>
            <w:tcW w:w="7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Capitalized research expenditures (IRC Section 174)</w:t>
            </w:r>
          </w:p>
        </w:tc>
        <w:tc>
          <w:tcPr>
            <w:tcW w:w="280" w:type="dxa"/>
            <w:vAlign w:val="bottom"/>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65,763</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38,689</w:t>
            </w:r>
          </w:p>
        </w:tc>
      </w:tr>
      <w:tr>
        <w:trPr>
          <w:trHeight w:val="180"/>
        </w:trPr>
        <w:tc>
          <w:tcPr>
            <w:tcW w:w="70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Insurance and other reserves</w:t>
            </w:r>
          </w:p>
        </w:tc>
        <w:tc>
          <w:tcPr>
            <w:tcW w:w="280" w:type="dxa"/>
            <w:vAlign w:val="bottom"/>
          </w:tcPr>
          <w:p>
            <w:pPr>
              <w:spacing w:after="0"/>
              <w:rPr>
                <w:sz w:val="15"/>
                <w:szCs w:val="15"/>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22,251</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25,865</w:t>
            </w:r>
          </w:p>
        </w:tc>
      </w:tr>
      <w:tr>
        <w:trPr>
          <w:trHeight w:val="180"/>
        </w:trPr>
        <w:tc>
          <w:tcPr>
            <w:tcW w:w="7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Leases</w:t>
            </w:r>
          </w:p>
        </w:tc>
        <w:tc>
          <w:tcPr>
            <w:tcW w:w="280" w:type="dxa"/>
            <w:vAlign w:val="bottom"/>
            <w:shd w:val="clear" w:color="auto" w:fill="CCEEFF"/>
          </w:tcPr>
          <w:p>
            <w:pPr>
              <w:spacing w:after="0"/>
              <w:rPr>
                <w:sz w:val="15"/>
                <w:szCs w:val="15"/>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28,088</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19,380</w:t>
            </w:r>
          </w:p>
        </w:tc>
      </w:tr>
      <w:tr>
        <w:trPr>
          <w:trHeight w:val="180"/>
        </w:trPr>
        <w:tc>
          <w:tcPr>
            <w:tcW w:w="70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Stock-based compensation</w:t>
            </w:r>
          </w:p>
        </w:tc>
        <w:tc>
          <w:tcPr>
            <w:tcW w:w="280" w:type="dxa"/>
            <w:vAlign w:val="bottom"/>
          </w:tcPr>
          <w:p>
            <w:pPr>
              <w:spacing w:after="0"/>
              <w:rPr>
                <w:sz w:val="15"/>
                <w:szCs w:val="15"/>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4,635</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4,722</w:t>
            </w:r>
          </w:p>
        </w:tc>
      </w:tr>
      <w:tr>
        <w:trPr>
          <w:trHeight w:val="180"/>
        </w:trPr>
        <w:tc>
          <w:tcPr>
            <w:tcW w:w="7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Allowance for credit losses accounts and reserves</w:t>
            </w:r>
          </w:p>
        </w:tc>
        <w:tc>
          <w:tcPr>
            <w:tcW w:w="280" w:type="dxa"/>
            <w:vAlign w:val="bottom"/>
            <w:shd w:val="clear" w:color="auto" w:fill="CCEEFF"/>
          </w:tcPr>
          <w:p>
            <w:pPr>
              <w:spacing w:after="0"/>
              <w:rPr>
                <w:sz w:val="15"/>
                <w:szCs w:val="15"/>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5,970</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3,203</w:t>
            </w:r>
          </w:p>
        </w:tc>
      </w:tr>
      <w:tr>
        <w:trPr>
          <w:trHeight w:val="180"/>
        </w:trPr>
        <w:tc>
          <w:tcPr>
            <w:tcW w:w="70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Net operating loss carryforwards</w:t>
            </w:r>
          </w:p>
        </w:tc>
        <w:tc>
          <w:tcPr>
            <w:tcW w:w="280" w:type="dxa"/>
            <w:vAlign w:val="bottom"/>
          </w:tcPr>
          <w:p>
            <w:pPr>
              <w:spacing w:after="0"/>
              <w:rPr>
                <w:sz w:val="15"/>
                <w:szCs w:val="15"/>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114</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238</w:t>
            </w:r>
          </w:p>
        </w:tc>
      </w:tr>
      <w:tr>
        <w:trPr>
          <w:trHeight w:val="180"/>
        </w:trPr>
        <w:tc>
          <w:tcPr>
            <w:tcW w:w="7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Other</w:t>
            </w:r>
          </w:p>
        </w:tc>
        <w:tc>
          <w:tcPr>
            <w:tcW w:w="280" w:type="dxa"/>
            <w:vAlign w:val="bottom"/>
            <w:tcBorders>
              <w:bottom w:val="single" w:sz="8" w:color="auto"/>
            </w:tcBorders>
            <w:shd w:val="clear" w:color="auto" w:fill="CCEEFF"/>
          </w:tcPr>
          <w:p>
            <w:pPr>
              <w:spacing w:after="0"/>
              <w:rPr>
                <w:sz w:val="15"/>
                <w:szCs w:val="15"/>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4,315</w:t>
            </w:r>
          </w:p>
        </w:tc>
        <w:tc>
          <w:tcPr>
            <w:tcW w:w="10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3,686</w:t>
            </w:r>
          </w:p>
        </w:tc>
      </w:tr>
      <w:tr>
        <w:trPr>
          <w:trHeight w:val="171"/>
        </w:trPr>
        <w:tc>
          <w:tcPr>
            <w:tcW w:w="70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Total deferred tax assets</w:t>
            </w:r>
          </w:p>
        </w:tc>
        <w:tc>
          <w:tcPr>
            <w:tcW w:w="280" w:type="dxa"/>
            <w:vAlign w:val="bottom"/>
          </w:tcPr>
          <w:p>
            <w:pPr>
              <w:spacing w:after="0"/>
              <w:rPr>
                <w:sz w:val="14"/>
                <w:szCs w:val="14"/>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131,136</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95,783</w:t>
            </w:r>
          </w:p>
        </w:tc>
      </w:tr>
      <w:tr>
        <w:trPr>
          <w:trHeight w:val="180"/>
        </w:trPr>
        <w:tc>
          <w:tcPr>
            <w:tcW w:w="7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Valuation allowance</w:t>
            </w:r>
          </w:p>
        </w:tc>
        <w:tc>
          <w:tcPr>
            <w:tcW w:w="280" w:type="dxa"/>
            <w:vAlign w:val="bottom"/>
            <w:tcBorders>
              <w:bottom w:val="single" w:sz="8" w:color="auto"/>
            </w:tcBorders>
            <w:shd w:val="clear" w:color="auto" w:fill="CCEEFF"/>
          </w:tcPr>
          <w:p>
            <w:pPr>
              <w:spacing w:after="0"/>
              <w:rPr>
                <w:sz w:val="15"/>
                <w:szCs w:val="15"/>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w:t>
            </w:r>
          </w:p>
        </w:tc>
        <w:tc>
          <w:tcPr>
            <w:tcW w:w="10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w:t>
            </w:r>
          </w:p>
        </w:tc>
      </w:tr>
      <w:tr>
        <w:trPr>
          <w:trHeight w:val="171"/>
        </w:trPr>
        <w:tc>
          <w:tcPr>
            <w:tcW w:w="70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Deferred tax assets, net of valuation allowance</w:t>
            </w:r>
          </w:p>
        </w:tc>
        <w:tc>
          <w:tcPr>
            <w:tcW w:w="280" w:type="dxa"/>
            <w:vAlign w:val="bottom"/>
            <w:tcBorders>
              <w:bottom w:val="single" w:sz="8" w:color="auto"/>
            </w:tcBorders>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131,059</w:t>
            </w:r>
          </w:p>
        </w:tc>
        <w:tc>
          <w:tcPr>
            <w:tcW w:w="100" w:type="dxa"/>
            <w:vAlign w:val="bottom"/>
          </w:tcPr>
          <w:p>
            <w:pPr>
              <w:spacing w:after="0"/>
              <w:rPr>
                <w:sz w:val="14"/>
                <w:szCs w:val="14"/>
                <w:color w:val="auto"/>
              </w:rPr>
            </w:pPr>
          </w:p>
        </w:tc>
        <w:tc>
          <w:tcPr>
            <w:tcW w:w="300" w:type="dxa"/>
            <w:vAlign w:val="bottom"/>
            <w:tcBorders>
              <w:bottom w:val="single" w:sz="8" w:color="auto"/>
            </w:tcBorders>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95,704</w:t>
            </w:r>
          </w:p>
        </w:tc>
      </w:tr>
      <w:tr>
        <w:trPr>
          <w:trHeight w:val="20"/>
        </w:trPr>
        <w:tc>
          <w:tcPr>
            <w:tcW w:w="70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r>
      <w:tr>
        <w:trPr>
          <w:trHeight w:val="142"/>
        </w:trPr>
        <w:tc>
          <w:tcPr>
            <w:tcW w:w="7080" w:type="dxa"/>
            <w:vAlign w:val="bottom"/>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Deferred tax liabilities:</w:t>
            </w:r>
          </w:p>
        </w:tc>
        <w:tc>
          <w:tcPr>
            <w:tcW w:w="280" w:type="dxa"/>
            <w:vAlign w:val="bottom"/>
            <w:shd w:val="clear" w:color="auto" w:fill="CCEEFF"/>
          </w:tcPr>
          <w:p>
            <w:pPr>
              <w:spacing w:after="0"/>
              <w:rPr>
                <w:sz w:val="12"/>
                <w:szCs w:val="12"/>
                <w:color w:val="auto"/>
              </w:rPr>
            </w:pPr>
          </w:p>
        </w:tc>
        <w:tc>
          <w:tcPr>
            <w:tcW w:w="1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740" w:type="dxa"/>
            <w:vAlign w:val="bottom"/>
            <w:shd w:val="clear" w:color="auto" w:fill="CCEEFF"/>
          </w:tcPr>
          <w:p>
            <w:pPr>
              <w:spacing w:after="0"/>
              <w:rPr>
                <w:sz w:val="12"/>
                <w:szCs w:val="12"/>
                <w:color w:val="auto"/>
              </w:rPr>
            </w:pPr>
          </w:p>
        </w:tc>
      </w:tr>
      <w:tr>
        <w:trPr>
          <w:trHeight w:val="180"/>
        </w:trPr>
        <w:tc>
          <w:tcPr>
            <w:tcW w:w="70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Property and equipment</w:t>
            </w:r>
          </w:p>
        </w:tc>
        <w:tc>
          <w:tcPr>
            <w:tcW w:w="280" w:type="dxa"/>
            <w:vAlign w:val="bottom"/>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89,295</w:t>
            </w:r>
          </w:p>
        </w:tc>
        <w:tc>
          <w:tcPr>
            <w:tcW w:w="100" w:type="dxa"/>
            <w:vAlign w:val="bottom"/>
          </w:tcPr>
          <w:p>
            <w:pPr>
              <w:spacing w:after="0"/>
              <w:rPr>
                <w:sz w:val="15"/>
                <w:szCs w:val="15"/>
                <w:color w:val="auto"/>
              </w:rPr>
            </w:pPr>
          </w:p>
        </w:tc>
        <w:tc>
          <w:tcPr>
            <w:tcW w:w="300" w:type="dxa"/>
            <w:vAlign w:val="bottom"/>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86,105</w:t>
            </w:r>
          </w:p>
        </w:tc>
      </w:tr>
      <w:tr>
        <w:trPr>
          <w:trHeight w:val="180"/>
        </w:trPr>
        <w:tc>
          <w:tcPr>
            <w:tcW w:w="7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Goodwill and intangibles</w:t>
            </w:r>
          </w:p>
        </w:tc>
        <w:tc>
          <w:tcPr>
            <w:tcW w:w="280" w:type="dxa"/>
            <w:vAlign w:val="bottom"/>
            <w:shd w:val="clear" w:color="auto" w:fill="CCEEFF"/>
          </w:tcPr>
          <w:p>
            <w:pPr>
              <w:spacing w:after="0"/>
              <w:rPr>
                <w:sz w:val="15"/>
                <w:szCs w:val="15"/>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39,106</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38,381</w:t>
            </w:r>
          </w:p>
        </w:tc>
      </w:tr>
      <w:tr>
        <w:trPr>
          <w:trHeight w:val="180"/>
        </w:trPr>
        <w:tc>
          <w:tcPr>
            <w:tcW w:w="70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Leases</w:t>
            </w:r>
          </w:p>
        </w:tc>
        <w:tc>
          <w:tcPr>
            <w:tcW w:w="280" w:type="dxa"/>
            <w:vAlign w:val="bottom"/>
          </w:tcPr>
          <w:p>
            <w:pPr>
              <w:spacing w:after="0"/>
              <w:rPr>
                <w:sz w:val="15"/>
                <w:szCs w:val="15"/>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27,951</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19,439</w:t>
            </w:r>
          </w:p>
        </w:tc>
      </w:tr>
      <w:tr>
        <w:trPr>
          <w:trHeight w:val="180"/>
        </w:trPr>
        <w:tc>
          <w:tcPr>
            <w:tcW w:w="7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Capitalized costs</w:t>
            </w:r>
          </w:p>
        </w:tc>
        <w:tc>
          <w:tcPr>
            <w:tcW w:w="280" w:type="dxa"/>
            <w:vAlign w:val="bottom"/>
            <w:shd w:val="clear" w:color="auto" w:fill="CCEEFF"/>
          </w:tcPr>
          <w:p>
            <w:pPr>
              <w:spacing w:after="0"/>
              <w:rPr>
                <w:sz w:val="15"/>
                <w:szCs w:val="15"/>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5,843</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708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4"/>
                <w:szCs w:val="14"/>
                <w:color w:val="auto"/>
              </w:rPr>
              <w:t>Other</w:t>
            </w:r>
          </w:p>
        </w:tc>
        <w:tc>
          <w:tcPr>
            <w:tcW w:w="280" w:type="dxa"/>
            <w:vAlign w:val="bottom"/>
            <w:tcBorders>
              <w:bottom w:val="single" w:sz="8" w:color="auto"/>
            </w:tcBorders>
          </w:tcPr>
          <w:p>
            <w:pPr>
              <w:spacing w:after="0"/>
              <w:rPr>
                <w:sz w:val="15"/>
                <w:szCs w:val="15"/>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1,036</w:t>
            </w:r>
          </w:p>
        </w:tc>
        <w:tc>
          <w:tcPr>
            <w:tcW w:w="10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1,341</w:t>
            </w:r>
          </w:p>
        </w:tc>
      </w:tr>
      <w:tr>
        <w:trPr>
          <w:trHeight w:val="196"/>
        </w:trPr>
        <w:tc>
          <w:tcPr>
            <w:tcW w:w="70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Deferred tax liabilities</w:t>
            </w:r>
          </w:p>
        </w:tc>
        <w:tc>
          <w:tcPr>
            <w:tcW w:w="280" w:type="dxa"/>
            <w:vAlign w:val="bottom"/>
            <w:tcBorders>
              <w:bottom w:val="single" w:sz="8" w:color="auto"/>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163,231</w:t>
            </w:r>
          </w:p>
        </w:tc>
        <w:tc>
          <w:tcPr>
            <w:tcW w:w="10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145,266</w:t>
            </w:r>
          </w:p>
        </w:tc>
      </w:tr>
      <w:tr>
        <w:trPr>
          <w:trHeight w:val="20"/>
        </w:trPr>
        <w:tc>
          <w:tcPr>
            <w:tcW w:w="70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r>
      <w:tr>
        <w:trPr>
          <w:trHeight w:val="153"/>
        </w:trPr>
        <w:tc>
          <w:tcPr>
            <w:tcW w:w="7080" w:type="dxa"/>
            <w:vAlign w:val="bottom"/>
            <w:tcBorders>
              <w:bottom w:val="single" w:sz="8" w:color="CCEE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74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740" w:type="dxa"/>
            <w:vAlign w:val="bottom"/>
            <w:tcBorders>
              <w:bottom w:val="single" w:sz="8" w:color="auto"/>
            </w:tcBorders>
          </w:tcPr>
          <w:p>
            <w:pPr>
              <w:spacing w:after="0"/>
              <w:rPr>
                <w:sz w:val="13"/>
                <w:szCs w:val="13"/>
                <w:color w:val="auto"/>
              </w:rPr>
            </w:pPr>
          </w:p>
        </w:tc>
      </w:tr>
      <w:tr>
        <w:trPr>
          <w:trHeight w:val="196"/>
        </w:trPr>
        <w:tc>
          <w:tcPr>
            <w:tcW w:w="7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deferred tax liabilities</w:t>
            </w:r>
          </w:p>
        </w:tc>
        <w:tc>
          <w:tcPr>
            <w:tcW w:w="280" w:type="dxa"/>
            <w:vAlign w:val="bottom"/>
            <w:tcBorders>
              <w:bottom w:val="single" w:sz="8" w:color="auto"/>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32,172</w:t>
            </w:r>
          </w:p>
        </w:tc>
        <w:tc>
          <w:tcPr>
            <w:tcW w:w="10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49,562</w:t>
            </w:r>
          </w:p>
        </w:tc>
      </w:tr>
      <w:tr>
        <w:trPr>
          <w:trHeight w:val="20"/>
        </w:trPr>
        <w:tc>
          <w:tcPr>
            <w:tcW w:w="70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r>
    </w:tbl>
    <w:p>
      <w:pPr>
        <w:spacing w:after="0" w:line="261" w:lineRule="exact"/>
        <w:rPr>
          <w:sz w:val="20"/>
          <w:szCs w:val="20"/>
          <w:color w:val="auto"/>
        </w:rPr>
      </w:pPr>
    </w:p>
    <w:p>
      <w:pPr>
        <w:jc w:val="both"/>
        <w:ind w:right="20" w:firstLine="255"/>
        <w:spacing w:after="0" w:line="287" w:lineRule="auto"/>
        <w:rPr>
          <w:sz w:val="20"/>
          <w:szCs w:val="20"/>
          <w:color w:val="auto"/>
        </w:rPr>
      </w:pPr>
      <w:r>
        <w:rPr>
          <w:rFonts w:ascii="Times New Roman" w:cs="Times New Roman" w:eastAsia="Times New Roman" w:hAnsi="Times New Roman"/>
          <w:sz w:val="14"/>
          <w:szCs w:val="14"/>
          <w:color w:val="auto"/>
        </w:rPr>
        <w:t>The valuation allowance above reduces the deferred tax asset balances to the amount that we have determined is more likely than not to be realized. The valuation allowance relates to immaterial tax attributes which are not more-likely-than-not to be realized prior to expiration, based on current objective evidence. Our tax attributes generally begin to expire in fiscal 2026.</w:t>
      </w:r>
    </w:p>
    <w:p>
      <w:pPr>
        <w:spacing w:after="0" w:line="3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16" w:right="3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4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color w:val="auto"/>
        </w:rPr>
        <w:t>Uncertain Tax Positions</w:t>
      </w:r>
    </w:p>
    <w:p>
      <w:pPr>
        <w:spacing w:after="0" w:line="202" w:lineRule="exact"/>
        <w:rPr>
          <w:sz w:val="20"/>
          <w:szCs w:val="20"/>
          <w:color w:val="auto"/>
        </w:rPr>
      </w:pPr>
    </w:p>
    <w:p>
      <w:pPr>
        <w:ind w:right="20" w:firstLine="255"/>
        <w:spacing w:after="0" w:line="264" w:lineRule="auto"/>
        <w:rPr>
          <w:sz w:val="20"/>
          <w:szCs w:val="20"/>
          <w:color w:val="auto"/>
        </w:rPr>
      </w:pPr>
      <w:r>
        <w:rPr>
          <w:rFonts w:ascii="Times New Roman" w:cs="Times New Roman" w:eastAsia="Times New Roman" w:hAnsi="Times New Roman"/>
          <w:sz w:val="14"/>
          <w:szCs w:val="14"/>
          <w:color w:val="auto"/>
        </w:rPr>
        <w:t>As of January 25, 2025 and January 27, 2024, we had total unrecognized tax benefits of $21.6 million and $17.6 million, respectively, resulting from uncertain tax positions. Our effective tax rate will be reduced by $21.1 million during future periods if it is determined these unrecognized tax benefits are realizable. We had approximately $5.4 million and $3.7 million accrued for the payment of interest and penalties as of January 25, 2025 and January 27, 2024, respectively. Interest expense related to unrecognized tax benefits for the Company was $1.7 million during fiscal 2025 and was not material for fiscal 2024 and fiscal 2023.</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72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A summary of unrecognized tax benefits is as follows (dollars in thousands):</w:t>
            </w: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5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gridSpan w:val="3"/>
          </w:tcPr>
          <w:p>
            <w:pPr>
              <w:jc w:val="right"/>
              <w:ind w:right="49"/>
              <w:spacing w:after="0"/>
              <w:rPr>
                <w:sz w:val="20"/>
                <w:szCs w:val="20"/>
                <w:color w:val="auto"/>
              </w:rPr>
            </w:pPr>
            <w:r>
              <w:rPr>
                <w:rFonts w:ascii="Times New Roman" w:cs="Times New Roman" w:eastAsia="Times New Roman" w:hAnsi="Times New Roman"/>
                <w:sz w:val="14"/>
                <w:szCs w:val="14"/>
                <w:b w:val="1"/>
                <w:bCs w:val="1"/>
                <w:color w:val="auto"/>
              </w:rPr>
              <w:t>Fiscal Year Ended</w:t>
            </w:r>
          </w:p>
        </w:tc>
        <w:tc>
          <w:tcPr>
            <w:tcW w:w="1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57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420" w:type="dxa"/>
            <w:vAlign w:val="bottom"/>
            <w:gridSpan w:val="5"/>
          </w:tcPr>
          <w:p>
            <w:pPr>
              <w:ind w:left="160"/>
              <w:spacing w:after="0"/>
              <w:rPr>
                <w:sz w:val="20"/>
                <w:szCs w:val="20"/>
                <w:color w:val="auto"/>
              </w:rPr>
            </w:pPr>
            <w:r>
              <w:rPr>
                <w:rFonts w:ascii="Times New Roman" w:cs="Times New Roman" w:eastAsia="Times New Roman" w:hAnsi="Times New Roman"/>
                <w:sz w:val="14"/>
                <w:szCs w:val="14"/>
                <w:b w:val="1"/>
                <w:bCs w:val="1"/>
                <w:color w:val="auto"/>
              </w:rPr>
              <w:t>January 25, 2025</w:t>
            </w:r>
          </w:p>
        </w:tc>
        <w:tc>
          <w:tcPr>
            <w:tcW w:w="1320" w:type="dxa"/>
            <w:vAlign w:val="bottom"/>
            <w:gridSpan w:val="3"/>
          </w:tcPr>
          <w:p>
            <w:pPr>
              <w:jc w:val="right"/>
              <w:ind w:right="69"/>
              <w:spacing w:after="0"/>
              <w:rPr>
                <w:sz w:val="20"/>
                <w:szCs w:val="20"/>
                <w:color w:val="auto"/>
              </w:rPr>
            </w:pPr>
            <w:r>
              <w:rPr>
                <w:rFonts w:ascii="Times New Roman" w:cs="Times New Roman" w:eastAsia="Times New Roman" w:hAnsi="Times New Roman"/>
                <w:sz w:val="14"/>
                <w:szCs w:val="14"/>
                <w:b w:val="1"/>
                <w:bCs w:val="1"/>
                <w:color w:val="auto"/>
              </w:rPr>
              <w:t>January 27, 2024</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tcPr>
          <w:p>
            <w:pPr>
              <w:jc w:val="right"/>
              <w:ind w:right="69"/>
              <w:spacing w:after="0"/>
              <w:rPr>
                <w:sz w:val="20"/>
                <w:szCs w:val="20"/>
                <w:color w:val="auto"/>
              </w:rPr>
            </w:pPr>
            <w:r>
              <w:rPr>
                <w:rFonts w:ascii="Times New Roman" w:cs="Times New Roman" w:eastAsia="Times New Roman" w:hAnsi="Times New Roman"/>
                <w:sz w:val="14"/>
                <w:szCs w:val="14"/>
                <w:b w:val="1"/>
                <w:bCs w:val="1"/>
                <w:color w:val="auto"/>
              </w:rPr>
              <w:t>January 28, 2023</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7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at beginning of year</w:t>
            </w:r>
          </w:p>
        </w:tc>
        <w:tc>
          <w:tcPr>
            <w:tcW w:w="220" w:type="dxa"/>
            <w:vAlign w:val="bottom"/>
            <w:tcBorders>
              <w:top w:val="single" w:sz="8" w:color="CCEEFF"/>
            </w:tcBorders>
            <w:shd w:val="clear" w:color="auto" w:fill="CCEEFF"/>
          </w:tcPr>
          <w:p>
            <w:pPr>
              <w:spacing w:after="0"/>
              <w:rPr>
                <w:sz w:val="15"/>
                <w:szCs w:val="15"/>
                <w:color w:val="auto"/>
              </w:rPr>
            </w:pPr>
          </w:p>
        </w:tc>
        <w:tc>
          <w:tcPr>
            <w:tcW w:w="1100" w:type="dxa"/>
            <w:vAlign w:val="bottom"/>
            <w:tcBorders>
              <w:top w:val="single" w:sz="8" w:color="CCEEFF"/>
            </w:tcBorders>
            <w:shd w:val="clear" w:color="auto" w:fill="CCEEFF"/>
          </w:tcPr>
          <w:p>
            <w:pPr>
              <w:spacing w:after="0"/>
              <w:rPr>
                <w:sz w:val="15"/>
                <w:szCs w:val="15"/>
                <w:color w:val="auto"/>
              </w:rPr>
            </w:pPr>
          </w:p>
        </w:tc>
        <w:tc>
          <w:tcPr>
            <w:tcW w:w="440" w:type="dxa"/>
            <w:vAlign w:val="bottom"/>
            <w:tcBorders>
              <w:top w:val="single" w:sz="8" w:color="auto"/>
            </w:tcBorders>
            <w:shd w:val="clear" w:color="auto" w:fill="CCEEFF"/>
          </w:tcPr>
          <w:p>
            <w:pPr>
              <w:jc w:val="right"/>
              <w:ind w:right="269"/>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17,606</w:t>
            </w:r>
          </w:p>
        </w:tc>
        <w:tc>
          <w:tcPr>
            <w:tcW w:w="100" w:type="dxa"/>
            <w:vAlign w:val="bottom"/>
            <w:tcBorders>
              <w:top w:val="single" w:sz="8" w:color="CCEEFF"/>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jc w:val="right"/>
              <w:ind w:right="729"/>
              <w:spacing w:after="0"/>
              <w:rPr>
                <w:sz w:val="20"/>
                <w:szCs w:val="20"/>
                <w:color w:val="auto"/>
              </w:rPr>
            </w:pPr>
            <w:r>
              <w:rPr>
                <w:rFonts w:ascii="Times New Roman" w:cs="Times New Roman" w:eastAsia="Times New Roman" w:hAnsi="Times New Roman"/>
                <w:sz w:val="14"/>
                <w:szCs w:val="14"/>
                <w:color w:val="auto"/>
                <w:w w:val="85"/>
              </w:rPr>
              <w:t>$</w:t>
            </w:r>
          </w:p>
        </w:tc>
        <w:tc>
          <w:tcPr>
            <w:tcW w:w="4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3"/>
              </w:rPr>
              <w:t>15,771</w:t>
            </w: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11,929</w:t>
            </w:r>
          </w:p>
        </w:tc>
        <w:tc>
          <w:tcPr>
            <w:tcW w:w="1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7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Additions based on tax positions related to the fiscal year</w:t>
            </w:r>
          </w:p>
        </w:tc>
        <w:tc>
          <w:tcPr>
            <w:tcW w:w="2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2,682</w:t>
            </w: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1,884</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2,042</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7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Additions based on tax positions related to prior years</w:t>
            </w:r>
          </w:p>
        </w:tc>
        <w:tc>
          <w:tcPr>
            <w:tcW w:w="2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1,369</w:t>
            </w: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587</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2,957</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7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Reductions based on tax positions related to prior years</w:t>
            </w:r>
          </w:p>
        </w:tc>
        <w:tc>
          <w:tcPr>
            <w:tcW w:w="2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w:t>
            </w: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(636)</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57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Reductions related to the expiration of statutes of limitation</w:t>
            </w:r>
          </w:p>
        </w:tc>
        <w:tc>
          <w:tcPr>
            <w:tcW w:w="2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(1,157)</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5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Balance at end of year</w:t>
            </w: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40" w:type="dxa"/>
            <w:vAlign w:val="bottom"/>
            <w:tcBorders>
              <w:top w:val="single" w:sz="8" w:color="auto"/>
              <w:bottom w:val="single" w:sz="8" w:color="auto"/>
            </w:tcBorders>
          </w:tcPr>
          <w:p>
            <w:pPr>
              <w:jc w:val="right"/>
              <w:ind w:right="269"/>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auto"/>
              <w:bottom w:val="single" w:sz="8" w:color="auto"/>
            </w:tcBorders>
          </w:tcPr>
          <w:p>
            <w:pPr>
              <w:spacing w:after="0"/>
              <w:rPr>
                <w:sz w:val="14"/>
                <w:szCs w:val="14"/>
                <w:color w:val="auto"/>
              </w:rPr>
            </w:pPr>
          </w:p>
        </w:tc>
        <w:tc>
          <w:tcPr>
            <w:tcW w:w="220" w:type="dxa"/>
            <w:vAlign w:val="bottom"/>
            <w:tcBorders>
              <w:top w:val="single" w:sz="8" w:color="auto"/>
              <w:bottom w:val="single" w:sz="8" w:color="auto"/>
            </w:tcBorders>
          </w:tcPr>
          <w:p>
            <w:pPr>
              <w:spacing w:after="0"/>
              <w:rPr>
                <w:sz w:val="14"/>
                <w:szCs w:val="14"/>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21,563</w:t>
            </w:r>
          </w:p>
        </w:tc>
        <w:tc>
          <w:tcPr>
            <w:tcW w:w="100" w:type="dxa"/>
            <w:vAlign w:val="bottom"/>
          </w:tcPr>
          <w:p>
            <w:pPr>
              <w:spacing w:after="0"/>
              <w:rPr>
                <w:sz w:val="14"/>
                <w:szCs w:val="14"/>
                <w:color w:val="auto"/>
              </w:rPr>
            </w:pPr>
          </w:p>
        </w:tc>
        <w:tc>
          <w:tcPr>
            <w:tcW w:w="880" w:type="dxa"/>
            <w:vAlign w:val="bottom"/>
            <w:tcBorders>
              <w:top w:val="single" w:sz="8" w:color="auto"/>
              <w:bottom w:val="single" w:sz="8" w:color="auto"/>
            </w:tcBorders>
          </w:tcPr>
          <w:p>
            <w:pPr>
              <w:jc w:val="right"/>
              <w:ind w:right="729"/>
              <w:spacing w:after="0"/>
              <w:rPr>
                <w:sz w:val="20"/>
                <w:szCs w:val="20"/>
                <w:color w:val="auto"/>
              </w:rPr>
            </w:pPr>
            <w:r>
              <w:rPr>
                <w:rFonts w:ascii="Times New Roman" w:cs="Times New Roman" w:eastAsia="Times New Roman" w:hAnsi="Times New Roman"/>
                <w:sz w:val="14"/>
                <w:szCs w:val="14"/>
                <w:color w:val="auto"/>
                <w:w w:val="85"/>
              </w:rPr>
              <w:t>$</w:t>
            </w:r>
          </w:p>
        </w:tc>
        <w:tc>
          <w:tcPr>
            <w:tcW w:w="4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w w:val="93"/>
              </w:rPr>
              <w:t>17,606</w:t>
            </w:r>
          </w:p>
        </w:tc>
        <w:tc>
          <w:tcPr>
            <w:tcW w:w="10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15,771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7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i w:val="1"/>
                <w:iCs w:val="1"/>
                <w:color w:val="auto"/>
              </w:rPr>
              <w:t>16. Other Income, Net</w:t>
            </w: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8"/>
        </w:trPr>
        <w:tc>
          <w:tcPr>
            <w:tcW w:w="572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1"/>
        </w:trPr>
        <w:tc>
          <w:tcPr>
            <w:tcW w:w="572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The components of other income, net, were as follows (dollars in thousands):</w:t>
            </w: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57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gridSpan w:val="3"/>
          </w:tcPr>
          <w:p>
            <w:pPr>
              <w:jc w:val="right"/>
              <w:ind w:right="269"/>
              <w:spacing w:after="0"/>
              <w:rPr>
                <w:sz w:val="20"/>
                <w:szCs w:val="20"/>
                <w:color w:val="auto"/>
              </w:rPr>
            </w:pPr>
            <w:r>
              <w:rPr>
                <w:rFonts w:ascii="Times New Roman" w:cs="Times New Roman" w:eastAsia="Times New Roman" w:hAnsi="Times New Roman"/>
                <w:sz w:val="14"/>
                <w:szCs w:val="14"/>
                <w:b w:val="1"/>
                <w:bCs w:val="1"/>
                <w:color w:val="auto"/>
              </w:rPr>
              <w:t>Fiscal Year Ended</w:t>
            </w:r>
          </w:p>
        </w:tc>
        <w:tc>
          <w:tcPr>
            <w:tcW w:w="8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57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20" w:type="dxa"/>
            <w:vAlign w:val="bottom"/>
            <w:gridSpan w:val="3"/>
          </w:tcPr>
          <w:p>
            <w:pPr>
              <w:ind w:left="140"/>
              <w:spacing w:after="0"/>
              <w:rPr>
                <w:sz w:val="20"/>
                <w:szCs w:val="20"/>
                <w:color w:val="auto"/>
              </w:rPr>
            </w:pPr>
            <w:r>
              <w:rPr>
                <w:rFonts w:ascii="Times New Roman" w:cs="Times New Roman" w:eastAsia="Times New Roman" w:hAnsi="Times New Roman"/>
                <w:sz w:val="14"/>
                <w:szCs w:val="14"/>
                <w:b w:val="1"/>
                <w:bCs w:val="1"/>
                <w:color w:val="auto"/>
              </w:rPr>
              <w:t>January 25, 2025</w:t>
            </w:r>
          </w:p>
        </w:tc>
        <w:tc>
          <w:tcPr>
            <w:tcW w:w="220" w:type="dxa"/>
            <w:vAlign w:val="bottom"/>
          </w:tcPr>
          <w:p>
            <w:pPr>
              <w:spacing w:after="0"/>
              <w:rPr>
                <w:sz w:val="15"/>
                <w:szCs w:val="15"/>
                <w:color w:val="auto"/>
              </w:rPr>
            </w:pPr>
          </w:p>
        </w:tc>
        <w:tc>
          <w:tcPr>
            <w:tcW w:w="1560" w:type="dxa"/>
            <w:vAlign w:val="bottom"/>
            <w:gridSpan w:val="3"/>
          </w:tcPr>
          <w:p>
            <w:pPr>
              <w:jc w:val="right"/>
              <w:ind w:right="309"/>
              <w:spacing w:after="0"/>
              <w:rPr>
                <w:sz w:val="20"/>
                <w:szCs w:val="20"/>
                <w:color w:val="auto"/>
              </w:rPr>
            </w:pPr>
            <w:r>
              <w:rPr>
                <w:rFonts w:ascii="Times New Roman" w:cs="Times New Roman" w:eastAsia="Times New Roman" w:hAnsi="Times New Roman"/>
                <w:sz w:val="14"/>
                <w:szCs w:val="14"/>
                <w:b w:val="1"/>
                <w:bCs w:val="1"/>
                <w:color w:val="auto"/>
              </w:rPr>
              <w:t>January 27, 2024</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00" w:type="dxa"/>
            <w:vAlign w:val="bottom"/>
            <w:gridSpan w:val="3"/>
          </w:tcPr>
          <w:p>
            <w:pPr>
              <w:jc w:val="right"/>
              <w:ind w:right="289"/>
              <w:spacing w:after="0"/>
              <w:rPr>
                <w:sz w:val="20"/>
                <w:szCs w:val="20"/>
                <w:color w:val="auto"/>
              </w:rPr>
            </w:pPr>
            <w:r>
              <w:rPr>
                <w:rFonts w:ascii="Times New Roman" w:cs="Times New Roman" w:eastAsia="Times New Roman" w:hAnsi="Times New Roman"/>
                <w:sz w:val="14"/>
                <w:szCs w:val="14"/>
                <w:b w:val="1"/>
                <w:bCs w:val="1"/>
                <w:color w:val="auto"/>
                <w:w w:val="99"/>
              </w:rPr>
              <w:t>January 28, 2023</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7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Gain on sale of fixed assets</w:t>
            </w:r>
          </w:p>
        </w:tc>
        <w:tc>
          <w:tcPr>
            <w:tcW w:w="220" w:type="dxa"/>
            <w:vAlign w:val="bottom"/>
            <w:tcBorders>
              <w:top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540" w:type="dxa"/>
            <w:vAlign w:val="bottom"/>
            <w:tcBorders>
              <w:top w:val="single" w:sz="8" w:color="auto"/>
            </w:tcBorders>
            <w:gridSpan w:val="2"/>
            <w:shd w:val="clear" w:color="auto" w:fill="CCEEFF"/>
          </w:tcPr>
          <w:p>
            <w:pPr>
              <w:ind w:left="1080"/>
              <w:spacing w:after="0"/>
              <w:rPr>
                <w:sz w:val="20"/>
                <w:szCs w:val="20"/>
                <w:color w:val="auto"/>
              </w:rPr>
            </w:pPr>
            <w:r>
              <w:rPr>
                <w:rFonts w:ascii="Times New Roman" w:cs="Times New Roman" w:eastAsia="Times New Roman" w:hAnsi="Times New Roman"/>
                <w:sz w:val="14"/>
                <w:szCs w:val="14"/>
                <w:color w:val="auto"/>
              </w:rPr>
              <w:t>36,461</w:t>
            </w:r>
          </w:p>
        </w:tc>
        <w:tc>
          <w:tcPr>
            <w:tcW w:w="8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28,348</w:t>
            </w:r>
          </w:p>
        </w:tc>
        <w:tc>
          <w:tcPr>
            <w:tcW w:w="80" w:type="dxa"/>
            <w:vAlign w:val="bottom"/>
            <w:tcBorders>
              <w:top w:val="single" w:sz="8" w:color="CCEEFF"/>
            </w:tcBorders>
            <w:shd w:val="clear" w:color="auto" w:fill="CCEEFF"/>
          </w:tcPr>
          <w:p>
            <w:pPr>
              <w:spacing w:after="0"/>
              <w:rPr>
                <w:sz w:val="15"/>
                <w:szCs w:val="15"/>
                <w:color w:val="auto"/>
              </w:rPr>
            </w:pPr>
          </w:p>
        </w:tc>
        <w:tc>
          <w:tcPr>
            <w:tcW w:w="360" w:type="dxa"/>
            <w:vAlign w:val="bottom"/>
            <w:tcBorders>
              <w:top w:val="single" w:sz="8" w:color="auto"/>
            </w:tcBorders>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16,759</w:t>
            </w:r>
          </w:p>
        </w:tc>
        <w:tc>
          <w:tcPr>
            <w:tcW w:w="1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7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Miscellaneous expense, net</w:t>
            </w:r>
          </w:p>
        </w:tc>
        <w:tc>
          <w:tcPr>
            <w:tcW w:w="22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gridSpan w:val="2"/>
          </w:tcPr>
          <w:p>
            <w:pPr>
              <w:ind w:left="1100"/>
              <w:spacing w:after="0"/>
              <w:rPr>
                <w:sz w:val="20"/>
                <w:szCs w:val="20"/>
                <w:color w:val="auto"/>
              </w:rPr>
            </w:pPr>
            <w:r>
              <w:rPr>
                <w:rFonts w:ascii="Times New Roman" w:cs="Times New Roman" w:eastAsia="Times New Roman" w:hAnsi="Times New Roman"/>
                <w:sz w:val="14"/>
                <w:szCs w:val="14"/>
                <w:color w:val="auto"/>
              </w:rPr>
              <w:t>(7,248)</w:t>
            </w:r>
          </w:p>
        </w:tc>
        <w:tc>
          <w:tcPr>
            <w:tcW w:w="8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ind w:left="440"/>
              <w:spacing w:after="0"/>
              <w:rPr>
                <w:sz w:val="20"/>
                <w:szCs w:val="20"/>
                <w:color w:val="auto"/>
              </w:rPr>
            </w:pPr>
            <w:r>
              <w:rPr>
                <w:rFonts w:ascii="Times New Roman" w:cs="Times New Roman" w:eastAsia="Times New Roman" w:hAnsi="Times New Roman"/>
                <w:sz w:val="14"/>
                <w:szCs w:val="14"/>
                <w:color w:val="auto"/>
              </w:rPr>
              <w:t>(6,739)</w:t>
            </w:r>
          </w:p>
        </w:tc>
        <w:tc>
          <w:tcPr>
            <w:tcW w:w="8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(6,558)</w:t>
            </w:r>
          </w:p>
        </w:tc>
        <w:tc>
          <w:tcPr>
            <w:tcW w:w="10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572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Other income, net</w:t>
            </w:r>
          </w:p>
        </w:tc>
        <w:tc>
          <w:tcPr>
            <w:tcW w:w="220" w:type="dxa"/>
            <w:vAlign w:val="bottom"/>
            <w:tcBorders>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540" w:type="dxa"/>
            <w:vAlign w:val="bottom"/>
            <w:tcBorders>
              <w:bottom w:val="single" w:sz="8" w:color="auto"/>
            </w:tcBorders>
            <w:gridSpan w:val="2"/>
            <w:shd w:val="clear" w:color="auto" w:fill="CCEEFF"/>
          </w:tcPr>
          <w:p>
            <w:pPr>
              <w:ind w:left="1080"/>
              <w:spacing w:after="0"/>
              <w:rPr>
                <w:sz w:val="20"/>
                <w:szCs w:val="20"/>
                <w:color w:val="auto"/>
              </w:rPr>
            </w:pPr>
            <w:r>
              <w:rPr>
                <w:rFonts w:ascii="Times New Roman" w:cs="Times New Roman" w:eastAsia="Times New Roman" w:hAnsi="Times New Roman"/>
                <w:sz w:val="14"/>
                <w:szCs w:val="14"/>
                <w:color w:val="auto"/>
              </w:rPr>
              <w:t>29,213</w:t>
            </w:r>
          </w:p>
        </w:tc>
        <w:tc>
          <w:tcPr>
            <w:tcW w:w="8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Borders>
              <w:bottom w:val="single" w:sz="8" w:color="auto"/>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21,609</w:t>
            </w:r>
          </w:p>
        </w:tc>
        <w:tc>
          <w:tcPr>
            <w:tcW w:w="8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auto"/>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10,201</w:t>
            </w:r>
          </w:p>
        </w:tc>
        <w:tc>
          <w:tcPr>
            <w:tcW w:w="10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7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1" w:lineRule="exact"/>
        <w:rPr>
          <w:sz w:val="20"/>
          <w:szCs w:val="20"/>
          <w:color w:val="auto"/>
        </w:rPr>
      </w:pPr>
    </w:p>
    <w:p>
      <w:pPr>
        <w:ind w:right="40" w:firstLine="255"/>
        <w:spacing w:after="0" w:line="260" w:lineRule="auto"/>
        <w:rPr>
          <w:sz w:val="20"/>
          <w:szCs w:val="20"/>
          <w:color w:val="auto"/>
        </w:rPr>
      </w:pPr>
      <w:r>
        <w:rPr>
          <w:rFonts w:ascii="Times New Roman" w:cs="Times New Roman" w:eastAsia="Times New Roman" w:hAnsi="Times New Roman"/>
          <w:sz w:val="14"/>
          <w:szCs w:val="14"/>
          <w:color w:val="auto"/>
        </w:rPr>
        <w:t>We participate in a vendor payment program sponsored by one of our customers. Eligible accounts receivable from this customer are included in the program and payment is received pursuant to a non-recourse sale to a bank partner. This program effectively reduces the time to collect these receivables as compared to that customer’s standard payment terms. We incur a discount fee to the bank on the payments received that is included as an expense component in miscellaneous expense, net in the table above.</w:t>
      </w:r>
    </w:p>
    <w:p>
      <w:pPr>
        <w:spacing w:after="0"/>
        <w:rPr>
          <w:sz w:val="20"/>
          <w:szCs w:val="20"/>
          <w:color w:val="auto"/>
        </w:rPr>
      </w:pPr>
      <w:r>
        <w:rPr>
          <w:rFonts w:ascii="Times New Roman" w:cs="Times New Roman" w:eastAsia="Times New Roman" w:hAnsi="Times New Roman"/>
          <w:sz w:val="14"/>
          <w:szCs w:val="14"/>
          <w:b w:val="1"/>
          <w:bCs w:val="1"/>
          <w:i w:val="1"/>
          <w:iCs w:val="1"/>
          <w:color w:val="auto"/>
        </w:rPr>
        <w:t>17. Employee Benefit Plans</w:t>
      </w:r>
    </w:p>
    <w:p>
      <w:pPr>
        <w:spacing w:after="0" w:line="185" w:lineRule="exact"/>
        <w:rPr>
          <w:sz w:val="20"/>
          <w:szCs w:val="20"/>
          <w:color w:val="auto"/>
        </w:rPr>
      </w:pPr>
    </w:p>
    <w:p>
      <w:pPr>
        <w:ind w:right="40" w:firstLine="255"/>
        <w:spacing w:after="0" w:line="264" w:lineRule="auto"/>
        <w:rPr>
          <w:sz w:val="20"/>
          <w:szCs w:val="20"/>
          <w:color w:val="auto"/>
        </w:rPr>
      </w:pPr>
      <w:r>
        <w:rPr>
          <w:rFonts w:ascii="Times New Roman" w:cs="Times New Roman" w:eastAsia="Times New Roman" w:hAnsi="Times New Roman"/>
          <w:sz w:val="14"/>
          <w:szCs w:val="14"/>
          <w:color w:val="auto"/>
        </w:rPr>
        <w:t>We sponsor a defined contribution plan that provides retirement benefits to eligible employees who elect to participate (the “Dycom Plan”). Under the plan, participating employees may defer up to 75% of their base pre-tax eligible compensation up to the IRS limits. Prior to January 1, 2023, we contributed 30% of the first 5% of base eligible compensation that a participant contributes to the plan and may make discretionary matching contributions from time to time. Effective January 1, 2023, we increased our contribution to 50% of the first 6% of base eligible compensation. Our contributions were $12.3 million, $10.9 million, and $5.3 million related to fiscal 2025, fiscal 2024, and fiscal 2023, respectively.</w:t>
      </w:r>
    </w:p>
    <w:p>
      <w:pPr>
        <w:spacing w:after="0" w:line="162" w:lineRule="exact"/>
        <w:rPr>
          <w:sz w:val="20"/>
          <w:szCs w:val="20"/>
          <w:color w:val="auto"/>
        </w:rPr>
      </w:pPr>
    </w:p>
    <w:p>
      <w:pPr>
        <w:ind w:right="20" w:firstLine="255"/>
        <w:spacing w:after="0" w:line="270" w:lineRule="auto"/>
        <w:rPr>
          <w:sz w:val="20"/>
          <w:szCs w:val="20"/>
          <w:color w:val="auto"/>
        </w:rPr>
      </w:pPr>
      <w:r>
        <w:rPr>
          <w:rFonts w:ascii="Times New Roman" w:cs="Times New Roman" w:eastAsia="Times New Roman" w:hAnsi="Times New Roman"/>
          <w:sz w:val="14"/>
          <w:szCs w:val="14"/>
          <w:color w:val="auto"/>
        </w:rPr>
        <w:t>Certain of the Company’s subsidiaries contribute amounts to multiemployer defined benefit pension plans under the terms of collective bargaining agreements (“CBA”) that cover employees represented by unions. Contributions are generally based on fixed amounts per hour per employee for employees covered by the plan. Participating in a multiemployer plan entails risks different from single-employer plans in the following aspects:</w:t>
      </w: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44" w:lineRule="exact"/>
        <w:rPr>
          <w:sz w:val="20"/>
          <w:szCs w:val="20"/>
          <w:color w:val="auto"/>
        </w:rPr>
      </w:pPr>
    </w:p>
    <w:p>
      <w:pPr>
        <w:ind w:left="520" w:hanging="133"/>
        <w:spacing w:after="0"/>
        <w:tabs>
          <w:tab w:leader="none" w:pos="52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assets contributed to the multiemployer plan by one employer may be used to provide benefits to employees of other participating employers;</w:t>
      </w:r>
    </w:p>
    <w:p>
      <w:pPr>
        <w:spacing w:after="0" w:line="199" w:lineRule="exact"/>
        <w:rPr>
          <w:rFonts w:ascii="Times New Roman" w:cs="Times New Roman" w:eastAsia="Times New Roman" w:hAnsi="Times New Roman"/>
          <w:sz w:val="14"/>
          <w:szCs w:val="14"/>
          <w:color w:val="auto"/>
        </w:rPr>
      </w:pPr>
    </w:p>
    <w:p>
      <w:pPr>
        <w:ind w:left="520" w:hanging="133"/>
        <w:spacing w:after="0"/>
        <w:tabs>
          <w:tab w:leader="none" w:pos="52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a participating employer stops contributing to the plan, the unfunded obligations of the plan may be allocated to the remaining participating employers; and</w:t>
      </w:r>
    </w:p>
    <w:p>
      <w:pPr>
        <w:spacing w:after="0" w:line="199" w:lineRule="exact"/>
        <w:rPr>
          <w:rFonts w:ascii="Times New Roman" w:cs="Times New Roman" w:eastAsia="Times New Roman" w:hAnsi="Times New Roman"/>
          <w:sz w:val="14"/>
          <w:szCs w:val="14"/>
          <w:color w:val="auto"/>
        </w:rPr>
      </w:pPr>
    </w:p>
    <w:p>
      <w:pPr>
        <w:ind w:left="520" w:right="80" w:hanging="133"/>
        <w:spacing w:after="0" w:line="287" w:lineRule="auto"/>
        <w:tabs>
          <w:tab w:leader="none" w:pos="516"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the Company stops participating in the multiemployer plan, the Company may be required to pay the plan an amount based on the underfunded status of the plan. This payment is referred to as a withdrawal liability.</w:t>
      </w:r>
    </w:p>
    <w:p>
      <w:pPr>
        <w:spacing w:after="0" w:line="145" w:lineRule="exact"/>
        <w:rPr>
          <w:sz w:val="20"/>
          <w:szCs w:val="20"/>
          <w:color w:val="auto"/>
        </w:rPr>
      </w:pPr>
    </w:p>
    <w:p>
      <w:pPr>
        <w:ind w:right="180" w:firstLine="255"/>
        <w:spacing w:after="0" w:line="270" w:lineRule="auto"/>
        <w:rPr>
          <w:sz w:val="20"/>
          <w:szCs w:val="20"/>
          <w:color w:val="auto"/>
        </w:rPr>
      </w:pPr>
      <w:r>
        <w:rPr>
          <w:rFonts w:ascii="Times New Roman" w:cs="Times New Roman" w:eastAsia="Times New Roman" w:hAnsi="Times New Roman"/>
          <w:sz w:val="14"/>
          <w:szCs w:val="14"/>
          <w:color w:val="auto"/>
        </w:rPr>
        <w:t>The information available to us about the multiemployer plans in which we participate is generally dated due to the nature of the reporting cycle of multiemployer plans and legal requirements under the Employee Retirement Income Security Act (“ERISA”) as amended by the Multiemployer Pension Plan Amendments Act. Based upon the most recently available annual reports, our contribution to each of the plans was less than 5% of each plan’s total contributions. All plans are presented in the aggregate in the following table (dollars in thousands):</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6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4"/>
                <w:szCs w:val="14"/>
                <w:b w:val="1"/>
                <w:bCs w:val="1"/>
                <w:color w:val="auto"/>
              </w:rPr>
              <w:t>Company Contributions</w:t>
            </w:r>
          </w:p>
        </w:tc>
        <w:tc>
          <w:tcPr>
            <w:tcW w:w="9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5"/>
        </w:trPr>
        <w:tc>
          <w:tcPr>
            <w:tcW w:w="64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00" w:type="dxa"/>
            <w:vAlign w:val="bottom"/>
          </w:tcPr>
          <w:p>
            <w:pPr>
              <w:jc w:val="center"/>
              <w:ind w:left="129"/>
              <w:spacing w:after="0"/>
              <w:rPr>
                <w:sz w:val="20"/>
                <w:szCs w:val="20"/>
                <w:color w:val="auto"/>
              </w:rPr>
            </w:pPr>
            <w:r>
              <w:rPr>
                <w:rFonts w:ascii="Times New Roman" w:cs="Times New Roman" w:eastAsia="Times New Roman" w:hAnsi="Times New Roman"/>
                <w:sz w:val="14"/>
                <w:szCs w:val="14"/>
                <w:b w:val="1"/>
                <w:bCs w:val="1"/>
                <w:color w:val="auto"/>
                <w:w w:val="96"/>
              </w:rPr>
              <w:t>Fiscal Year</w:t>
            </w:r>
          </w:p>
        </w:tc>
        <w:tc>
          <w:tcPr>
            <w:tcW w:w="1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6"/>
              </w:rPr>
              <w:t>Fiscal Year</w:t>
            </w:r>
          </w:p>
        </w:tc>
        <w:tc>
          <w:tcPr>
            <w:tcW w:w="180" w:type="dxa"/>
            <w:vAlign w:val="bottom"/>
          </w:tcPr>
          <w:p>
            <w:pPr>
              <w:spacing w:after="0"/>
              <w:rPr>
                <w:sz w:val="23"/>
                <w:szCs w:val="23"/>
                <w:color w:val="auto"/>
              </w:rPr>
            </w:pPr>
          </w:p>
        </w:tc>
        <w:tc>
          <w:tcPr>
            <w:tcW w:w="920" w:type="dxa"/>
            <w:vAlign w:val="bottom"/>
          </w:tcPr>
          <w:p>
            <w:pPr>
              <w:jc w:val="center"/>
              <w:ind w:right="109"/>
              <w:spacing w:after="0"/>
              <w:rPr>
                <w:sz w:val="20"/>
                <w:szCs w:val="20"/>
                <w:color w:val="auto"/>
              </w:rPr>
            </w:pPr>
            <w:r>
              <w:rPr>
                <w:rFonts w:ascii="Times New Roman" w:cs="Times New Roman" w:eastAsia="Times New Roman" w:hAnsi="Times New Roman"/>
                <w:sz w:val="14"/>
                <w:szCs w:val="14"/>
                <w:b w:val="1"/>
                <w:bCs w:val="1"/>
                <w:color w:val="auto"/>
                <w:w w:val="96"/>
              </w:rPr>
              <w:t>Fiscal Year</w:t>
            </w:r>
          </w:p>
        </w:tc>
        <w:tc>
          <w:tcPr>
            <w:tcW w:w="10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91"/>
        </w:trPr>
        <w:tc>
          <w:tcPr>
            <w:tcW w:w="6520" w:type="dxa"/>
            <w:vAlign w:val="bottom"/>
            <w:gridSpan w:val="2"/>
            <w:vMerge w:val="restart"/>
          </w:tcPr>
          <w:p>
            <w:pPr>
              <w:ind w:left="3060"/>
              <w:spacing w:after="0"/>
              <w:rPr>
                <w:sz w:val="20"/>
                <w:szCs w:val="20"/>
                <w:color w:val="auto"/>
              </w:rPr>
            </w:pPr>
            <w:r>
              <w:rPr>
                <w:rFonts w:ascii="Times New Roman" w:cs="Times New Roman" w:eastAsia="Times New Roman" w:hAnsi="Times New Roman"/>
                <w:sz w:val="14"/>
                <w:szCs w:val="14"/>
                <w:b w:val="1"/>
                <w:bCs w:val="1"/>
                <w:color w:val="auto"/>
              </w:rPr>
              <w:t>Fund</w:t>
            </w:r>
          </w:p>
        </w:tc>
        <w:tc>
          <w:tcPr>
            <w:tcW w:w="900" w:type="dxa"/>
            <w:vAlign w:val="bottom"/>
          </w:tcPr>
          <w:p>
            <w:pPr>
              <w:jc w:val="center"/>
              <w:ind w:left="129"/>
              <w:spacing w:after="0"/>
              <w:rPr>
                <w:sz w:val="20"/>
                <w:szCs w:val="20"/>
                <w:color w:val="auto"/>
              </w:rPr>
            </w:pPr>
            <w:r>
              <w:rPr>
                <w:rFonts w:ascii="Times New Roman" w:cs="Times New Roman" w:eastAsia="Times New Roman" w:hAnsi="Times New Roman"/>
                <w:sz w:val="14"/>
                <w:szCs w:val="14"/>
                <w:b w:val="1"/>
                <w:bCs w:val="1"/>
                <w:color w:val="auto"/>
                <w:w w:val="97"/>
              </w:rPr>
              <w:t>Ended</w:t>
            </w: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7"/>
              </w:rPr>
              <w:t>Ended</w:t>
            </w:r>
          </w:p>
        </w:tc>
        <w:tc>
          <w:tcPr>
            <w:tcW w:w="180" w:type="dxa"/>
            <w:vAlign w:val="bottom"/>
          </w:tcPr>
          <w:p>
            <w:pPr>
              <w:spacing w:after="0"/>
              <w:rPr>
                <w:sz w:val="16"/>
                <w:szCs w:val="16"/>
                <w:color w:val="auto"/>
              </w:rPr>
            </w:pPr>
          </w:p>
        </w:tc>
        <w:tc>
          <w:tcPr>
            <w:tcW w:w="920" w:type="dxa"/>
            <w:vAlign w:val="bottom"/>
          </w:tcPr>
          <w:p>
            <w:pPr>
              <w:jc w:val="center"/>
              <w:ind w:right="109"/>
              <w:spacing w:after="0"/>
              <w:rPr>
                <w:sz w:val="20"/>
                <w:szCs w:val="20"/>
                <w:color w:val="auto"/>
              </w:rPr>
            </w:pPr>
            <w:r>
              <w:rPr>
                <w:rFonts w:ascii="Times New Roman" w:cs="Times New Roman" w:eastAsia="Times New Roman" w:hAnsi="Times New Roman"/>
                <w:sz w:val="14"/>
                <w:szCs w:val="14"/>
                <w:b w:val="1"/>
                <w:bCs w:val="1"/>
                <w:color w:val="auto"/>
                <w:w w:val="97"/>
              </w:rPr>
              <w:t>Ended</w:t>
            </w:r>
          </w:p>
        </w:tc>
        <w:tc>
          <w:tcPr>
            <w:tcW w:w="100" w:type="dxa"/>
            <w:vAlign w:val="bottom"/>
          </w:tcPr>
          <w:p>
            <w:pPr>
              <w:spacing w:after="0"/>
              <w:rPr>
                <w:sz w:val="16"/>
                <w:szCs w:val="16"/>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Expiration Date of</w:t>
            </w:r>
          </w:p>
        </w:tc>
        <w:tc>
          <w:tcPr>
            <w:tcW w:w="0" w:type="dxa"/>
            <w:vAlign w:val="bottom"/>
          </w:tcPr>
          <w:p>
            <w:pPr>
              <w:spacing w:after="0"/>
              <w:rPr>
                <w:sz w:val="1"/>
                <w:szCs w:val="1"/>
                <w:color w:val="auto"/>
              </w:rPr>
            </w:pPr>
          </w:p>
        </w:tc>
      </w:tr>
      <w:tr>
        <w:trPr>
          <w:trHeight w:val="192"/>
        </w:trPr>
        <w:tc>
          <w:tcPr>
            <w:tcW w:w="6520" w:type="dxa"/>
            <w:vAlign w:val="bottom"/>
            <w:gridSpan w:val="2"/>
            <w:vMerge w:val="continue"/>
          </w:tcPr>
          <w:p>
            <w:pPr>
              <w:spacing w:after="0"/>
              <w:rPr>
                <w:sz w:val="16"/>
                <w:szCs w:val="16"/>
                <w:color w:val="auto"/>
              </w:rPr>
            </w:pPr>
          </w:p>
        </w:tc>
        <w:tc>
          <w:tcPr>
            <w:tcW w:w="900" w:type="dxa"/>
            <w:vAlign w:val="bottom"/>
          </w:tcPr>
          <w:p>
            <w:pPr>
              <w:jc w:val="center"/>
              <w:ind w:left="129"/>
              <w:spacing w:after="0"/>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jc w:val="center"/>
              <w:ind w:right="6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jc w:val="center"/>
              <w:ind w:right="109"/>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4"/>
              </w:rPr>
              <w:t>CBA</w:t>
            </w:r>
          </w:p>
        </w:tc>
        <w:tc>
          <w:tcPr>
            <w:tcW w:w="0" w:type="dxa"/>
            <w:vAlign w:val="bottom"/>
          </w:tcPr>
          <w:p>
            <w:pPr>
              <w:spacing w:after="0"/>
              <w:rPr>
                <w:sz w:val="1"/>
                <w:szCs w:val="1"/>
                <w:color w:val="auto"/>
              </w:rPr>
            </w:pPr>
          </w:p>
        </w:tc>
      </w:tr>
      <w:tr>
        <w:trPr>
          <w:trHeight w:val="180"/>
        </w:trPr>
        <w:tc>
          <w:tcPr>
            <w:tcW w:w="64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All Plans</w:t>
            </w:r>
          </w:p>
        </w:tc>
        <w:tc>
          <w:tcPr>
            <w:tcW w:w="100" w:type="dxa"/>
            <w:vAlign w:val="bottom"/>
            <w:tcBorders>
              <w:top w:val="single" w:sz="8" w:color="CCEEFF"/>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jc w:val="right"/>
              <w:ind w:right="749"/>
              <w:spacing w:after="0"/>
              <w:rPr>
                <w:sz w:val="20"/>
                <w:szCs w:val="20"/>
                <w:color w:val="auto"/>
              </w:rPr>
            </w:pPr>
            <w:r>
              <w:rPr>
                <w:rFonts w:ascii="Times New Roman" w:cs="Times New Roman" w:eastAsia="Times New Roman" w:hAnsi="Times New Roman"/>
                <w:sz w:val="14"/>
                <w:szCs w:val="14"/>
                <w:color w:val="auto"/>
                <w:w w:val="85"/>
              </w:rPr>
              <w:t>$</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75</w:t>
            </w:r>
          </w:p>
        </w:tc>
        <w:tc>
          <w:tcPr>
            <w:tcW w:w="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w:t>
            </w:r>
          </w:p>
        </w:tc>
        <w:tc>
          <w:tcPr>
            <w:tcW w:w="1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w:t>
            </w:r>
          </w:p>
        </w:tc>
        <w:tc>
          <w:tcPr>
            <w:tcW w:w="100" w:type="dxa"/>
            <w:vAlign w:val="bottom"/>
            <w:tcBorders>
              <w:top w:val="single" w:sz="8" w:color="CCEEFF"/>
            </w:tcBorders>
            <w:shd w:val="clear" w:color="auto" w:fill="CCEEFF"/>
          </w:tcPr>
          <w:p>
            <w:pPr>
              <w:spacing w:after="0"/>
              <w:rPr>
                <w:sz w:val="15"/>
                <w:szCs w:val="15"/>
                <w:color w:val="auto"/>
              </w:rPr>
            </w:pPr>
          </w:p>
        </w:tc>
        <w:tc>
          <w:tcPr>
            <w:tcW w:w="11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Various</w:t>
            </w:r>
          </w:p>
        </w:tc>
        <w:tc>
          <w:tcPr>
            <w:tcW w:w="0" w:type="dxa"/>
            <w:vAlign w:val="bottom"/>
          </w:tcPr>
          <w:p>
            <w:pPr>
              <w:spacing w:after="0"/>
              <w:rPr>
                <w:sz w:val="1"/>
                <w:szCs w:val="1"/>
                <w:color w:val="auto"/>
              </w:rPr>
            </w:pPr>
          </w:p>
        </w:tc>
      </w:tr>
    </w:tbl>
    <w:p>
      <w:pPr>
        <w:spacing w:after="0" w:line="282" w:lineRule="exact"/>
        <w:rPr>
          <w:sz w:val="20"/>
          <w:szCs w:val="20"/>
          <w:color w:val="auto"/>
        </w:rPr>
      </w:pPr>
    </w:p>
    <w:p>
      <w:pPr>
        <w:jc w:val="both"/>
        <w:ind w:firstLine="255"/>
        <w:spacing w:after="0" w:line="253" w:lineRule="auto"/>
        <w:rPr>
          <w:sz w:val="20"/>
          <w:szCs w:val="20"/>
          <w:color w:val="auto"/>
        </w:rPr>
      </w:pPr>
      <w:r>
        <w:rPr>
          <w:rFonts w:ascii="Times New Roman" w:cs="Times New Roman" w:eastAsia="Times New Roman" w:hAnsi="Times New Roman"/>
          <w:sz w:val="14"/>
          <w:szCs w:val="14"/>
          <w:color w:val="auto"/>
        </w:rPr>
        <w:t>During the fourth quarter of fiscal 2016, one of the Company’s subsidiaries ceased operations. This subsidiary contributed to a multiemployer pension plan, the Pension, Hospitalization and Benefit Plan of the Electrical Industry - Pension Trust Fund (the “Plan”). In October 2016, the Plan demanded payment for a claimed withdrawal liability pursuant to its interpretation of ERISA. The subsidiary disputed, among other things, the amount of the withdrawal liability demanded by the Plan and submitted this dispute to arbitration, as required by ERISA. During the third quarter of fiscal 2025, the Company and the Plan reached an agreement to fully resolve this matter and there was no material financial impact to the Company.</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18. Capital Stock</w:t>
      </w:r>
    </w:p>
    <w:p>
      <w:pPr>
        <w:spacing w:after="0" w:line="20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i w:val="1"/>
          <w:iCs w:val="1"/>
          <w:color w:val="auto"/>
        </w:rPr>
        <w:t xml:space="preserve">Repurchases of Common Stock. </w:t>
      </w:r>
      <w:r>
        <w:rPr>
          <w:rFonts w:ascii="Times New Roman" w:cs="Times New Roman" w:eastAsia="Times New Roman" w:hAnsi="Times New Roman"/>
          <w:sz w:val="14"/>
          <w:szCs w:val="14"/>
          <w:color w:val="auto"/>
        </w:rPr>
        <w:t>The Company made the following repurchases during fiscal 2025, fiscal 2024, and fiscal 2023 (all shares repurchased have been canceled).</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80" w:type="dxa"/>
            <w:vAlign w:val="bottom"/>
          </w:tcPr>
          <w:p>
            <w:pPr>
              <w:spacing w:after="0"/>
              <w:rPr>
                <w:sz w:val="13"/>
                <w:szCs w:val="13"/>
                <w:color w:val="auto"/>
              </w:rPr>
            </w:pPr>
          </w:p>
        </w:tc>
        <w:tc>
          <w:tcPr>
            <w:tcW w:w="1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2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w w:val="99"/>
              </w:rPr>
              <w:t>Total Consideration</w:t>
            </w:r>
          </w:p>
        </w:tc>
        <w:tc>
          <w:tcPr>
            <w:tcW w:w="120" w:type="dxa"/>
            <w:vAlign w:val="bottom"/>
          </w:tcPr>
          <w:p>
            <w:pPr>
              <w:spacing w:after="0"/>
              <w:rPr>
                <w:sz w:val="13"/>
                <w:szCs w:val="13"/>
                <w:color w:val="auto"/>
              </w:rPr>
            </w:pPr>
          </w:p>
        </w:tc>
        <w:tc>
          <w:tcPr>
            <w:tcW w:w="1840" w:type="dxa"/>
            <w:vAlign w:val="bottom"/>
          </w:tcPr>
          <w:p>
            <w:pPr>
              <w:spacing w:after="0"/>
              <w:rPr>
                <w:sz w:val="13"/>
                <w:szCs w:val="13"/>
                <w:color w:val="auto"/>
              </w:rPr>
            </w:pPr>
          </w:p>
        </w:tc>
      </w:tr>
      <w:tr>
        <w:trPr>
          <w:trHeight w:val="188"/>
        </w:trPr>
        <w:tc>
          <w:tcPr>
            <w:tcW w:w="5180" w:type="dxa"/>
            <w:vAlign w:val="bottom"/>
          </w:tcPr>
          <w:p>
            <w:pPr>
              <w:ind w:left="2340"/>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20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Number of Shares Repurchased</w:t>
            </w:r>
          </w:p>
        </w:tc>
        <w:tc>
          <w:tcPr>
            <w:tcW w:w="240" w:type="dxa"/>
            <w:vAlign w:val="bottom"/>
          </w:tcPr>
          <w:p>
            <w:pPr>
              <w:spacing w:after="0"/>
              <w:rPr>
                <w:sz w:val="16"/>
                <w:szCs w:val="16"/>
                <w:color w:val="auto"/>
              </w:rPr>
            </w:pPr>
          </w:p>
        </w:tc>
        <w:tc>
          <w:tcPr>
            <w:tcW w:w="182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20" w:type="dxa"/>
            <w:vAlign w:val="bottom"/>
          </w:tcPr>
          <w:p>
            <w:pPr>
              <w:spacing w:after="0"/>
              <w:rPr>
                <w:sz w:val="16"/>
                <w:szCs w:val="16"/>
                <w:color w:val="auto"/>
              </w:rPr>
            </w:pPr>
          </w:p>
        </w:tc>
        <w:tc>
          <w:tcPr>
            <w:tcW w:w="1840" w:type="dxa"/>
            <w:vAlign w:val="bottom"/>
          </w:tcPr>
          <w:p>
            <w:pPr>
              <w:jc w:val="right"/>
              <w:ind w:right="109"/>
              <w:spacing w:after="0" w:line="187" w:lineRule="exact"/>
              <w:rPr>
                <w:sz w:val="20"/>
                <w:szCs w:val="20"/>
                <w:color w:val="auto"/>
              </w:rPr>
            </w:pPr>
            <w:r>
              <w:rPr>
                <w:rFonts w:ascii="Times New Roman" w:cs="Times New Roman" w:eastAsia="Times New Roman" w:hAnsi="Times New Roman"/>
                <w:sz w:val="14"/>
                <w:szCs w:val="14"/>
                <w:b w:val="1"/>
                <w:bCs w:val="1"/>
                <w:color w:val="auto"/>
                <w:w w:val="99"/>
              </w:rPr>
              <w:t xml:space="preserve">Average Price Per Share </w:t>
            </w:r>
            <w:r>
              <w:rPr>
                <w:rFonts w:ascii="Times New Roman" w:cs="Times New Roman" w:eastAsia="Times New Roman" w:hAnsi="Times New Roman"/>
                <w:sz w:val="18"/>
                <w:szCs w:val="18"/>
                <w:b w:val="1"/>
                <w:bCs w:val="1"/>
                <w:color w:val="auto"/>
                <w:w w:val="99"/>
                <w:vertAlign w:val="superscript"/>
              </w:rPr>
              <w:t>(1)</w:t>
            </w:r>
          </w:p>
        </w:tc>
      </w:tr>
      <w:tr>
        <w:trPr>
          <w:trHeight w:val="180"/>
        </w:trPr>
        <w:tc>
          <w:tcPr>
            <w:tcW w:w="51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Fiscal 2025</w:t>
            </w:r>
          </w:p>
        </w:tc>
        <w:tc>
          <w:tcPr>
            <w:tcW w:w="1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410,000</w:t>
            </w:r>
          </w:p>
        </w:tc>
        <w:tc>
          <w:tcPr>
            <w:tcW w:w="10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65,640</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160.10</w:t>
            </w:r>
          </w:p>
        </w:tc>
      </w:tr>
      <w:tr>
        <w:trPr>
          <w:trHeight w:val="180"/>
        </w:trPr>
        <w:tc>
          <w:tcPr>
            <w:tcW w:w="5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Fiscal 2024</w:t>
            </w:r>
          </w:p>
        </w:tc>
        <w:tc>
          <w:tcPr>
            <w:tcW w:w="1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485,000</w:t>
            </w:r>
          </w:p>
        </w:tc>
        <w:tc>
          <w:tcPr>
            <w:tcW w:w="100" w:type="dxa"/>
            <w:vAlign w:val="bottom"/>
          </w:tcPr>
          <w:p>
            <w:pPr>
              <w:spacing w:after="0"/>
              <w:rPr>
                <w:sz w:val="15"/>
                <w:szCs w:val="15"/>
                <w:color w:val="auto"/>
              </w:rPr>
            </w:pPr>
          </w:p>
        </w:tc>
        <w:tc>
          <w:tcPr>
            <w:tcW w:w="24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49,659</w:t>
            </w:r>
          </w:p>
        </w:tc>
        <w:tc>
          <w:tcPr>
            <w:tcW w:w="10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102.39</w:t>
            </w:r>
          </w:p>
        </w:tc>
      </w:tr>
      <w:tr>
        <w:trPr>
          <w:trHeight w:val="180"/>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Fiscal 2023</w:t>
            </w: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514,030</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48,732</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94.80</w:t>
            </w:r>
          </w:p>
        </w:tc>
      </w:tr>
    </w:tbl>
    <w:p>
      <w:pPr>
        <w:spacing w:after="0" w:line="59" w:lineRule="exact"/>
        <w:rPr>
          <w:sz w:val="20"/>
          <w:szCs w:val="20"/>
          <w:color w:val="auto"/>
        </w:rPr>
      </w:pPr>
    </w:p>
    <w:p>
      <w:pPr>
        <w:ind w:left="140" w:hanging="135"/>
        <w:spacing w:after="0"/>
        <w:tabs>
          <w:tab w:leader="none" w:pos="140" w:val="left"/>
        </w:tabs>
        <w:numPr>
          <w:ilvl w:val="0"/>
          <w:numId w:val="16"/>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Average price paid per share excludes 1% excise tax on share repurchases.</w:t>
      </w:r>
    </w:p>
    <w:p>
      <w:pPr>
        <w:spacing w:after="0" w:line="198" w:lineRule="exact"/>
        <w:rPr>
          <w:sz w:val="20"/>
          <w:szCs w:val="20"/>
          <w:color w:val="auto"/>
        </w:rPr>
      </w:pPr>
    </w:p>
    <w:p>
      <w:pPr>
        <w:ind w:right="20" w:firstLine="255"/>
        <w:spacing w:after="0" w:line="264" w:lineRule="auto"/>
        <w:rPr>
          <w:sz w:val="20"/>
          <w:szCs w:val="20"/>
          <w:color w:val="auto"/>
        </w:rPr>
      </w:pPr>
      <w:r>
        <w:rPr>
          <w:rFonts w:ascii="Times New Roman" w:cs="Times New Roman" w:eastAsia="Times New Roman" w:hAnsi="Times New Roman"/>
          <w:sz w:val="14"/>
          <w:szCs w:val="14"/>
          <w:color w:val="auto"/>
        </w:rPr>
        <w:t>On August 23, 2023, the Company announced that its Board of Directors authorized a new $150.0 million program to repurchase shares of the Company’s outstanding common stock through February 2025 in open market or private transactions. During fiscal 2025 we repurchased 410,000 shares of common stock, at an average price of $160.10, for $65.6 million, including 200,000 shares of common stock, at an average price of $179.27, repurchased during the fourth quarter of fiscal 2025 for $35.9 million. During fiscal 2024, we repurchased 485,000 shares of our common stock, at an average price of $102.39, for $49.7 million. As of January 25, 2025, $55.0 million of the authorization remained available for repurchases.</w:t>
      </w:r>
    </w:p>
    <w:p>
      <w:pPr>
        <w:spacing w:after="0" w:line="162" w:lineRule="exact"/>
        <w:rPr>
          <w:sz w:val="20"/>
          <w:szCs w:val="20"/>
          <w:color w:val="auto"/>
        </w:rPr>
      </w:pPr>
    </w:p>
    <w:p>
      <w:pPr>
        <w:ind w:right="380" w:firstLine="255"/>
        <w:spacing w:after="0" w:line="270" w:lineRule="auto"/>
        <w:rPr>
          <w:sz w:val="20"/>
          <w:szCs w:val="20"/>
          <w:color w:val="auto"/>
        </w:rPr>
      </w:pPr>
      <w:r>
        <w:rPr>
          <w:rFonts w:ascii="Times New Roman" w:cs="Times New Roman" w:eastAsia="Times New Roman" w:hAnsi="Times New Roman"/>
          <w:sz w:val="14"/>
          <w:szCs w:val="14"/>
          <w:color w:val="auto"/>
        </w:rPr>
        <w:t xml:space="preserve">On March 2, 2022, the Company announced that its Board of Directors had authorized a $150.0 million program to repurchase shares of the Company’s outstanding common stock through August 2023 in open market or private transactions. During fiscal 2023, we repurchased 514,030 shares of our common stock, at an average price of $94.80, for $48.7 million. See Note 23, </w:t>
      </w:r>
      <w:r>
        <w:rPr>
          <w:rFonts w:ascii="Times New Roman" w:cs="Times New Roman" w:eastAsia="Times New Roman" w:hAnsi="Times New Roman"/>
          <w:sz w:val="14"/>
          <w:szCs w:val="14"/>
          <w:i w:val="1"/>
          <w:iCs w:val="1"/>
          <w:color w:val="auto"/>
        </w:rPr>
        <w:t>Subsequent Events</w:t>
      </w:r>
      <w:r>
        <w:rPr>
          <w:rFonts w:ascii="Times New Roman" w:cs="Times New Roman" w:eastAsia="Times New Roman" w:hAnsi="Times New Roman"/>
          <w:sz w:val="14"/>
          <w:szCs w:val="14"/>
          <w:color w:val="auto"/>
        </w:rPr>
        <w:t>, for information regarding a new authorization by the Company’s Board of Directors in February 2025.</w:t>
      </w:r>
    </w:p>
    <w:p>
      <w:pPr>
        <w:spacing w:after="0" w:line="15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i w:val="1"/>
          <w:iCs w:val="1"/>
          <w:color w:val="auto"/>
        </w:rPr>
        <w:t xml:space="preserve">Restricted Stock Tax Withholdings. </w:t>
      </w:r>
      <w:r>
        <w:rPr>
          <w:rFonts w:ascii="Times New Roman" w:cs="Times New Roman" w:eastAsia="Times New Roman" w:hAnsi="Times New Roman"/>
          <w:sz w:val="14"/>
          <w:szCs w:val="14"/>
          <w:color w:val="auto"/>
        </w:rPr>
        <w:t>During fiscal 2025, fiscal 2024, and fiscal 2023, we withheld 117,465 shares, 103,910 shares, and 59,018 shares, respectively, totaling $17.0 million,</w:t>
      </w:r>
    </w:p>
    <w:p>
      <w:pPr>
        <w:spacing w:after="0" w:line="25"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4"/>
          <w:szCs w:val="14"/>
          <w:color w:val="auto"/>
        </w:rPr>
        <w:t>$9.9 million, and $5.8 million, respectively, to meet payroll tax withholding obligations arising from the vesting of restricted share units. In addition, during fiscal 2025, we withheld 105,825 shares totaling $18.6 million to meet payroll tax withholding obligations arising from the exercise of stock options. No shares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44"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were withheld during fiscal 2024 and fiscal 2023 related to the exercise of stock options. All shares withheld have been canceled. Shares of common stock withheld for tax withholdings do not reduce our total share repurchase authority.</w:t>
      </w:r>
    </w:p>
    <w:p>
      <w:pPr>
        <w:spacing w:after="0" w:line="145" w:lineRule="exact"/>
        <w:rPr>
          <w:sz w:val="20"/>
          <w:szCs w:val="20"/>
          <w:color w:val="auto"/>
        </w:rPr>
      </w:pPr>
    </w:p>
    <w:p>
      <w:pPr>
        <w:jc w:val="both"/>
        <w:ind w:right="240" w:firstLine="255"/>
        <w:spacing w:after="0" w:line="270" w:lineRule="auto"/>
        <w:rPr>
          <w:sz w:val="20"/>
          <w:szCs w:val="20"/>
          <w:color w:val="auto"/>
        </w:rPr>
      </w:pPr>
      <w:r>
        <w:rPr>
          <w:rFonts w:ascii="Times New Roman" w:cs="Times New Roman" w:eastAsia="Times New Roman" w:hAnsi="Times New Roman"/>
          <w:sz w:val="14"/>
          <w:szCs w:val="14"/>
          <w:color w:val="auto"/>
        </w:rPr>
        <w:t>Upon cancellation of shares repurchased or withheld for tax withholdings, the excess over par value is recorded as a reduction of additional paid-in capital until the balance is reduced to zero, with any additional excess recorded as a reduction of retained earnings. During fiscal 2025, fiscal 2024, and fiscal 2023 $10.3 million, $3.9 million, and $2.3 million, respectively, was charged to retained earnings related to shares canceled during the fiscal year.</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19. Stock-Based Awards</w:t>
      </w:r>
    </w:p>
    <w:p>
      <w:pPr>
        <w:spacing w:after="0" w:line="202" w:lineRule="exact"/>
        <w:rPr>
          <w:sz w:val="20"/>
          <w:szCs w:val="20"/>
          <w:color w:val="auto"/>
        </w:rPr>
      </w:pPr>
    </w:p>
    <w:p>
      <w:pPr>
        <w:ind w:right="40" w:firstLine="255"/>
        <w:spacing w:after="0" w:line="287" w:lineRule="auto"/>
        <w:rPr>
          <w:sz w:val="20"/>
          <w:szCs w:val="20"/>
          <w:color w:val="auto"/>
        </w:rPr>
      </w:pPr>
      <w:r>
        <w:rPr>
          <w:rFonts w:ascii="Times New Roman" w:cs="Times New Roman" w:eastAsia="Times New Roman" w:hAnsi="Times New Roman"/>
          <w:sz w:val="14"/>
          <w:szCs w:val="14"/>
          <w:color w:val="auto"/>
        </w:rPr>
        <w:t>We have outstanding stock-based awards under our 2012 Long-Term Incentive Plan, and 2017 Non-Employee Directors Equity Plan (collectively, the “Plans”). No further awards will be granted under the 2003 Long-Term Incentive Plan or 2007 Non-Employee Directors Equity Plan. As of January 25, 2025, the total number of shares available for grant under the Plans was 738,536.</w:t>
      </w:r>
    </w:p>
    <w:p>
      <w:pPr>
        <w:spacing w:after="0" w:line="145" w:lineRule="exact"/>
        <w:rPr>
          <w:sz w:val="20"/>
          <w:szCs w:val="20"/>
          <w:color w:val="auto"/>
        </w:rPr>
      </w:pPr>
    </w:p>
    <w:p>
      <w:pPr>
        <w:ind w:right="120" w:firstLine="255"/>
        <w:spacing w:after="0" w:line="287" w:lineRule="auto"/>
        <w:rPr>
          <w:sz w:val="20"/>
          <w:szCs w:val="20"/>
          <w:color w:val="auto"/>
        </w:rPr>
      </w:pPr>
      <w:r>
        <w:rPr>
          <w:rFonts w:ascii="Times New Roman" w:cs="Times New Roman" w:eastAsia="Times New Roman" w:hAnsi="Times New Roman"/>
          <w:sz w:val="14"/>
          <w:szCs w:val="14"/>
          <w:color w:val="auto"/>
        </w:rPr>
        <w:t>In June 2024, the Company announced its CEO succession plan and transition. In connection with this transition, the Company incurred approximately $11.4 million of incremental stock-based compensation modification expense through the former CEOs retirement date of November 30, 2024 related to previously issued equity awards.</w:t>
      </w:r>
    </w:p>
    <w:p>
      <w:pPr>
        <w:spacing w:after="0" w:line="14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Stock-based compensation expense and the related tax benefit recognized during fiscal 2025, fiscal 2024, and fiscal 2023 were as follows (dollars in thousands):</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70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9"/>
              </w:rPr>
              <w:t>Fiscal Year Ended</w:t>
            </w:r>
          </w:p>
        </w:tc>
        <w:tc>
          <w:tcPr>
            <w:tcW w:w="1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82"/>
        </w:trPr>
        <w:tc>
          <w:tcPr>
            <w:tcW w:w="7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January 25, 2025</w:t>
            </w:r>
          </w:p>
        </w:tc>
        <w:tc>
          <w:tcPr>
            <w:tcW w:w="100" w:type="dxa"/>
            <w:vAlign w:val="bottom"/>
          </w:tcPr>
          <w:p>
            <w:pPr>
              <w:spacing w:after="0"/>
              <w:rPr>
                <w:sz w:val="15"/>
                <w:szCs w:val="15"/>
                <w:color w:val="auto"/>
              </w:rPr>
            </w:pPr>
          </w:p>
        </w:tc>
        <w:tc>
          <w:tcPr>
            <w:tcW w:w="130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January 27, 2024</w:t>
            </w:r>
          </w:p>
        </w:tc>
        <w:tc>
          <w:tcPr>
            <w:tcW w:w="120" w:type="dxa"/>
            <w:vAlign w:val="bottom"/>
          </w:tcPr>
          <w:p>
            <w:pPr>
              <w:spacing w:after="0"/>
              <w:rPr>
                <w:sz w:val="15"/>
                <w:szCs w:val="15"/>
                <w:color w:val="auto"/>
              </w:rPr>
            </w:pPr>
          </w:p>
        </w:tc>
        <w:tc>
          <w:tcPr>
            <w:tcW w:w="1180" w:type="dxa"/>
            <w:vAlign w:val="bottom"/>
          </w:tcPr>
          <w:p>
            <w:pPr>
              <w:jc w:val="right"/>
              <w:ind w:right="49"/>
              <w:spacing w:after="0"/>
              <w:rPr>
                <w:sz w:val="20"/>
                <w:szCs w:val="20"/>
                <w:color w:val="auto"/>
              </w:rPr>
            </w:pPr>
            <w:r>
              <w:rPr>
                <w:rFonts w:ascii="Times New Roman" w:cs="Times New Roman" w:eastAsia="Times New Roman" w:hAnsi="Times New Roman"/>
                <w:sz w:val="14"/>
                <w:szCs w:val="14"/>
                <w:b w:val="1"/>
                <w:bCs w:val="1"/>
                <w:color w:val="auto"/>
              </w:rPr>
              <w:t>January 28, 2023</w:t>
            </w:r>
          </w:p>
        </w:tc>
        <w:tc>
          <w:tcPr>
            <w:tcW w:w="100" w:type="dxa"/>
            <w:vAlign w:val="bottom"/>
          </w:tcPr>
          <w:p>
            <w:pPr>
              <w:spacing w:after="0"/>
              <w:rPr>
                <w:sz w:val="15"/>
                <w:szCs w:val="15"/>
                <w:color w:val="auto"/>
              </w:rPr>
            </w:pPr>
          </w:p>
        </w:tc>
      </w:tr>
      <w:tr>
        <w:trPr>
          <w:trHeight w:val="180"/>
        </w:trPr>
        <w:tc>
          <w:tcPr>
            <w:tcW w:w="70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Stock-based compensation</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40,320</w:t>
            </w: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25,457</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17,927</w:t>
            </w:r>
          </w:p>
        </w:tc>
        <w:tc>
          <w:tcPr>
            <w:tcW w:w="100" w:type="dxa"/>
            <w:vAlign w:val="bottom"/>
            <w:tcBorders>
              <w:top w:val="single" w:sz="8" w:color="CCEEFF"/>
            </w:tcBorders>
            <w:shd w:val="clear" w:color="auto" w:fill="CCEEFF"/>
          </w:tcPr>
          <w:p>
            <w:pPr>
              <w:spacing w:after="0"/>
              <w:rPr>
                <w:sz w:val="15"/>
                <w:szCs w:val="15"/>
                <w:color w:val="auto"/>
              </w:rPr>
            </w:pPr>
          </w:p>
        </w:tc>
      </w:tr>
      <w:tr>
        <w:trPr>
          <w:trHeight w:val="184"/>
        </w:trPr>
        <w:tc>
          <w:tcPr>
            <w:tcW w:w="7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Income tax effect of stock-based compensation</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9,718</w:t>
            </w:r>
          </w:p>
        </w:tc>
        <w:tc>
          <w:tcPr>
            <w:tcW w:w="10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6,302</w:t>
            </w:r>
          </w:p>
        </w:tc>
        <w:tc>
          <w:tcPr>
            <w:tcW w:w="1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4,433</w:t>
            </w:r>
          </w:p>
        </w:tc>
        <w:tc>
          <w:tcPr>
            <w:tcW w:w="100" w:type="dxa"/>
            <w:vAlign w:val="bottom"/>
          </w:tcPr>
          <w:p>
            <w:pPr>
              <w:spacing w:after="0"/>
              <w:rPr>
                <w:sz w:val="16"/>
                <w:szCs w:val="16"/>
                <w:color w:val="auto"/>
              </w:rPr>
            </w:pPr>
          </w:p>
        </w:tc>
      </w:tr>
    </w:tbl>
    <w:p>
      <w:pPr>
        <w:spacing w:after="0" w:line="26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In addition, we realized approximately $9.8 million, $2.9 million, and $4.2 million of net excess tax benefits during fiscal 2025, fiscal 2024, and fiscal 2023, respectively.</w:t>
      </w:r>
    </w:p>
    <w:p>
      <w:pPr>
        <w:spacing w:after="0" w:line="200" w:lineRule="exact"/>
        <w:rPr>
          <w:sz w:val="20"/>
          <w:szCs w:val="20"/>
          <w:color w:val="auto"/>
        </w:rPr>
      </w:pPr>
    </w:p>
    <w:p>
      <w:pPr>
        <w:ind w:right="280" w:firstLine="255"/>
        <w:spacing w:after="0" w:line="264" w:lineRule="auto"/>
        <w:rPr>
          <w:sz w:val="20"/>
          <w:szCs w:val="20"/>
          <w:color w:val="auto"/>
        </w:rPr>
      </w:pPr>
      <w:r>
        <w:rPr>
          <w:rFonts w:ascii="Times New Roman" w:cs="Times New Roman" w:eastAsia="Times New Roman" w:hAnsi="Times New Roman"/>
          <w:sz w:val="14"/>
          <w:szCs w:val="14"/>
          <w:color w:val="auto"/>
        </w:rPr>
        <w:t>As of January 25, 2025, we had unrecognized compensation expense related to stock options, RSUs, and target Performance RSUs (based on the Company’s expected achievement of performance measures) of $1.3 million, $25.2 million, and $16.0 million, respectively. This expense will be recognized over a weighted-average number of years of 2.6, 2.7, and 1.3, respectively, based on the average remaining service periods for the awards. As of January 25, 2025, we may recognize an additional $12.7 million in compensation expense in future periods if the maximum number of Performance RSUs is earned based on certain performance measures being met.</w:t>
      </w:r>
    </w:p>
    <w:p>
      <w:pPr>
        <w:spacing w:after="0" w:line="16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following table summarizes the valuation of stock options and restricted share units granted during fiscal 2025, fiscal 2024, and fiscal 2023, and the significant valuation assumptions:</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4460" w:type="dxa"/>
            <w:vAlign w:val="bottom"/>
          </w:tcPr>
          <w:p>
            <w:pPr>
              <w:spacing w:after="0"/>
              <w:rPr>
                <w:sz w:val="16"/>
                <w:szCs w:val="16"/>
                <w:color w:val="auto"/>
              </w:rPr>
            </w:pPr>
          </w:p>
        </w:tc>
        <w:tc>
          <w:tcPr>
            <w:tcW w:w="23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9"/>
              </w:rPr>
              <w:t>Fiscal Year Ended</w:t>
            </w:r>
          </w:p>
        </w:tc>
        <w:tc>
          <w:tcPr>
            <w:tcW w:w="1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82"/>
        </w:trPr>
        <w:tc>
          <w:tcPr>
            <w:tcW w:w="4460" w:type="dxa"/>
            <w:vAlign w:val="bottom"/>
          </w:tcPr>
          <w:p>
            <w:pPr>
              <w:spacing w:after="0"/>
              <w:rPr>
                <w:sz w:val="15"/>
                <w:szCs w:val="15"/>
                <w:color w:val="auto"/>
              </w:rPr>
            </w:pPr>
          </w:p>
        </w:tc>
        <w:tc>
          <w:tcPr>
            <w:tcW w:w="23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January 25, 2025</w:t>
            </w:r>
          </w:p>
        </w:tc>
        <w:tc>
          <w:tcPr>
            <w:tcW w:w="100" w:type="dxa"/>
            <w:vAlign w:val="bottom"/>
          </w:tcPr>
          <w:p>
            <w:pPr>
              <w:spacing w:after="0"/>
              <w:rPr>
                <w:sz w:val="15"/>
                <w:szCs w:val="15"/>
                <w:color w:val="auto"/>
              </w:rPr>
            </w:pPr>
          </w:p>
        </w:tc>
        <w:tc>
          <w:tcPr>
            <w:tcW w:w="13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9"/>
              </w:rPr>
              <w:t>January 27, 2024</w:t>
            </w:r>
          </w:p>
        </w:tc>
        <w:tc>
          <w:tcPr>
            <w:tcW w:w="120" w:type="dxa"/>
            <w:vAlign w:val="bottom"/>
          </w:tcPr>
          <w:p>
            <w:pPr>
              <w:spacing w:after="0"/>
              <w:rPr>
                <w:sz w:val="15"/>
                <w:szCs w:val="15"/>
                <w:color w:val="auto"/>
              </w:rPr>
            </w:pPr>
          </w:p>
        </w:tc>
        <w:tc>
          <w:tcPr>
            <w:tcW w:w="1260" w:type="dxa"/>
            <w:vAlign w:val="bottom"/>
          </w:tcPr>
          <w:p>
            <w:pPr>
              <w:jc w:val="right"/>
              <w:ind w:right="109"/>
              <w:spacing w:after="0"/>
              <w:rPr>
                <w:sz w:val="20"/>
                <w:szCs w:val="20"/>
                <w:color w:val="auto"/>
              </w:rPr>
            </w:pPr>
            <w:r>
              <w:rPr>
                <w:rFonts w:ascii="Times New Roman" w:cs="Times New Roman" w:eastAsia="Times New Roman" w:hAnsi="Times New Roman"/>
                <w:sz w:val="14"/>
                <w:szCs w:val="14"/>
                <w:b w:val="1"/>
                <w:bCs w:val="1"/>
                <w:color w:val="auto"/>
              </w:rPr>
              <w:t>January 28, 2023</w:t>
            </w:r>
          </w:p>
        </w:tc>
        <w:tc>
          <w:tcPr>
            <w:tcW w:w="100" w:type="dxa"/>
            <w:vAlign w:val="bottom"/>
          </w:tcPr>
          <w:p>
            <w:pPr>
              <w:spacing w:after="0"/>
              <w:rPr>
                <w:sz w:val="15"/>
                <w:szCs w:val="15"/>
                <w:color w:val="auto"/>
              </w:rPr>
            </w:pPr>
          </w:p>
        </w:tc>
      </w:tr>
      <w:tr>
        <w:trPr>
          <w:trHeight w:val="180"/>
        </w:trPr>
        <w:tc>
          <w:tcPr>
            <w:tcW w:w="44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Weighted average fair value of RSUs granted</w:t>
            </w:r>
          </w:p>
        </w:tc>
        <w:tc>
          <w:tcPr>
            <w:tcW w:w="236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Borders>
              <w:top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154.13</w:t>
            </w: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Borders>
              <w:top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95.23</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Borders>
              <w:top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96.81</w:t>
            </w:r>
          </w:p>
        </w:tc>
        <w:tc>
          <w:tcPr>
            <w:tcW w:w="100" w:type="dxa"/>
            <w:vAlign w:val="bottom"/>
            <w:tcBorders>
              <w:top w:val="single" w:sz="8" w:color="CCEEFF"/>
            </w:tcBorders>
            <w:shd w:val="clear" w:color="auto" w:fill="CCEEFF"/>
          </w:tcPr>
          <w:p>
            <w:pPr>
              <w:spacing w:after="0"/>
              <w:rPr>
                <w:sz w:val="15"/>
                <w:szCs w:val="15"/>
                <w:color w:val="auto"/>
              </w:rPr>
            </w:pPr>
          </w:p>
        </w:tc>
      </w:tr>
      <w:tr>
        <w:trPr>
          <w:trHeight w:val="180"/>
        </w:trPr>
        <w:tc>
          <w:tcPr>
            <w:tcW w:w="4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Weighted average fair value of Performance RSUs granted</w:t>
            </w:r>
          </w:p>
        </w:tc>
        <w:tc>
          <w:tcPr>
            <w:tcW w:w="25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141.28</w:t>
            </w:r>
          </w:p>
        </w:tc>
        <w:tc>
          <w:tcPr>
            <w:tcW w:w="10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94.99</w:t>
            </w:r>
          </w:p>
        </w:tc>
        <w:tc>
          <w:tcPr>
            <w:tcW w:w="10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97.49</w:t>
            </w:r>
          </w:p>
        </w:tc>
        <w:tc>
          <w:tcPr>
            <w:tcW w:w="100" w:type="dxa"/>
            <w:vAlign w:val="bottom"/>
          </w:tcPr>
          <w:p>
            <w:pPr>
              <w:spacing w:after="0"/>
              <w:rPr>
                <w:sz w:val="15"/>
                <w:szCs w:val="15"/>
                <w:color w:val="auto"/>
              </w:rPr>
            </w:pPr>
          </w:p>
        </w:tc>
      </w:tr>
      <w:tr>
        <w:trPr>
          <w:trHeight w:val="180"/>
        </w:trPr>
        <w:tc>
          <w:tcPr>
            <w:tcW w:w="4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Weighted average fair value of stock options granted</w:t>
            </w:r>
          </w:p>
        </w:tc>
        <w:tc>
          <w:tcPr>
            <w:tcW w:w="2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109.52</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60.85</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61.18</w:t>
            </w:r>
          </w:p>
        </w:tc>
        <w:tc>
          <w:tcPr>
            <w:tcW w:w="100" w:type="dxa"/>
            <w:vAlign w:val="bottom"/>
            <w:shd w:val="clear" w:color="auto" w:fill="CCEEFF"/>
          </w:tcPr>
          <w:p>
            <w:pPr>
              <w:spacing w:after="0"/>
              <w:rPr>
                <w:sz w:val="15"/>
                <w:szCs w:val="15"/>
                <w:color w:val="auto"/>
              </w:rPr>
            </w:pPr>
          </w:p>
        </w:tc>
      </w:tr>
      <w:tr>
        <w:trPr>
          <w:trHeight w:val="180"/>
        </w:trPr>
        <w:tc>
          <w:tcPr>
            <w:tcW w:w="4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Stock option assumptions:</w:t>
            </w:r>
          </w:p>
        </w:tc>
        <w:tc>
          <w:tcPr>
            <w:tcW w:w="23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80"/>
        </w:trPr>
        <w:tc>
          <w:tcPr>
            <w:tcW w:w="44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Risk-free interest rate</w:t>
            </w:r>
          </w:p>
        </w:tc>
        <w:tc>
          <w:tcPr>
            <w:tcW w:w="23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4.2 %</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3.6 %</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2.4 %</w:t>
            </w:r>
          </w:p>
        </w:tc>
        <w:tc>
          <w:tcPr>
            <w:tcW w:w="100" w:type="dxa"/>
            <w:vAlign w:val="bottom"/>
            <w:shd w:val="clear" w:color="auto" w:fill="CCEEFF"/>
          </w:tcPr>
          <w:p>
            <w:pPr>
              <w:spacing w:after="0"/>
              <w:rPr>
                <w:sz w:val="15"/>
                <w:szCs w:val="15"/>
                <w:color w:val="auto"/>
              </w:rPr>
            </w:pPr>
          </w:p>
        </w:tc>
      </w:tr>
      <w:tr>
        <w:trPr>
          <w:trHeight w:val="180"/>
        </w:trPr>
        <w:tc>
          <w:tcPr>
            <w:tcW w:w="44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Expected life (in years)</w:t>
            </w:r>
          </w:p>
        </w:tc>
        <w:tc>
          <w:tcPr>
            <w:tcW w:w="23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w:t>
            </w:r>
          </w:p>
        </w:tc>
        <w:tc>
          <w:tcPr>
            <w:tcW w:w="100" w:type="dxa"/>
            <w:vAlign w:val="bottom"/>
          </w:tcPr>
          <w:p>
            <w:pPr>
              <w:spacing w:after="0"/>
              <w:rPr>
                <w:sz w:val="15"/>
                <w:szCs w:val="15"/>
                <w:color w:val="auto"/>
              </w:rPr>
            </w:pPr>
          </w:p>
        </w:tc>
      </w:tr>
      <w:tr>
        <w:trPr>
          <w:trHeight w:val="180"/>
        </w:trPr>
        <w:tc>
          <w:tcPr>
            <w:tcW w:w="44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Expected volatility</w:t>
            </w:r>
          </w:p>
        </w:tc>
        <w:tc>
          <w:tcPr>
            <w:tcW w:w="23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56.2 %</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57.2 %</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54.2 %</w:t>
            </w:r>
          </w:p>
        </w:tc>
        <w:tc>
          <w:tcPr>
            <w:tcW w:w="100" w:type="dxa"/>
            <w:vAlign w:val="bottom"/>
            <w:shd w:val="clear" w:color="auto" w:fill="CCEEFF"/>
          </w:tcPr>
          <w:p>
            <w:pPr>
              <w:spacing w:after="0"/>
              <w:rPr>
                <w:sz w:val="15"/>
                <w:szCs w:val="15"/>
                <w:color w:val="auto"/>
              </w:rPr>
            </w:pPr>
          </w:p>
        </w:tc>
      </w:tr>
      <w:tr>
        <w:trPr>
          <w:trHeight w:val="184"/>
        </w:trPr>
        <w:tc>
          <w:tcPr>
            <w:tcW w:w="44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Expected dividends</w:t>
            </w:r>
          </w:p>
        </w:tc>
        <w:tc>
          <w:tcPr>
            <w:tcW w:w="2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6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38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36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r>
      <w:tr>
        <w:trPr>
          <w:trHeight w:val="686"/>
        </w:trPr>
        <w:tc>
          <w:tcPr>
            <w:tcW w:w="4460" w:type="dxa"/>
            <w:vAlign w:val="bottom"/>
          </w:tcPr>
          <w:p>
            <w:pPr>
              <w:spacing w:after="0"/>
              <w:rPr>
                <w:sz w:val="24"/>
                <w:szCs w:val="24"/>
                <w:color w:val="auto"/>
              </w:rPr>
            </w:pPr>
          </w:p>
        </w:tc>
        <w:tc>
          <w:tcPr>
            <w:tcW w:w="2360" w:type="dxa"/>
            <w:vAlign w:val="bottom"/>
          </w:tcPr>
          <w:p>
            <w:pPr>
              <w:jc w:val="right"/>
              <w:ind w:right="1029"/>
              <w:spacing w:after="0"/>
              <w:rPr>
                <w:sz w:val="20"/>
                <w:szCs w:val="20"/>
                <w:color w:val="auto"/>
              </w:rPr>
            </w:pPr>
            <w:r>
              <w:rPr>
                <w:rFonts w:ascii="Times New Roman" w:cs="Times New Roman" w:eastAsia="Times New Roman" w:hAnsi="Times New Roman"/>
                <w:sz w:val="14"/>
                <w:szCs w:val="14"/>
                <w:color w:val="auto"/>
              </w:rPr>
              <w:t>70</w:t>
            </w:r>
          </w:p>
        </w:tc>
        <w:tc>
          <w:tcPr>
            <w:tcW w:w="1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87"/>
        </w:trPr>
        <w:tc>
          <w:tcPr>
            <w:tcW w:w="4460" w:type="dxa"/>
            <w:vAlign w:val="bottom"/>
            <w:tcBorders>
              <w:bottom w:val="single" w:sz="8" w:color="9A9A9A"/>
            </w:tcBorders>
          </w:tcPr>
          <w:p>
            <w:pPr>
              <w:spacing w:after="0"/>
              <w:rPr>
                <w:sz w:val="7"/>
                <w:szCs w:val="7"/>
                <w:color w:val="auto"/>
              </w:rPr>
            </w:pPr>
          </w:p>
        </w:tc>
        <w:tc>
          <w:tcPr>
            <w:tcW w:w="236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126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128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126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4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color w:val="auto"/>
        </w:rPr>
        <w:t>Stock Options</w:t>
      </w:r>
    </w:p>
    <w:p>
      <w:pPr>
        <w:spacing w:after="0" w:line="20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following table summarizes stock option award activity during fiscal 2025:</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3960" w:type="dxa"/>
            <w:vAlign w:val="bottom"/>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2620" w:type="dxa"/>
            <w:vAlign w:val="bottom"/>
            <w:tcBorders>
              <w:bottom w:val="single" w:sz="8" w:color="auto"/>
            </w:tcBorders>
            <w:gridSpan w:val="4"/>
          </w:tcPr>
          <w:p>
            <w:pPr>
              <w:ind w:left="280"/>
              <w:spacing w:after="0"/>
              <w:rPr>
                <w:sz w:val="20"/>
                <w:szCs w:val="20"/>
                <w:color w:val="auto"/>
              </w:rPr>
            </w:pPr>
            <w:r>
              <w:rPr>
                <w:rFonts w:ascii="Times New Roman" w:cs="Times New Roman" w:eastAsia="Times New Roman" w:hAnsi="Times New Roman"/>
                <w:sz w:val="14"/>
                <w:szCs w:val="14"/>
                <w:b w:val="1"/>
                <w:bCs w:val="1"/>
                <w:color w:val="auto"/>
              </w:rPr>
              <w:t>Stock Options</w:t>
            </w:r>
          </w:p>
        </w:tc>
        <w:tc>
          <w:tcPr>
            <w:tcW w:w="8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39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4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Weighted Average Exercise</w:t>
            </w:r>
          </w:p>
        </w:tc>
        <w:tc>
          <w:tcPr>
            <w:tcW w:w="1940" w:type="dxa"/>
            <w:vAlign w:val="bottom"/>
            <w:gridSpan w:val="2"/>
          </w:tcPr>
          <w:p>
            <w:pPr>
              <w:jc w:val="center"/>
              <w:ind w:right="100"/>
              <w:spacing w:after="0" w:line="143" w:lineRule="exact"/>
              <w:rPr>
                <w:sz w:val="20"/>
                <w:szCs w:val="20"/>
                <w:color w:val="auto"/>
              </w:rPr>
            </w:pPr>
            <w:r>
              <w:rPr>
                <w:rFonts w:ascii="Times New Roman" w:cs="Times New Roman" w:eastAsia="Times New Roman" w:hAnsi="Times New Roman"/>
                <w:sz w:val="14"/>
                <w:szCs w:val="14"/>
                <w:b w:val="1"/>
                <w:bCs w:val="1"/>
                <w:color w:val="auto"/>
              </w:rPr>
              <w:t>Weighted Average Remaining</w:t>
            </w:r>
          </w:p>
        </w:tc>
        <w:tc>
          <w:tcPr>
            <w:tcW w:w="80" w:type="dxa"/>
            <w:vAlign w:val="bottom"/>
          </w:tcPr>
          <w:p>
            <w:pPr>
              <w:spacing w:after="0"/>
              <w:rPr>
                <w:sz w:val="12"/>
                <w:szCs w:val="12"/>
                <w:color w:val="auto"/>
              </w:rPr>
            </w:pPr>
          </w:p>
        </w:tc>
        <w:tc>
          <w:tcPr>
            <w:tcW w:w="1660" w:type="dxa"/>
            <w:vAlign w:val="bottom"/>
            <w:vMerge w:val="restart"/>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w w:val="99"/>
              </w:rPr>
              <w:t>Aggregate Intrinsic Value</w:t>
            </w:r>
          </w:p>
        </w:tc>
        <w:tc>
          <w:tcPr>
            <w:tcW w:w="0" w:type="dxa"/>
            <w:vAlign w:val="bottom"/>
          </w:tcPr>
          <w:p>
            <w:pPr>
              <w:spacing w:after="0"/>
              <w:rPr>
                <w:sz w:val="1"/>
                <w:szCs w:val="1"/>
                <w:color w:val="auto"/>
              </w:rPr>
            </w:pPr>
          </w:p>
        </w:tc>
      </w:tr>
      <w:tr>
        <w:trPr>
          <w:trHeight w:val="144"/>
        </w:trPr>
        <w:tc>
          <w:tcPr>
            <w:tcW w:w="3960" w:type="dxa"/>
            <w:vAlign w:val="bottom"/>
          </w:tcPr>
          <w:p>
            <w:pPr>
              <w:spacing w:after="0"/>
              <w:rPr>
                <w:sz w:val="12"/>
                <w:szCs w:val="12"/>
                <w:color w:val="auto"/>
              </w:rPr>
            </w:pPr>
          </w:p>
        </w:tc>
        <w:tc>
          <w:tcPr>
            <w:tcW w:w="1080" w:type="dxa"/>
            <w:vAlign w:val="bottom"/>
            <w:vMerge w:val="restart"/>
          </w:tcPr>
          <w:p>
            <w:pPr>
              <w:ind w:left="6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40" w:type="dxa"/>
            <w:vAlign w:val="bottom"/>
            <w:gridSpan w:val="3"/>
            <w:vMerge w:val="continue"/>
          </w:tcPr>
          <w:p>
            <w:pPr>
              <w:spacing w:after="0"/>
              <w:rPr>
                <w:sz w:val="12"/>
                <w:szCs w:val="12"/>
                <w:color w:val="auto"/>
              </w:rPr>
            </w:pPr>
          </w:p>
        </w:tc>
        <w:tc>
          <w:tcPr>
            <w:tcW w:w="1940" w:type="dxa"/>
            <w:vAlign w:val="bottom"/>
            <w:gridSpan w:val="2"/>
          </w:tcPr>
          <w:p>
            <w:pPr>
              <w:jc w:val="center"/>
              <w:ind w:right="100"/>
              <w:spacing w:after="0" w:line="144" w:lineRule="exact"/>
              <w:rPr>
                <w:sz w:val="20"/>
                <w:szCs w:val="20"/>
                <w:color w:val="auto"/>
              </w:rPr>
            </w:pPr>
            <w:r>
              <w:rPr>
                <w:rFonts w:ascii="Times New Roman" w:cs="Times New Roman" w:eastAsia="Times New Roman" w:hAnsi="Times New Roman"/>
                <w:sz w:val="14"/>
                <w:szCs w:val="14"/>
                <w:b w:val="1"/>
                <w:bCs w:val="1"/>
                <w:color w:val="auto"/>
              </w:rPr>
              <w:t>Contractual Life</w:t>
            </w:r>
          </w:p>
        </w:tc>
        <w:tc>
          <w:tcPr>
            <w:tcW w:w="80" w:type="dxa"/>
            <w:vAlign w:val="bottom"/>
          </w:tcPr>
          <w:p>
            <w:pPr>
              <w:spacing w:after="0"/>
              <w:rPr>
                <w:sz w:val="12"/>
                <w:szCs w:val="12"/>
                <w:color w:val="auto"/>
              </w:rPr>
            </w:pPr>
          </w:p>
        </w:tc>
        <w:tc>
          <w:tcPr>
            <w:tcW w:w="16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3960" w:type="dxa"/>
            <w:vAlign w:val="bottom"/>
          </w:tcPr>
          <w:p>
            <w:pPr>
              <w:spacing w:after="0"/>
              <w:rPr>
                <w:sz w:val="15"/>
                <w:szCs w:val="15"/>
                <w:color w:val="auto"/>
              </w:rPr>
            </w:pPr>
          </w:p>
        </w:tc>
        <w:tc>
          <w:tcPr>
            <w:tcW w:w="1080" w:type="dxa"/>
            <w:vAlign w:val="bottom"/>
            <w:vMerge w:val="continue"/>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tcPr>
          <w:p>
            <w:pPr>
              <w:jc w:val="right"/>
              <w:ind w:right="69"/>
              <w:spacing w:after="0"/>
              <w:rPr>
                <w:sz w:val="20"/>
                <w:szCs w:val="20"/>
                <w:color w:val="auto"/>
              </w:rPr>
            </w:pPr>
            <w:r>
              <w:rPr>
                <w:rFonts w:ascii="Times New Roman" w:cs="Times New Roman" w:eastAsia="Times New Roman" w:hAnsi="Times New Roman"/>
                <w:sz w:val="14"/>
                <w:szCs w:val="14"/>
                <w:b w:val="1"/>
                <w:bCs w:val="1"/>
                <w:color w:val="auto"/>
              </w:rPr>
              <w:t>Price</w:t>
            </w: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(In years)</w:t>
            </w:r>
          </w:p>
        </w:tc>
        <w:tc>
          <w:tcPr>
            <w:tcW w:w="80" w:type="dxa"/>
            <w:vAlign w:val="bottom"/>
          </w:tcPr>
          <w:p>
            <w:pPr>
              <w:spacing w:after="0"/>
              <w:rPr>
                <w:sz w:val="15"/>
                <w:szCs w:val="15"/>
                <w:color w:val="auto"/>
              </w:rPr>
            </w:pPr>
          </w:p>
        </w:tc>
        <w:tc>
          <w:tcPr>
            <w:tcW w:w="1660" w:type="dxa"/>
            <w:vAlign w:val="bottom"/>
          </w:tcPr>
          <w:p>
            <w:pPr>
              <w:jc w:val="right"/>
              <w:ind w:right="369"/>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0" w:type="dxa"/>
            <w:vAlign w:val="bottom"/>
          </w:tcPr>
          <w:p>
            <w:pPr>
              <w:spacing w:after="0"/>
              <w:rPr>
                <w:sz w:val="1"/>
                <w:szCs w:val="1"/>
                <w:color w:val="auto"/>
              </w:rPr>
            </w:pPr>
          </w:p>
        </w:tc>
      </w:tr>
      <w:tr>
        <w:trPr>
          <w:trHeight w:val="180"/>
        </w:trPr>
        <w:tc>
          <w:tcPr>
            <w:tcW w:w="39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Outstanding as of January 27, 2024</w:t>
            </w:r>
          </w:p>
        </w:tc>
        <w:tc>
          <w:tcPr>
            <w:tcW w:w="1080" w:type="dxa"/>
            <w:vAlign w:val="bottom"/>
            <w:tcBorders>
              <w:top w:val="single" w:sz="8" w:color="auto"/>
            </w:tcBorders>
            <w:shd w:val="clear" w:color="auto" w:fill="CCEEFF"/>
          </w:tcPr>
          <w:p>
            <w:pPr>
              <w:spacing w:after="0"/>
              <w:rPr>
                <w:sz w:val="15"/>
                <w:szCs w:val="15"/>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264,125</w:t>
            </w:r>
          </w:p>
        </w:tc>
        <w:tc>
          <w:tcPr>
            <w:tcW w:w="100" w:type="dxa"/>
            <w:vAlign w:val="bottom"/>
            <w:tcBorders>
              <w:top w:val="single" w:sz="8" w:color="CCEEFF"/>
            </w:tcBorders>
            <w:shd w:val="clear" w:color="auto" w:fill="CCEEFF"/>
          </w:tcPr>
          <w:p>
            <w:pPr>
              <w:spacing w:after="0"/>
              <w:rPr>
                <w:sz w:val="15"/>
                <w:szCs w:val="15"/>
                <w:color w:val="auto"/>
              </w:rPr>
            </w:pPr>
          </w:p>
        </w:tc>
        <w:tc>
          <w:tcPr>
            <w:tcW w:w="1160" w:type="dxa"/>
            <w:vAlign w:val="bottom"/>
            <w:tcBorders>
              <w:top w:val="single" w:sz="8" w:color="auto"/>
            </w:tcBorders>
            <w:shd w:val="clear" w:color="auto" w:fill="CCEEFF"/>
          </w:tcPr>
          <w:p>
            <w:pPr>
              <w:jc w:val="right"/>
              <w:ind w:right="1009"/>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70.18</w:t>
            </w:r>
          </w:p>
        </w:tc>
        <w:tc>
          <w:tcPr>
            <w:tcW w:w="100" w:type="dxa"/>
            <w:vAlign w:val="bottom"/>
            <w:tcBorders>
              <w:top w:val="single" w:sz="8" w:color="CCEEFF"/>
            </w:tcBorders>
            <w:shd w:val="clear" w:color="auto" w:fill="CCEEFF"/>
          </w:tcPr>
          <w:p>
            <w:pPr>
              <w:spacing w:after="0"/>
              <w:rPr>
                <w:sz w:val="15"/>
                <w:szCs w:val="15"/>
                <w:color w:val="auto"/>
              </w:rPr>
            </w:pPr>
          </w:p>
        </w:tc>
        <w:tc>
          <w:tcPr>
            <w:tcW w:w="18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166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0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Granted</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27,680</w:t>
            </w:r>
          </w:p>
        </w:tc>
        <w:tc>
          <w:tcPr>
            <w:tcW w:w="1260" w:type="dxa"/>
            <w:vAlign w:val="bottom"/>
            <w:gridSpan w:val="2"/>
          </w:tcPr>
          <w:p>
            <w:pPr>
              <w:jc w:val="right"/>
              <w:ind w:right="1009"/>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141.28</w:t>
            </w:r>
          </w:p>
        </w:tc>
        <w:tc>
          <w:tcPr>
            <w:tcW w:w="10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Options exercised</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(180,494)</w:t>
            </w:r>
          </w:p>
        </w:tc>
        <w:tc>
          <w:tcPr>
            <w:tcW w:w="1260" w:type="dxa"/>
            <w:vAlign w:val="bottom"/>
            <w:gridSpan w:val="2"/>
            <w:shd w:val="clear" w:color="auto" w:fill="CCEEFF"/>
          </w:tcPr>
          <w:p>
            <w:pPr>
              <w:jc w:val="right"/>
              <w:ind w:right="1009"/>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58.91</w:t>
            </w:r>
          </w:p>
        </w:tc>
        <w:tc>
          <w:tcPr>
            <w:tcW w:w="100" w:type="dxa"/>
            <w:vAlign w:val="bottom"/>
            <w:shd w:val="clear" w:color="auto" w:fill="CCEEFF"/>
          </w:tcPr>
          <w:p>
            <w:pPr>
              <w:spacing w:after="0"/>
              <w:rPr>
                <w:sz w:val="15"/>
                <w:szCs w:val="15"/>
                <w:color w:val="auto"/>
              </w:rPr>
            </w:pPr>
          </w:p>
        </w:tc>
        <w:tc>
          <w:tcPr>
            <w:tcW w:w="1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9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Canceled</w:t>
            </w:r>
          </w:p>
        </w:tc>
        <w:tc>
          <w:tcPr>
            <w:tcW w:w="108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Borders>
              <w:bottom w:val="single" w:sz="8" w:color="CCEEFF"/>
            </w:tcBorders>
            <w:gridSpan w:val="2"/>
          </w:tcPr>
          <w:p>
            <w:pPr>
              <w:jc w:val="right"/>
              <w:ind w:right="1009"/>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bottom w:val="single" w:sz="8" w:color="CCEEFF"/>
            </w:tcBorders>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4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66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5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Outstanding as of January 25, 2025</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111,311</w:t>
            </w:r>
          </w:p>
        </w:tc>
        <w:tc>
          <w:tcPr>
            <w:tcW w:w="1260" w:type="dxa"/>
            <w:vAlign w:val="bottom"/>
            <w:gridSpan w:val="2"/>
            <w:shd w:val="clear" w:color="auto" w:fill="CCEEFF"/>
          </w:tcPr>
          <w:p>
            <w:pPr>
              <w:jc w:val="right"/>
              <w:ind w:right="1009"/>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106.13</w:t>
            </w:r>
          </w:p>
        </w:tc>
        <w:tc>
          <w:tcPr>
            <w:tcW w:w="100" w:type="dxa"/>
            <w:vAlign w:val="bottom"/>
            <w:shd w:val="clear" w:color="auto" w:fill="CCEEFF"/>
          </w:tcPr>
          <w:p>
            <w:pPr>
              <w:spacing w:after="0"/>
              <w:rPr>
                <w:sz w:val="16"/>
                <w:szCs w:val="16"/>
                <w:color w:val="auto"/>
              </w:rPr>
            </w:pPr>
          </w:p>
        </w:tc>
        <w:tc>
          <w:tcPr>
            <w:tcW w:w="1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1"/>
              </w:rPr>
              <w:t>7.9</w:t>
            </w: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9,652</w:t>
            </w:r>
          </w:p>
        </w:tc>
        <w:tc>
          <w:tcPr>
            <w:tcW w:w="0" w:type="dxa"/>
            <w:vAlign w:val="bottom"/>
          </w:tcPr>
          <w:p>
            <w:pPr>
              <w:spacing w:after="0"/>
              <w:rPr>
                <w:sz w:val="1"/>
                <w:szCs w:val="1"/>
                <w:color w:val="auto"/>
              </w:rPr>
            </w:pPr>
          </w:p>
        </w:tc>
      </w:tr>
      <w:tr>
        <w:trPr>
          <w:trHeight w:val="20"/>
        </w:trPr>
        <w:tc>
          <w:tcPr>
            <w:tcW w:w="396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39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0"/>
        </w:trPr>
        <w:tc>
          <w:tcPr>
            <w:tcW w:w="5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Exercisable options as of January 25, 2025</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31,071</w:t>
            </w:r>
          </w:p>
        </w:tc>
        <w:tc>
          <w:tcPr>
            <w:tcW w:w="1260" w:type="dxa"/>
            <w:vAlign w:val="bottom"/>
            <w:gridSpan w:val="2"/>
            <w:shd w:val="clear" w:color="auto" w:fill="CCEEFF"/>
          </w:tcPr>
          <w:p>
            <w:pPr>
              <w:jc w:val="right"/>
              <w:ind w:right="1009"/>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94.71</w:t>
            </w:r>
          </w:p>
        </w:tc>
        <w:tc>
          <w:tcPr>
            <w:tcW w:w="100" w:type="dxa"/>
            <w:vAlign w:val="bottom"/>
            <w:shd w:val="clear" w:color="auto" w:fill="CCEEFF"/>
          </w:tcPr>
          <w:p>
            <w:pPr>
              <w:spacing w:after="0"/>
              <w:rPr>
                <w:sz w:val="17"/>
                <w:szCs w:val="17"/>
                <w:color w:val="auto"/>
              </w:rPr>
            </w:pPr>
          </w:p>
        </w:tc>
        <w:tc>
          <w:tcPr>
            <w:tcW w:w="1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1"/>
              </w:rPr>
              <w:t>7.3</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3,049</w:t>
            </w:r>
          </w:p>
        </w:tc>
        <w:tc>
          <w:tcPr>
            <w:tcW w:w="0" w:type="dxa"/>
            <w:vAlign w:val="bottom"/>
          </w:tcPr>
          <w:p>
            <w:pPr>
              <w:spacing w:after="0"/>
              <w:rPr>
                <w:sz w:val="1"/>
                <w:szCs w:val="1"/>
                <w:color w:val="auto"/>
              </w:rPr>
            </w:pPr>
          </w:p>
        </w:tc>
      </w:tr>
      <w:tr>
        <w:trPr>
          <w:trHeight w:val="20"/>
        </w:trPr>
        <w:tc>
          <w:tcPr>
            <w:tcW w:w="396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2" w:lineRule="exact"/>
        <w:rPr>
          <w:sz w:val="20"/>
          <w:szCs w:val="20"/>
          <w:color w:val="auto"/>
        </w:rPr>
      </w:pPr>
    </w:p>
    <w:p>
      <w:pPr>
        <w:ind w:right="60" w:firstLine="255"/>
        <w:spacing w:after="0" w:line="258" w:lineRule="auto"/>
        <w:rPr>
          <w:sz w:val="20"/>
          <w:szCs w:val="20"/>
          <w:color w:val="auto"/>
        </w:rPr>
      </w:pPr>
      <w:r>
        <w:rPr>
          <w:rFonts w:ascii="Times New Roman" w:cs="Times New Roman" w:eastAsia="Times New Roman" w:hAnsi="Times New Roman"/>
          <w:sz w:val="14"/>
          <w:szCs w:val="14"/>
          <w:color w:val="auto"/>
        </w:rPr>
        <w:t>The total amount of exercisable options as of January 25, 2025 presented above reflects the approximate amount of options expected to vest. The aggregate intrinsic values presented above represent the total pre-tax intrinsic values (the difference between the Company’s closing stock price of $192.84 on the last trading day of fiscal 2025 and the exercise price, multiplied by the number of in-the-money options) that would have been received by the option holders had all option holders exercised their options on the last trading day of fiscal 2025. The amount of aggregate intrinsic value will change based on the price of the Company’s common stock. The total intrinsic value of stock options exercised was $20.9 million, $0.8 million, and $8.5 million for fiscal 2025,</w:t>
      </w:r>
    </w:p>
    <w:p>
      <w:pPr>
        <w:spacing w:after="0" w:line="1" w:lineRule="exact"/>
        <w:rPr>
          <w:sz w:val="20"/>
          <w:szCs w:val="20"/>
          <w:color w:val="auto"/>
        </w:rPr>
      </w:pPr>
    </w:p>
    <w:p>
      <w:pPr>
        <w:ind w:right="520"/>
        <w:spacing w:after="0" w:line="266" w:lineRule="auto"/>
        <w:rPr>
          <w:sz w:val="20"/>
          <w:szCs w:val="20"/>
          <w:color w:val="auto"/>
        </w:rPr>
      </w:pPr>
      <w:r>
        <w:rPr>
          <w:rFonts w:ascii="Times New Roman" w:cs="Times New Roman" w:eastAsia="Times New Roman" w:hAnsi="Times New Roman"/>
          <w:sz w:val="14"/>
          <w:szCs w:val="14"/>
          <w:color w:val="auto"/>
        </w:rPr>
        <w:t>fiscal 2024, and fiscal 2023, respectively. We received cash from the exercise of stock options of $10.6 million, $1.1 million, and $4.6 million during fiscal 2025, fiscal 2024, and fiscal 2023, respectively. During fiscal 2025, we paid $18.6 million to tax authorities for payroll tax withholding obligations on the exercise of stock options.</w:t>
      </w:r>
    </w:p>
    <w:p>
      <w:pPr>
        <w:spacing w:after="0" w:line="15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color w:val="auto"/>
        </w:rPr>
        <w:t>RSUs and Performance RSUs</w:t>
      </w:r>
    </w:p>
    <w:p>
      <w:pPr>
        <w:spacing w:after="0" w:line="20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following table summarizes RSU and Performance RSU award activity during fiscal 2025:</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3660" w:type="dxa"/>
            <w:vAlign w:val="bottom"/>
          </w:tcPr>
          <w:p>
            <w:pPr>
              <w:spacing w:after="0"/>
              <w:rPr>
                <w:sz w:val="16"/>
                <w:szCs w:val="16"/>
                <w:color w:val="auto"/>
              </w:rPr>
            </w:pPr>
          </w:p>
        </w:tc>
        <w:tc>
          <w:tcPr>
            <w:tcW w:w="18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300" w:type="dxa"/>
            <w:vAlign w:val="bottom"/>
            <w:tcBorders>
              <w:bottom w:val="single" w:sz="8" w:color="auto"/>
            </w:tcBorders>
            <w:gridSpan w:val="3"/>
          </w:tcPr>
          <w:p>
            <w:pPr>
              <w:ind w:left="1260"/>
              <w:spacing w:after="0"/>
              <w:rPr>
                <w:sz w:val="20"/>
                <w:szCs w:val="20"/>
                <w:color w:val="auto"/>
              </w:rPr>
            </w:pPr>
            <w:r>
              <w:rPr>
                <w:rFonts w:ascii="Times New Roman" w:cs="Times New Roman" w:eastAsia="Times New Roman" w:hAnsi="Times New Roman"/>
                <w:sz w:val="14"/>
                <w:szCs w:val="14"/>
                <w:b w:val="1"/>
                <w:bCs w:val="1"/>
                <w:color w:val="auto"/>
              </w:rPr>
              <w:t>Restricted Stock</w:t>
            </w:r>
          </w:p>
        </w:tc>
        <w:tc>
          <w:tcPr>
            <w:tcW w:w="13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3660" w:type="dxa"/>
            <w:vAlign w:val="bottom"/>
          </w:tcPr>
          <w:p>
            <w:pPr>
              <w:spacing w:after="0"/>
              <w:rPr>
                <w:sz w:val="15"/>
                <w:szCs w:val="15"/>
                <w:color w:val="auto"/>
              </w:rPr>
            </w:pPr>
          </w:p>
        </w:tc>
        <w:tc>
          <w:tcPr>
            <w:tcW w:w="20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RSUs</w:t>
            </w:r>
          </w:p>
        </w:tc>
        <w:tc>
          <w:tcPr>
            <w:tcW w:w="17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3260" w:type="dxa"/>
            <w:vAlign w:val="bottom"/>
            <w:tcBorders>
              <w:bottom w:val="single" w:sz="8" w:color="auto"/>
            </w:tcBorders>
            <w:gridSpan w:val="4"/>
          </w:tcPr>
          <w:p>
            <w:pPr>
              <w:jc w:val="right"/>
              <w:ind w:right="1229"/>
              <w:spacing w:after="0"/>
              <w:rPr>
                <w:sz w:val="20"/>
                <w:szCs w:val="20"/>
                <w:color w:val="auto"/>
              </w:rPr>
            </w:pPr>
            <w:r>
              <w:rPr>
                <w:rFonts w:ascii="Times New Roman" w:cs="Times New Roman" w:eastAsia="Times New Roman" w:hAnsi="Times New Roman"/>
                <w:sz w:val="14"/>
                <w:szCs w:val="14"/>
                <w:b w:val="1"/>
                <w:bCs w:val="1"/>
                <w:color w:val="auto"/>
              </w:rPr>
              <w:t>Performance RSUs</w:t>
            </w:r>
          </w:p>
        </w:tc>
        <w:tc>
          <w:tcPr>
            <w:tcW w:w="0" w:type="dxa"/>
            <w:vAlign w:val="bottom"/>
          </w:tcPr>
          <w:p>
            <w:pPr>
              <w:spacing w:after="0"/>
              <w:rPr>
                <w:sz w:val="1"/>
                <w:szCs w:val="1"/>
                <w:color w:val="auto"/>
              </w:rPr>
            </w:pPr>
          </w:p>
        </w:tc>
      </w:tr>
      <w:tr>
        <w:trPr>
          <w:trHeight w:val="138"/>
        </w:trPr>
        <w:tc>
          <w:tcPr>
            <w:tcW w:w="3660" w:type="dxa"/>
            <w:vAlign w:val="bottom"/>
          </w:tcPr>
          <w:p>
            <w:pPr>
              <w:spacing w:after="0"/>
              <w:rPr>
                <w:sz w:val="11"/>
                <w:szCs w:val="11"/>
                <w:color w:val="auto"/>
              </w:rPr>
            </w:pPr>
          </w:p>
        </w:tc>
        <w:tc>
          <w:tcPr>
            <w:tcW w:w="1840" w:type="dxa"/>
            <w:vAlign w:val="bottom"/>
            <w:vMerge w:val="restart"/>
          </w:tcPr>
          <w:p>
            <w:pPr>
              <w:jc w:val="right"/>
              <w:ind w:right="509"/>
              <w:spacing w:after="0"/>
              <w:rPr>
                <w:sz w:val="20"/>
                <w:szCs w:val="20"/>
                <w:color w:val="auto"/>
              </w:rPr>
            </w:pPr>
            <w:r>
              <w:rPr>
                <w:rFonts w:ascii="Times New Roman" w:cs="Times New Roman" w:eastAsia="Times New Roman" w:hAnsi="Times New Roman"/>
                <w:sz w:val="14"/>
                <w:szCs w:val="14"/>
                <w:b w:val="1"/>
                <w:bCs w:val="1"/>
                <w:color w:val="auto"/>
              </w:rPr>
              <w:t>Share Units</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700" w:type="dxa"/>
            <w:vAlign w:val="bottom"/>
          </w:tcPr>
          <w:p>
            <w:pPr>
              <w:jc w:val="center"/>
              <w:ind w:right="49"/>
              <w:spacing w:after="0" w:line="138" w:lineRule="exact"/>
              <w:rPr>
                <w:sz w:val="20"/>
                <w:szCs w:val="20"/>
                <w:color w:val="auto"/>
              </w:rPr>
            </w:pPr>
            <w:r>
              <w:rPr>
                <w:rFonts w:ascii="Times New Roman" w:cs="Times New Roman" w:eastAsia="Times New Roman" w:hAnsi="Times New Roman"/>
                <w:sz w:val="14"/>
                <w:szCs w:val="14"/>
                <w:b w:val="1"/>
                <w:bCs w:val="1"/>
                <w:color w:val="auto"/>
                <w:w w:val="99"/>
              </w:rPr>
              <w:t>Weighted Average Grant</w:t>
            </w: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340" w:type="dxa"/>
            <w:vAlign w:val="bottom"/>
            <w:vMerge w:val="restart"/>
          </w:tcPr>
          <w:p>
            <w:pPr>
              <w:jc w:val="right"/>
              <w:ind w:right="509"/>
              <w:spacing w:after="0"/>
              <w:rPr>
                <w:sz w:val="20"/>
                <w:szCs w:val="20"/>
                <w:color w:val="auto"/>
              </w:rPr>
            </w:pPr>
            <w:r>
              <w:rPr>
                <w:rFonts w:ascii="Times New Roman" w:cs="Times New Roman" w:eastAsia="Times New Roman" w:hAnsi="Times New Roman"/>
                <w:sz w:val="14"/>
                <w:szCs w:val="14"/>
                <w:b w:val="1"/>
                <w:bCs w:val="1"/>
                <w:color w:val="auto"/>
              </w:rPr>
              <w:t>Share Units</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700" w:type="dxa"/>
            <w:vAlign w:val="bottom"/>
          </w:tcPr>
          <w:p>
            <w:pPr>
              <w:jc w:val="right"/>
              <w:ind w:right="89"/>
              <w:spacing w:after="0" w:line="138" w:lineRule="exact"/>
              <w:rPr>
                <w:sz w:val="20"/>
                <w:szCs w:val="20"/>
                <w:color w:val="auto"/>
              </w:rPr>
            </w:pPr>
            <w:r>
              <w:rPr>
                <w:rFonts w:ascii="Times New Roman" w:cs="Times New Roman" w:eastAsia="Times New Roman" w:hAnsi="Times New Roman"/>
                <w:sz w:val="14"/>
                <w:szCs w:val="14"/>
                <w:b w:val="1"/>
                <w:bCs w:val="1"/>
                <w:color w:val="auto"/>
              </w:rPr>
              <w:t>Weighted Average Grant</w:t>
            </w:r>
          </w:p>
        </w:tc>
        <w:tc>
          <w:tcPr>
            <w:tcW w:w="0" w:type="dxa"/>
            <w:vAlign w:val="bottom"/>
          </w:tcPr>
          <w:p>
            <w:pPr>
              <w:spacing w:after="0"/>
              <w:rPr>
                <w:sz w:val="1"/>
                <w:szCs w:val="1"/>
                <w:color w:val="auto"/>
              </w:rPr>
            </w:pPr>
          </w:p>
        </w:tc>
      </w:tr>
      <w:tr>
        <w:trPr>
          <w:trHeight w:val="192"/>
        </w:trPr>
        <w:tc>
          <w:tcPr>
            <w:tcW w:w="3660" w:type="dxa"/>
            <w:vAlign w:val="bottom"/>
          </w:tcPr>
          <w:p>
            <w:pPr>
              <w:spacing w:after="0"/>
              <w:rPr>
                <w:sz w:val="16"/>
                <w:szCs w:val="16"/>
                <w:color w:val="auto"/>
              </w:rPr>
            </w:pPr>
          </w:p>
        </w:tc>
        <w:tc>
          <w:tcPr>
            <w:tcW w:w="18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300" w:type="dxa"/>
            <w:vAlign w:val="bottom"/>
            <w:gridSpan w:val="3"/>
          </w:tcPr>
          <w:p>
            <w:pPr>
              <w:jc w:val="center"/>
              <w:ind w:right="740"/>
              <w:spacing w:after="0"/>
              <w:rPr>
                <w:sz w:val="20"/>
                <w:szCs w:val="20"/>
                <w:color w:val="auto"/>
              </w:rPr>
            </w:pPr>
            <w:r>
              <w:rPr>
                <w:rFonts w:ascii="Times New Roman" w:cs="Times New Roman" w:eastAsia="Times New Roman" w:hAnsi="Times New Roman"/>
                <w:sz w:val="14"/>
                <w:szCs w:val="14"/>
                <w:b w:val="1"/>
                <w:bCs w:val="1"/>
                <w:color w:val="auto"/>
              </w:rPr>
              <w:t>Price</w:t>
            </w:r>
          </w:p>
        </w:tc>
        <w:tc>
          <w:tcPr>
            <w:tcW w:w="13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700" w:type="dxa"/>
            <w:vAlign w:val="bottom"/>
          </w:tcPr>
          <w:p>
            <w:pPr>
              <w:jc w:val="right"/>
              <w:ind w:right="689"/>
              <w:spacing w:after="0"/>
              <w:rPr>
                <w:sz w:val="20"/>
                <w:szCs w:val="20"/>
                <w:color w:val="auto"/>
              </w:rPr>
            </w:pPr>
            <w:r>
              <w:rPr>
                <w:rFonts w:ascii="Times New Roman" w:cs="Times New Roman" w:eastAsia="Times New Roman" w:hAnsi="Times New Roman"/>
                <w:sz w:val="14"/>
                <w:szCs w:val="14"/>
                <w:b w:val="1"/>
                <w:bCs w:val="1"/>
                <w:color w:val="auto"/>
              </w:rPr>
              <w:t>Price</w:t>
            </w:r>
          </w:p>
        </w:tc>
        <w:tc>
          <w:tcPr>
            <w:tcW w:w="0" w:type="dxa"/>
            <w:vAlign w:val="bottom"/>
          </w:tcPr>
          <w:p>
            <w:pPr>
              <w:spacing w:after="0"/>
              <w:rPr>
                <w:sz w:val="1"/>
                <w:szCs w:val="1"/>
                <w:color w:val="auto"/>
              </w:rPr>
            </w:pPr>
          </w:p>
        </w:tc>
      </w:tr>
      <w:tr>
        <w:trPr>
          <w:trHeight w:val="180"/>
        </w:trPr>
        <w:tc>
          <w:tcPr>
            <w:tcW w:w="36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Outstanding as of January 27, 2024</w:t>
            </w:r>
          </w:p>
        </w:tc>
        <w:tc>
          <w:tcPr>
            <w:tcW w:w="1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390,765</w:t>
            </w:r>
          </w:p>
        </w:tc>
        <w:tc>
          <w:tcPr>
            <w:tcW w:w="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74.89</w:t>
            </w:r>
          </w:p>
        </w:tc>
        <w:tc>
          <w:tcPr>
            <w:tcW w:w="100" w:type="dxa"/>
            <w:vAlign w:val="bottom"/>
            <w:tcBorders>
              <w:top w:val="single" w:sz="8" w:color="CCEEFF"/>
            </w:tcBorders>
            <w:shd w:val="clear" w:color="auto" w:fill="CCEEFF"/>
          </w:tcPr>
          <w:p>
            <w:pPr>
              <w:spacing w:after="0"/>
              <w:rPr>
                <w:sz w:val="15"/>
                <w:szCs w:val="15"/>
                <w:color w:val="auto"/>
              </w:rPr>
            </w:pPr>
          </w:p>
        </w:tc>
        <w:tc>
          <w:tcPr>
            <w:tcW w:w="500" w:type="dxa"/>
            <w:vAlign w:val="bottom"/>
            <w:tcBorders>
              <w:top w:val="single" w:sz="8" w:color="auto"/>
            </w:tcBorders>
            <w:shd w:val="clear" w:color="auto" w:fill="CCEEFF"/>
          </w:tcPr>
          <w:p>
            <w:pPr>
              <w:spacing w:after="0"/>
              <w:rPr>
                <w:sz w:val="15"/>
                <w:szCs w:val="15"/>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431,190</w:t>
            </w:r>
          </w:p>
        </w:tc>
        <w:tc>
          <w:tcPr>
            <w:tcW w:w="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95.98</w:t>
            </w:r>
          </w:p>
        </w:tc>
        <w:tc>
          <w:tcPr>
            <w:tcW w:w="0" w:type="dxa"/>
            <w:vAlign w:val="bottom"/>
          </w:tcPr>
          <w:p>
            <w:pPr>
              <w:spacing w:after="0"/>
              <w:rPr>
                <w:sz w:val="1"/>
                <w:szCs w:val="1"/>
                <w:color w:val="auto"/>
              </w:rPr>
            </w:pPr>
          </w:p>
        </w:tc>
      </w:tr>
      <w:tr>
        <w:trPr>
          <w:trHeight w:val="180"/>
        </w:trPr>
        <w:tc>
          <w:tcPr>
            <w:tcW w:w="36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Granted</w:t>
            </w:r>
          </w:p>
        </w:tc>
        <w:tc>
          <w:tcPr>
            <w:tcW w:w="1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128,040</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154.13</w:t>
            </w: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170,526</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141.28</w:t>
            </w:r>
          </w:p>
        </w:tc>
        <w:tc>
          <w:tcPr>
            <w:tcW w:w="0" w:type="dxa"/>
            <w:vAlign w:val="bottom"/>
          </w:tcPr>
          <w:p>
            <w:pPr>
              <w:spacing w:after="0"/>
              <w:rPr>
                <w:sz w:val="1"/>
                <w:szCs w:val="1"/>
                <w:color w:val="auto"/>
              </w:rPr>
            </w:pPr>
          </w:p>
        </w:tc>
      </w:tr>
      <w:tr>
        <w:trPr>
          <w:trHeight w:val="180"/>
        </w:trPr>
        <w:tc>
          <w:tcPr>
            <w:tcW w:w="3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Share units vested</w:t>
            </w: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(199,657)</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56.71</w:t>
            </w: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(146,702)</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92.07</w:t>
            </w:r>
          </w:p>
        </w:tc>
        <w:tc>
          <w:tcPr>
            <w:tcW w:w="0" w:type="dxa"/>
            <w:vAlign w:val="bottom"/>
          </w:tcPr>
          <w:p>
            <w:pPr>
              <w:spacing w:after="0"/>
              <w:rPr>
                <w:sz w:val="1"/>
                <w:szCs w:val="1"/>
                <w:color w:val="auto"/>
              </w:rPr>
            </w:pPr>
          </w:p>
        </w:tc>
      </w:tr>
      <w:tr>
        <w:trPr>
          <w:trHeight w:val="180"/>
        </w:trPr>
        <w:tc>
          <w:tcPr>
            <w:tcW w:w="36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Forfeited or canceled</w:t>
            </w: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(18,322)</w:t>
            </w:r>
          </w:p>
        </w:tc>
        <w:tc>
          <w:tcPr>
            <w:tcW w:w="22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7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112.66</w:t>
            </w:r>
          </w:p>
        </w:tc>
        <w:tc>
          <w:tcPr>
            <w:tcW w:w="100" w:type="dxa"/>
            <w:vAlign w:val="bottom"/>
            <w:tcBorders>
              <w:bottom w:val="single" w:sz="8" w:color="CCEEFF"/>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(88,581)</w:t>
            </w:r>
          </w:p>
        </w:tc>
        <w:tc>
          <w:tcPr>
            <w:tcW w:w="22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7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96.46</w:t>
            </w:r>
          </w:p>
        </w:tc>
        <w:tc>
          <w:tcPr>
            <w:tcW w:w="0" w:type="dxa"/>
            <w:vAlign w:val="bottom"/>
          </w:tcPr>
          <w:p>
            <w:pPr>
              <w:spacing w:after="0"/>
              <w:rPr>
                <w:sz w:val="1"/>
                <w:szCs w:val="1"/>
                <w:color w:val="auto"/>
              </w:rPr>
            </w:pPr>
          </w:p>
        </w:tc>
      </w:tr>
      <w:tr>
        <w:trPr>
          <w:trHeight w:val="196"/>
        </w:trPr>
        <w:tc>
          <w:tcPr>
            <w:tcW w:w="3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Outstanding as of January 25, 2025</w:t>
            </w:r>
          </w:p>
        </w:tc>
        <w:tc>
          <w:tcPr>
            <w:tcW w:w="1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300,826</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121.35</w:t>
            </w:r>
          </w:p>
        </w:tc>
        <w:tc>
          <w:tcPr>
            <w:tcW w:w="10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bottom w:val="single" w:sz="8" w:color="auto"/>
            </w:tcBorders>
            <w:shd w:val="clear" w:color="auto" w:fill="CCEEFF"/>
          </w:tcPr>
          <w:p>
            <w:pPr>
              <w:spacing w:after="0"/>
              <w:rPr>
                <w:sz w:val="16"/>
                <w:szCs w:val="16"/>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366,433</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118.51</w:t>
            </w:r>
          </w:p>
        </w:tc>
        <w:tc>
          <w:tcPr>
            <w:tcW w:w="0" w:type="dxa"/>
            <w:vAlign w:val="bottom"/>
          </w:tcPr>
          <w:p>
            <w:pPr>
              <w:spacing w:after="0"/>
              <w:rPr>
                <w:sz w:val="1"/>
                <w:szCs w:val="1"/>
                <w:color w:val="auto"/>
              </w:rPr>
            </w:pPr>
          </w:p>
        </w:tc>
      </w:tr>
      <w:tr>
        <w:trPr>
          <w:trHeight w:val="20"/>
        </w:trPr>
        <w:tc>
          <w:tcPr>
            <w:tcW w:w="3660" w:type="dxa"/>
            <w:vAlign w:val="bottom"/>
            <w:tcBorders>
              <w:top w:val="single" w:sz="8" w:color="CCEEFF"/>
            </w:tcBorders>
          </w:tcPr>
          <w:p>
            <w:pPr>
              <w:spacing w:after="0" w:line="20" w:lineRule="exact"/>
              <w:rPr>
                <w:sz w:val="1"/>
                <w:szCs w:val="1"/>
                <w:color w:val="auto"/>
              </w:rPr>
            </w:pPr>
          </w:p>
        </w:tc>
        <w:tc>
          <w:tcPr>
            <w:tcW w:w="18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2" w:lineRule="exact"/>
        <w:rPr>
          <w:sz w:val="20"/>
          <w:szCs w:val="20"/>
          <w:color w:val="auto"/>
        </w:rPr>
      </w:pPr>
    </w:p>
    <w:p>
      <w:pPr>
        <w:ind w:right="180" w:firstLine="255"/>
        <w:spacing w:after="0" w:line="264" w:lineRule="auto"/>
        <w:rPr>
          <w:sz w:val="20"/>
          <w:szCs w:val="20"/>
          <w:color w:val="auto"/>
        </w:rPr>
      </w:pPr>
      <w:r>
        <w:rPr>
          <w:rFonts w:ascii="Times New Roman" w:cs="Times New Roman" w:eastAsia="Times New Roman" w:hAnsi="Times New Roman"/>
          <w:sz w:val="14"/>
          <w:szCs w:val="14"/>
          <w:color w:val="auto"/>
        </w:rPr>
        <w:t>The total number of granted Performance RSUs presented above consists of 117,938 target shares and 52,588 supplemental shares. During fiscal 2025, we added 712 supplemental shares and cancelled 66,685 supplemental shares of Performance RSUs, as a result of performance criteria for attaining those shares being partially met for the applicable performance periods. Approximately 109,415 supplemental shares outstanding as of January 25, 2025 will be canceled during the three months ending April 26, 2025 as a result of the fiscal 2025 performance period criteria being partially met. The total amount of Performance RSUs outstanding as of January 25, 2025 consists of 251,626 target shares and 114,807 supplemental shares.</w:t>
      </w:r>
    </w:p>
    <w:p>
      <w:pPr>
        <w:spacing w:after="0" w:line="16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total fair value of restricted share units vested during fiscal 2025, fiscal 2024, and fiscal 2023 was $49.3 million, $29.6 million, and $18.4 million, respectively.</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42" w:lineRule="exact"/>
        <w:rPr>
          <w:sz w:val="20"/>
          <w:szCs w:val="20"/>
          <w:color w:val="auto"/>
        </w:rPr>
      </w:pPr>
    </w:p>
    <w:p>
      <w:pPr>
        <w:ind w:left="260" w:right="8040" w:hanging="255"/>
        <w:spacing w:after="0" w:line="539" w:lineRule="auto"/>
        <w:tabs>
          <w:tab w:leader="none" w:pos="217" w:val="left"/>
        </w:tabs>
        <w:numPr>
          <w:ilvl w:val="0"/>
          <w:numId w:val="17"/>
        </w:numPr>
        <w:rPr>
          <w:rFonts w:ascii="Times New Roman" w:cs="Times New Roman" w:eastAsia="Times New Roman" w:hAnsi="Times New Roman"/>
          <w:sz w:val="14"/>
          <w:szCs w:val="14"/>
          <w:b w:val="1"/>
          <w:bCs w:val="1"/>
          <w:i w:val="1"/>
          <w:iCs w:val="1"/>
          <w:color w:val="auto"/>
        </w:rPr>
      </w:pPr>
      <w:r>
        <w:rPr>
          <w:rFonts w:ascii="Times New Roman" w:cs="Times New Roman" w:eastAsia="Times New Roman" w:hAnsi="Times New Roman"/>
          <w:sz w:val="14"/>
          <w:szCs w:val="14"/>
          <w:b w:val="1"/>
          <w:bCs w:val="1"/>
          <w:i w:val="1"/>
          <w:iCs w:val="1"/>
          <w:color w:val="auto"/>
        </w:rPr>
        <w:t xml:space="preserve">Customer Concentration and Revenue Information </w:t>
      </w:r>
      <w:r>
        <w:rPr>
          <w:rFonts w:ascii="Times New Roman" w:cs="Times New Roman" w:eastAsia="Times New Roman" w:hAnsi="Times New Roman"/>
          <w:sz w:val="14"/>
          <w:szCs w:val="14"/>
          <w:b w:val="1"/>
          <w:bCs w:val="1"/>
          <w:color w:val="auto"/>
        </w:rPr>
        <w:t>Geographic Location</w:t>
      </w:r>
    </w:p>
    <w:p>
      <w:pPr>
        <w:ind w:left="260"/>
        <w:spacing w:after="0"/>
        <w:rPr>
          <w:sz w:val="20"/>
          <w:szCs w:val="20"/>
          <w:color w:val="auto"/>
        </w:rPr>
      </w:pPr>
      <w:r>
        <w:rPr>
          <w:rFonts w:ascii="Times New Roman" w:cs="Times New Roman" w:eastAsia="Times New Roman" w:hAnsi="Times New Roman"/>
          <w:sz w:val="14"/>
          <w:szCs w:val="14"/>
          <w:color w:val="auto"/>
        </w:rPr>
        <w:t>We provide services throughout the United States.</w:t>
      </w:r>
    </w:p>
    <w:p>
      <w:pPr>
        <w:spacing w:after="0" w:line="19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color w:val="auto"/>
        </w:rPr>
        <w:t>Significant Customers</w:t>
      </w:r>
    </w:p>
    <w:p>
      <w:pPr>
        <w:spacing w:after="0" w:line="202" w:lineRule="exact"/>
        <w:rPr>
          <w:sz w:val="20"/>
          <w:szCs w:val="20"/>
          <w:color w:val="auto"/>
        </w:rPr>
      </w:pPr>
    </w:p>
    <w:p>
      <w:pPr>
        <w:jc w:val="both"/>
        <w:ind w:right="20" w:firstLine="255"/>
        <w:spacing w:after="0" w:line="267" w:lineRule="auto"/>
        <w:rPr>
          <w:sz w:val="20"/>
          <w:szCs w:val="20"/>
          <w:color w:val="auto"/>
        </w:rPr>
      </w:pPr>
      <w:r>
        <w:rPr>
          <w:rFonts w:ascii="Times New Roman" w:cs="Times New Roman" w:eastAsia="Times New Roman" w:hAnsi="Times New Roman"/>
          <w:sz w:val="14"/>
          <w:szCs w:val="14"/>
          <w:color w:val="auto"/>
        </w:rPr>
        <w:t>Our customer base is highly concentrated, with our top five customers accounting for approximately 55.4%, 57.7%, and 66.7%, of our total contract revenues during fiscal 2025, fiscal 2024, and fiscal 2023, respectively. Customers whose contract revenues exceeded 10% of total contract revenues during fiscal 2025, fiscal 2024, or fiscal 2023, as well as total contract revenues from all other customers combined, were as follows:</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50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100" w:type="dxa"/>
            <w:vAlign w:val="bottom"/>
            <w:tcBorders>
              <w:bottom w:val="single" w:sz="8" w:color="auto"/>
            </w:tcBorders>
            <w:gridSpan w:val="4"/>
          </w:tcPr>
          <w:p>
            <w:pPr>
              <w:jc w:val="center"/>
              <w:ind w:right="329"/>
              <w:spacing w:after="0"/>
              <w:rPr>
                <w:sz w:val="20"/>
                <w:szCs w:val="20"/>
                <w:color w:val="auto"/>
              </w:rPr>
            </w:pPr>
            <w:r>
              <w:rPr>
                <w:rFonts w:ascii="Times New Roman" w:cs="Times New Roman" w:eastAsia="Times New Roman" w:hAnsi="Times New Roman"/>
                <w:sz w:val="14"/>
                <w:szCs w:val="14"/>
                <w:b w:val="1"/>
                <w:bCs w:val="1"/>
                <w:color w:val="auto"/>
                <w:w w:val="99"/>
              </w:rPr>
              <w:t>Fiscal Year Ended</w:t>
            </w:r>
          </w:p>
        </w:tc>
        <w:tc>
          <w:tcPr>
            <w:tcW w:w="8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r>
      <w:tr>
        <w:trPr>
          <w:trHeight w:val="182"/>
        </w:trPr>
        <w:tc>
          <w:tcPr>
            <w:tcW w:w="50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920" w:type="dxa"/>
            <w:vAlign w:val="bottom"/>
            <w:gridSpan w:val="3"/>
          </w:tcPr>
          <w:p>
            <w:pPr>
              <w:ind w:left="300"/>
              <w:spacing w:after="0"/>
              <w:rPr>
                <w:sz w:val="20"/>
                <w:szCs w:val="20"/>
                <w:color w:val="auto"/>
              </w:rPr>
            </w:pPr>
            <w:r>
              <w:rPr>
                <w:rFonts w:ascii="Times New Roman" w:cs="Times New Roman" w:eastAsia="Times New Roman" w:hAnsi="Times New Roman"/>
                <w:sz w:val="14"/>
                <w:szCs w:val="14"/>
                <w:b w:val="1"/>
                <w:bCs w:val="1"/>
                <w:color w:val="auto"/>
              </w:rPr>
              <w:t>January 25, 2025</w:t>
            </w:r>
          </w:p>
        </w:tc>
        <w:tc>
          <w:tcPr>
            <w:tcW w:w="140" w:type="dxa"/>
            <w:vAlign w:val="bottom"/>
          </w:tcPr>
          <w:p>
            <w:pPr>
              <w:spacing w:after="0"/>
              <w:rPr>
                <w:sz w:val="15"/>
                <w:szCs w:val="15"/>
                <w:color w:val="auto"/>
              </w:rPr>
            </w:pPr>
          </w:p>
        </w:tc>
        <w:tc>
          <w:tcPr>
            <w:tcW w:w="2100" w:type="dxa"/>
            <w:vAlign w:val="bottom"/>
            <w:gridSpan w:val="4"/>
          </w:tcPr>
          <w:p>
            <w:pPr>
              <w:jc w:val="center"/>
              <w:ind w:right="329"/>
              <w:spacing w:after="0"/>
              <w:rPr>
                <w:sz w:val="20"/>
                <w:szCs w:val="20"/>
                <w:color w:val="auto"/>
              </w:rPr>
            </w:pPr>
            <w:r>
              <w:rPr>
                <w:rFonts w:ascii="Times New Roman" w:cs="Times New Roman" w:eastAsia="Times New Roman" w:hAnsi="Times New Roman"/>
                <w:sz w:val="14"/>
                <w:szCs w:val="14"/>
                <w:b w:val="1"/>
                <w:bCs w:val="1"/>
                <w:color w:val="auto"/>
                <w:w w:val="99"/>
              </w:rPr>
              <w:t>January 27, 2024</w:t>
            </w:r>
          </w:p>
        </w:tc>
        <w:tc>
          <w:tcPr>
            <w:tcW w:w="1840" w:type="dxa"/>
            <w:vAlign w:val="bottom"/>
            <w:gridSpan w:val="2"/>
          </w:tcPr>
          <w:p>
            <w:pPr>
              <w:jc w:val="right"/>
              <w:ind w:right="409"/>
              <w:spacing w:after="0"/>
              <w:rPr>
                <w:sz w:val="20"/>
                <w:szCs w:val="20"/>
                <w:color w:val="auto"/>
              </w:rPr>
            </w:pPr>
            <w:r>
              <w:rPr>
                <w:rFonts w:ascii="Times New Roman" w:cs="Times New Roman" w:eastAsia="Times New Roman" w:hAnsi="Times New Roman"/>
                <w:sz w:val="14"/>
                <w:szCs w:val="14"/>
                <w:b w:val="1"/>
                <w:bCs w:val="1"/>
                <w:color w:val="auto"/>
              </w:rPr>
              <w:t>January 28, 2023</w:t>
            </w:r>
          </w:p>
        </w:tc>
      </w:tr>
      <w:tr>
        <w:trPr>
          <w:trHeight w:val="182"/>
        </w:trPr>
        <w:tc>
          <w:tcPr>
            <w:tcW w:w="5040" w:type="dxa"/>
            <w:vAlign w:val="bottom"/>
            <w:tcBorders>
              <w:bottom w:val="single" w:sz="8" w:color="CCEEFF"/>
            </w:tcBorders>
          </w:tcPr>
          <w:p>
            <w:pPr>
              <w:spacing w:after="0"/>
              <w:rPr>
                <w:sz w:val="15"/>
                <w:szCs w:val="15"/>
                <w:color w:val="auto"/>
              </w:rPr>
            </w:pPr>
          </w:p>
        </w:tc>
        <w:tc>
          <w:tcPr>
            <w:tcW w:w="160" w:type="dxa"/>
            <w:vAlign w:val="bottom"/>
            <w:tcBorders>
              <w:top w:val="single" w:sz="8" w:color="auto"/>
              <w:bottom w:val="single" w:sz="8" w:color="auto"/>
            </w:tcBorders>
          </w:tcPr>
          <w:p>
            <w:pPr>
              <w:spacing w:after="0"/>
              <w:rPr>
                <w:sz w:val="15"/>
                <w:szCs w:val="15"/>
                <w:color w:val="auto"/>
              </w:rPr>
            </w:pPr>
          </w:p>
        </w:tc>
        <w:tc>
          <w:tcPr>
            <w:tcW w:w="860" w:type="dxa"/>
            <w:vAlign w:val="bottom"/>
            <w:tcBorders>
              <w:top w:val="single" w:sz="8" w:color="auto"/>
              <w:bottom w:val="single" w:sz="8" w:color="auto"/>
            </w:tcBorders>
          </w:tcPr>
          <w:p>
            <w:pPr>
              <w:jc w:val="right"/>
              <w:ind w:right="229"/>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960" w:type="dxa"/>
            <w:vAlign w:val="bottom"/>
            <w:tcBorders>
              <w:top w:val="single" w:sz="8" w:color="auto"/>
              <w:bottom w:val="single" w:sz="8" w:color="auto"/>
            </w:tcBorders>
          </w:tcPr>
          <w:p>
            <w:pPr>
              <w:jc w:val="right"/>
              <w:ind w:right="129"/>
              <w:spacing w:after="0"/>
              <w:rPr>
                <w:sz w:val="20"/>
                <w:szCs w:val="20"/>
                <w:color w:val="auto"/>
              </w:rPr>
            </w:pPr>
            <w:r>
              <w:rPr>
                <w:rFonts w:ascii="Times New Roman" w:cs="Times New Roman" w:eastAsia="Times New Roman" w:hAnsi="Times New Roman"/>
                <w:sz w:val="14"/>
                <w:szCs w:val="14"/>
                <w:b w:val="1"/>
                <w:bCs w:val="1"/>
                <w:color w:val="auto"/>
              </w:rPr>
              <w:t>% of Total</w:t>
            </w:r>
          </w:p>
        </w:tc>
        <w:tc>
          <w:tcPr>
            <w:tcW w:w="100" w:type="dxa"/>
            <w:vAlign w:val="bottom"/>
            <w:tcBorders>
              <w:bottom w:val="single" w:sz="8" w:color="CCEEFF"/>
            </w:tcBorders>
          </w:tcPr>
          <w:p>
            <w:pPr>
              <w:spacing w:after="0"/>
              <w:rPr>
                <w:sz w:val="15"/>
                <w:szCs w:val="15"/>
                <w:color w:val="auto"/>
              </w:rPr>
            </w:pPr>
          </w:p>
        </w:tc>
        <w:tc>
          <w:tcPr>
            <w:tcW w:w="140" w:type="dxa"/>
            <w:vAlign w:val="bottom"/>
            <w:tcBorders>
              <w:top w:val="single" w:sz="8" w:color="auto"/>
              <w:bottom w:val="single" w:sz="8" w:color="auto"/>
            </w:tcBorders>
          </w:tcPr>
          <w:p>
            <w:pPr>
              <w:spacing w:after="0"/>
              <w:rPr>
                <w:sz w:val="15"/>
                <w:szCs w:val="15"/>
                <w:color w:val="auto"/>
              </w:rPr>
            </w:pPr>
          </w:p>
        </w:tc>
        <w:tc>
          <w:tcPr>
            <w:tcW w:w="860" w:type="dxa"/>
            <w:vAlign w:val="bottom"/>
            <w:tcBorders>
              <w:top w:val="single" w:sz="8" w:color="auto"/>
              <w:bottom w:val="single" w:sz="8" w:color="auto"/>
            </w:tcBorders>
          </w:tcPr>
          <w:p>
            <w:pPr>
              <w:jc w:val="right"/>
              <w:ind w:right="229"/>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980" w:type="dxa"/>
            <w:vAlign w:val="bottom"/>
            <w:tcBorders>
              <w:top w:val="single" w:sz="8" w:color="auto"/>
              <w:bottom w:val="single" w:sz="8" w:color="auto"/>
            </w:tcBorders>
          </w:tcPr>
          <w:p>
            <w:pPr>
              <w:jc w:val="right"/>
              <w:ind w:right="129"/>
              <w:spacing w:after="0"/>
              <w:rPr>
                <w:sz w:val="20"/>
                <w:szCs w:val="20"/>
                <w:color w:val="auto"/>
              </w:rPr>
            </w:pPr>
            <w:r>
              <w:rPr>
                <w:rFonts w:ascii="Times New Roman" w:cs="Times New Roman" w:eastAsia="Times New Roman" w:hAnsi="Times New Roman"/>
                <w:sz w:val="14"/>
                <w:szCs w:val="14"/>
                <w:b w:val="1"/>
                <w:bCs w:val="1"/>
                <w:color w:val="auto"/>
              </w:rPr>
              <w:t>% of Total</w:t>
            </w:r>
          </w:p>
        </w:tc>
        <w:tc>
          <w:tcPr>
            <w:tcW w:w="100" w:type="dxa"/>
            <w:vAlign w:val="bottom"/>
            <w:tcBorders>
              <w:bottom w:val="single" w:sz="8" w:color="CCEEFF"/>
            </w:tcBorders>
          </w:tcPr>
          <w:p>
            <w:pPr>
              <w:spacing w:after="0"/>
              <w:rPr>
                <w:sz w:val="15"/>
                <w:szCs w:val="15"/>
                <w:color w:val="auto"/>
              </w:rPr>
            </w:pPr>
          </w:p>
        </w:tc>
        <w:tc>
          <w:tcPr>
            <w:tcW w:w="160" w:type="dxa"/>
            <w:vAlign w:val="bottom"/>
            <w:tcBorders>
              <w:top w:val="single" w:sz="8" w:color="auto"/>
              <w:bottom w:val="single" w:sz="8" w:color="auto"/>
            </w:tcBorders>
          </w:tcPr>
          <w:p>
            <w:pPr>
              <w:spacing w:after="0"/>
              <w:rPr>
                <w:sz w:val="15"/>
                <w:szCs w:val="15"/>
                <w:color w:val="auto"/>
              </w:rPr>
            </w:pPr>
          </w:p>
        </w:tc>
        <w:tc>
          <w:tcPr>
            <w:tcW w:w="840" w:type="dxa"/>
            <w:vAlign w:val="bottom"/>
            <w:tcBorders>
              <w:top w:val="single" w:sz="8" w:color="auto"/>
              <w:bottom w:val="single" w:sz="8" w:color="auto"/>
            </w:tcBorders>
          </w:tcPr>
          <w:p>
            <w:pPr>
              <w:jc w:val="right"/>
              <w:ind w:right="209"/>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0" w:type="dxa"/>
            <w:vAlign w:val="bottom"/>
            <w:tcBorders>
              <w:top w:val="single" w:sz="8" w:color="auto"/>
              <w:bottom w:val="single" w:sz="8" w:color="auto"/>
            </w:tcBorders>
          </w:tcPr>
          <w:p>
            <w:pPr>
              <w:jc w:val="right"/>
              <w:ind w:right="149"/>
              <w:spacing w:after="0"/>
              <w:rPr>
                <w:sz w:val="20"/>
                <w:szCs w:val="20"/>
                <w:color w:val="auto"/>
              </w:rPr>
            </w:pPr>
            <w:r>
              <w:rPr>
                <w:rFonts w:ascii="Times New Roman" w:cs="Times New Roman" w:eastAsia="Times New Roman" w:hAnsi="Times New Roman"/>
                <w:sz w:val="14"/>
                <w:szCs w:val="14"/>
                <w:b w:val="1"/>
                <w:bCs w:val="1"/>
                <w:color w:val="auto"/>
              </w:rPr>
              <w:t>% of Total</w:t>
            </w:r>
          </w:p>
        </w:tc>
      </w:tr>
      <w:tr>
        <w:trPr>
          <w:trHeight w:val="180"/>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AT&amp;T Inc.</w:t>
            </w:r>
          </w:p>
        </w:tc>
        <w:tc>
          <w:tcPr>
            <w:tcW w:w="16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942.8</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20.1 %</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706.5</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16.9 %</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958.0</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25.2 %</w:t>
            </w:r>
          </w:p>
        </w:tc>
      </w:tr>
      <w:tr>
        <w:trPr>
          <w:trHeight w:val="180"/>
        </w:trPr>
        <w:tc>
          <w:tcPr>
            <w:tcW w:w="5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Lumen Technologies</w:t>
            </w:r>
          </w:p>
        </w:tc>
        <w:tc>
          <w:tcPr>
            <w:tcW w:w="160" w:type="dxa"/>
            <w:vAlign w:val="bottom"/>
          </w:tcPr>
          <w:p>
            <w:pPr>
              <w:spacing w:after="0"/>
              <w:rPr>
                <w:sz w:val="15"/>
                <w:szCs w:val="15"/>
                <w:color w:val="auto"/>
              </w:rPr>
            </w:pPr>
          </w:p>
        </w:tc>
        <w:tc>
          <w:tcPr>
            <w:tcW w:w="86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570.4</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12.1 %</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650.6</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15.6 %</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483.5</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12.7 %</w:t>
            </w:r>
          </w:p>
        </w:tc>
      </w:tr>
      <w:tr>
        <w:trPr>
          <w:trHeight w:val="180"/>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Comcast Corporation</w:t>
            </w:r>
          </w:p>
        </w:tc>
        <w:tc>
          <w:tcPr>
            <w:tcW w:w="160" w:type="dxa"/>
            <w:vAlign w:val="bottom"/>
            <w:shd w:val="clear" w:color="auto" w:fill="CCEEFF"/>
          </w:tcPr>
          <w:p>
            <w:pPr>
              <w:spacing w:after="0"/>
              <w:rPr>
                <w:sz w:val="15"/>
                <w:szCs w:val="15"/>
                <w:color w:val="auto"/>
              </w:rPr>
            </w:pPr>
          </w:p>
        </w:tc>
        <w:tc>
          <w:tcPr>
            <w:tcW w:w="86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401.6</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8.5 %</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6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448.6</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10.7 %</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4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430.6</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11.3 %</w:t>
            </w:r>
          </w:p>
        </w:tc>
      </w:tr>
      <w:tr>
        <w:trPr>
          <w:trHeight w:val="180"/>
        </w:trPr>
        <w:tc>
          <w:tcPr>
            <w:tcW w:w="5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Total other customers combined</w:t>
            </w:r>
          </w:p>
        </w:tc>
        <w:tc>
          <w:tcPr>
            <w:tcW w:w="1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rPr>
              <w:t>2,787.2</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59.3 %</w:t>
            </w: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rPr>
              <w:t>2,369.9</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56.8 %</w:t>
            </w: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rPr>
              <w:t>1,936.4</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50.8 %</w:t>
            </w:r>
          </w:p>
        </w:tc>
      </w:tr>
      <w:tr>
        <w:trPr>
          <w:trHeight w:val="196"/>
        </w:trPr>
        <w:tc>
          <w:tcPr>
            <w:tcW w:w="504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Total contract revenues</w:t>
            </w:r>
          </w:p>
        </w:tc>
        <w:tc>
          <w:tcPr>
            <w:tcW w:w="16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4,702.0</w:t>
            </w:r>
          </w:p>
        </w:tc>
        <w:tc>
          <w:tcPr>
            <w:tcW w:w="960" w:type="dxa"/>
            <w:vAlign w:val="bottom"/>
            <w:tcBorders>
              <w:bottom w:val="single" w:sz="8" w:color="auto"/>
            </w:tcBorders>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rPr>
              <w:t>100.0%</w:t>
            </w: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4,175.6</w:t>
            </w:r>
          </w:p>
        </w:tc>
        <w:tc>
          <w:tcPr>
            <w:tcW w:w="980" w:type="dxa"/>
            <w:vAlign w:val="bottom"/>
            <w:tcBorders>
              <w:bottom w:val="single" w:sz="8" w:color="auto"/>
            </w:tcBorders>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rPr>
              <w:t>100.0%</w:t>
            </w: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rPr>
              <w:t>$3,808.5</w:t>
            </w:r>
          </w:p>
        </w:tc>
        <w:tc>
          <w:tcPr>
            <w:tcW w:w="1000" w:type="dxa"/>
            <w:vAlign w:val="bottom"/>
            <w:tcBorders>
              <w:bottom w:val="single" w:sz="8" w:color="auto"/>
            </w:tcBorders>
            <w:shd w:val="clear" w:color="auto" w:fill="CCEEFF"/>
          </w:tcPr>
          <w:p>
            <w:pPr>
              <w:jc w:val="right"/>
              <w:ind w:right="249"/>
              <w:spacing w:after="0"/>
              <w:rPr>
                <w:sz w:val="20"/>
                <w:szCs w:val="20"/>
                <w:color w:val="auto"/>
              </w:rPr>
            </w:pPr>
            <w:r>
              <w:rPr>
                <w:rFonts w:ascii="Times New Roman" w:cs="Times New Roman" w:eastAsia="Times New Roman" w:hAnsi="Times New Roman"/>
                <w:sz w:val="14"/>
                <w:szCs w:val="14"/>
                <w:color w:val="auto"/>
              </w:rPr>
              <w:t>100.0%</w:t>
            </w:r>
          </w:p>
        </w:tc>
      </w:tr>
      <w:tr>
        <w:trPr>
          <w:trHeight w:val="20"/>
        </w:trPr>
        <w:tc>
          <w:tcPr>
            <w:tcW w:w="50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259" w:lineRule="exact"/>
        <w:rPr>
          <w:sz w:val="20"/>
          <w:szCs w:val="20"/>
          <w:color w:val="auto"/>
        </w:rPr>
      </w:pPr>
    </w:p>
    <w:p>
      <w:pPr>
        <w:ind w:right="300" w:firstLine="255"/>
        <w:spacing w:after="0" w:line="290" w:lineRule="auto"/>
        <w:rPr>
          <w:sz w:val="20"/>
          <w:szCs w:val="20"/>
          <w:color w:val="auto"/>
        </w:rPr>
      </w:pPr>
      <w:r>
        <w:rPr>
          <w:rFonts w:ascii="Times New Roman" w:cs="Times New Roman" w:eastAsia="Times New Roman" w:hAnsi="Times New Roman"/>
          <w:sz w:val="14"/>
          <w:szCs w:val="14"/>
          <w:color w:val="auto"/>
        </w:rPr>
        <w:t xml:space="preserve">See Note 6, </w:t>
      </w:r>
      <w:r>
        <w:rPr>
          <w:rFonts w:ascii="Times New Roman" w:cs="Times New Roman" w:eastAsia="Times New Roman" w:hAnsi="Times New Roman"/>
          <w:sz w:val="14"/>
          <w:szCs w:val="14"/>
          <w:i w:val="1"/>
          <w:iCs w:val="1"/>
          <w:color w:val="auto"/>
        </w:rPr>
        <w:t>Accounts Receivable, Contract Assets, and Contract Liabilities</w:t>
      </w:r>
      <w:r>
        <w:rPr>
          <w:rFonts w:ascii="Times New Roman" w:cs="Times New Roman" w:eastAsia="Times New Roman" w:hAnsi="Times New Roman"/>
          <w:sz w:val="14"/>
          <w:szCs w:val="14"/>
          <w:color w:val="auto"/>
        </w:rPr>
        <w:t>, for information on our customer credit concentration and collectability of trade accounts receivable and contract assets (liabilities).</w:t>
      </w:r>
    </w:p>
    <w:p>
      <w:pPr>
        <w:spacing w:after="0" w:line="14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color w:val="auto"/>
        </w:rPr>
        <w:t>Customer Type</w:t>
      </w:r>
    </w:p>
    <w:p>
      <w:pPr>
        <w:spacing w:after="0" w:line="20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Total contract revenues by customer type during fiscal 2025, fiscal 2024, and fiscal 2023, were as follows (dollars in millions):</w:t>
      </w:r>
    </w:p>
    <w:p>
      <w:pPr>
        <w:spacing w:after="0" w:line="39" w:lineRule="exact"/>
        <w:rPr>
          <w:sz w:val="20"/>
          <w:szCs w:val="20"/>
          <w:color w:val="auto"/>
        </w:rPr>
      </w:pPr>
    </w:p>
    <w:tbl>
      <w:tblPr>
        <w:tblLayout w:type="fixed"/>
        <w:tblInd w:w="40" w:type="dxa"/>
        <w:tblCellMar>
          <w:top w:w="0" w:type="dxa"/>
          <w:left w:w="0" w:type="dxa"/>
          <w:bottom w:w="0" w:type="dxa"/>
          <w:right w:w="0" w:type="dxa"/>
        </w:tblCellMar>
      </w:tblPr>
      <w:tr>
        <w:trPr>
          <w:trHeight w:val="188"/>
        </w:trPr>
        <w:tc>
          <w:tcPr>
            <w:tcW w:w="54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3"/>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9"/>
              </w:rPr>
              <w:t>Fiscal Year Ended</w:t>
            </w:r>
          </w:p>
        </w:tc>
        <w:tc>
          <w:tcPr>
            <w:tcW w:w="1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r>
      <w:tr>
        <w:trPr>
          <w:trHeight w:val="182"/>
        </w:trPr>
        <w:tc>
          <w:tcPr>
            <w:tcW w:w="54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0" w:type="dxa"/>
            <w:vAlign w:val="bottom"/>
            <w:gridSpan w:val="3"/>
          </w:tcPr>
          <w:p>
            <w:pPr>
              <w:ind w:left="260"/>
              <w:spacing w:after="0"/>
              <w:rPr>
                <w:sz w:val="20"/>
                <w:szCs w:val="20"/>
                <w:color w:val="auto"/>
              </w:rPr>
            </w:pPr>
            <w:r>
              <w:rPr>
                <w:rFonts w:ascii="Times New Roman" w:cs="Times New Roman" w:eastAsia="Times New Roman" w:hAnsi="Times New Roman"/>
                <w:sz w:val="14"/>
                <w:szCs w:val="14"/>
                <w:b w:val="1"/>
                <w:bCs w:val="1"/>
                <w:color w:val="auto"/>
              </w:rPr>
              <w:t>January 25, 2025</w:t>
            </w:r>
          </w:p>
        </w:tc>
        <w:tc>
          <w:tcPr>
            <w:tcW w:w="140" w:type="dxa"/>
            <w:vAlign w:val="bottom"/>
          </w:tcPr>
          <w:p>
            <w:pPr>
              <w:spacing w:after="0"/>
              <w:rPr>
                <w:sz w:val="15"/>
                <w:szCs w:val="15"/>
                <w:color w:val="auto"/>
              </w:rPr>
            </w:pPr>
          </w:p>
        </w:tc>
        <w:tc>
          <w:tcPr>
            <w:tcW w:w="1820" w:type="dxa"/>
            <w:vAlign w:val="bottom"/>
            <w:gridSpan w:val="3"/>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January 27, 2024</w:t>
            </w:r>
          </w:p>
        </w:tc>
        <w:tc>
          <w:tcPr>
            <w:tcW w:w="140" w:type="dxa"/>
            <w:vAlign w:val="bottom"/>
          </w:tcPr>
          <w:p>
            <w:pPr>
              <w:spacing w:after="0"/>
              <w:rPr>
                <w:sz w:val="15"/>
                <w:szCs w:val="15"/>
                <w:color w:val="auto"/>
              </w:rPr>
            </w:pPr>
          </w:p>
        </w:tc>
        <w:tc>
          <w:tcPr>
            <w:tcW w:w="1700" w:type="dxa"/>
            <w:vAlign w:val="bottom"/>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January 28, 2023</w:t>
            </w:r>
          </w:p>
        </w:tc>
      </w:tr>
      <w:tr>
        <w:trPr>
          <w:trHeight w:val="182"/>
        </w:trPr>
        <w:tc>
          <w:tcPr>
            <w:tcW w:w="5460" w:type="dxa"/>
            <w:vAlign w:val="bottom"/>
            <w:tcBorders>
              <w:bottom w:val="single" w:sz="8" w:color="CCEEFF"/>
            </w:tcBorders>
          </w:tcPr>
          <w:p>
            <w:pPr>
              <w:spacing w:after="0"/>
              <w:rPr>
                <w:sz w:val="15"/>
                <w:szCs w:val="15"/>
                <w:color w:val="auto"/>
              </w:rPr>
            </w:pPr>
          </w:p>
        </w:tc>
        <w:tc>
          <w:tcPr>
            <w:tcW w:w="140" w:type="dxa"/>
            <w:vAlign w:val="bottom"/>
            <w:tcBorders>
              <w:top w:val="single" w:sz="8" w:color="auto"/>
              <w:bottom w:val="single" w:sz="8" w:color="auto"/>
            </w:tcBorders>
          </w:tcPr>
          <w:p>
            <w:pPr>
              <w:spacing w:after="0"/>
              <w:rPr>
                <w:sz w:val="15"/>
                <w:szCs w:val="15"/>
                <w:color w:val="auto"/>
              </w:rPr>
            </w:pPr>
          </w:p>
        </w:tc>
        <w:tc>
          <w:tcPr>
            <w:tcW w:w="820" w:type="dxa"/>
            <w:vAlign w:val="bottom"/>
            <w:tcBorders>
              <w:top w:val="single" w:sz="8" w:color="auto"/>
              <w:bottom w:val="single" w:sz="8" w:color="auto"/>
            </w:tcBorders>
          </w:tcPr>
          <w:p>
            <w:pPr>
              <w:jc w:val="right"/>
              <w:ind w:right="189"/>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80" w:type="dxa"/>
            <w:vAlign w:val="bottom"/>
            <w:tcBorders>
              <w:top w:val="single" w:sz="8" w:color="auto"/>
              <w:bottom w:val="single" w:sz="8" w:color="auto"/>
            </w:tcBorders>
          </w:tcPr>
          <w:p>
            <w:pPr>
              <w:ind w:left="100"/>
              <w:spacing w:after="0"/>
              <w:rPr>
                <w:sz w:val="20"/>
                <w:szCs w:val="20"/>
                <w:color w:val="auto"/>
              </w:rPr>
            </w:pPr>
            <w:r>
              <w:rPr>
                <w:rFonts w:ascii="Times New Roman" w:cs="Times New Roman" w:eastAsia="Times New Roman" w:hAnsi="Times New Roman"/>
                <w:sz w:val="14"/>
                <w:szCs w:val="14"/>
                <w:b w:val="1"/>
                <w:bCs w:val="1"/>
                <w:color w:val="auto"/>
              </w:rPr>
              <w:t>% of Total</w:t>
            </w:r>
          </w:p>
        </w:tc>
        <w:tc>
          <w:tcPr>
            <w:tcW w:w="100" w:type="dxa"/>
            <w:vAlign w:val="bottom"/>
            <w:tcBorders>
              <w:bottom w:val="single" w:sz="8" w:color="CCEEFF"/>
            </w:tcBorders>
          </w:tcPr>
          <w:p>
            <w:pPr>
              <w:spacing w:after="0"/>
              <w:rPr>
                <w:sz w:val="15"/>
                <w:szCs w:val="15"/>
                <w:color w:val="auto"/>
              </w:rPr>
            </w:pPr>
          </w:p>
        </w:tc>
        <w:tc>
          <w:tcPr>
            <w:tcW w:w="140" w:type="dxa"/>
            <w:vAlign w:val="bottom"/>
            <w:tcBorders>
              <w:top w:val="single" w:sz="8" w:color="auto"/>
              <w:bottom w:val="single" w:sz="8" w:color="auto"/>
            </w:tcBorders>
          </w:tcPr>
          <w:p>
            <w:pPr>
              <w:spacing w:after="0"/>
              <w:rPr>
                <w:sz w:val="15"/>
                <w:szCs w:val="15"/>
                <w:color w:val="auto"/>
              </w:rPr>
            </w:pPr>
          </w:p>
        </w:tc>
        <w:tc>
          <w:tcPr>
            <w:tcW w:w="840" w:type="dxa"/>
            <w:vAlign w:val="bottom"/>
            <w:tcBorders>
              <w:top w:val="single" w:sz="8" w:color="auto"/>
              <w:bottom w:val="single" w:sz="8" w:color="auto"/>
            </w:tcBorders>
          </w:tcPr>
          <w:p>
            <w:pPr>
              <w:jc w:val="right"/>
              <w:ind w:right="209"/>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80" w:type="dxa"/>
            <w:vAlign w:val="bottom"/>
            <w:tcBorders>
              <w:top w:val="single" w:sz="8" w:color="auto"/>
              <w:bottom w:val="single" w:sz="8" w:color="auto"/>
            </w:tcBorders>
          </w:tcPr>
          <w:p>
            <w:pPr>
              <w:ind w:left="100"/>
              <w:spacing w:after="0"/>
              <w:rPr>
                <w:sz w:val="20"/>
                <w:szCs w:val="20"/>
                <w:color w:val="auto"/>
              </w:rPr>
            </w:pPr>
            <w:r>
              <w:rPr>
                <w:rFonts w:ascii="Times New Roman" w:cs="Times New Roman" w:eastAsia="Times New Roman" w:hAnsi="Times New Roman"/>
                <w:sz w:val="14"/>
                <w:szCs w:val="14"/>
                <w:b w:val="1"/>
                <w:bCs w:val="1"/>
                <w:color w:val="auto"/>
              </w:rPr>
              <w:t>% of Total</w:t>
            </w:r>
          </w:p>
        </w:tc>
        <w:tc>
          <w:tcPr>
            <w:tcW w:w="100" w:type="dxa"/>
            <w:vAlign w:val="bottom"/>
            <w:tcBorders>
              <w:bottom w:val="single" w:sz="8" w:color="CCEEFF"/>
            </w:tcBorders>
          </w:tcPr>
          <w:p>
            <w:pPr>
              <w:spacing w:after="0"/>
              <w:rPr>
                <w:sz w:val="15"/>
                <w:szCs w:val="15"/>
                <w:color w:val="auto"/>
              </w:rPr>
            </w:pPr>
          </w:p>
        </w:tc>
        <w:tc>
          <w:tcPr>
            <w:tcW w:w="140" w:type="dxa"/>
            <w:vAlign w:val="bottom"/>
            <w:tcBorders>
              <w:top w:val="single" w:sz="8" w:color="auto"/>
              <w:bottom w:val="single" w:sz="8" w:color="auto"/>
            </w:tcBorders>
          </w:tcPr>
          <w:p>
            <w:pPr>
              <w:spacing w:after="0"/>
              <w:rPr>
                <w:sz w:val="15"/>
                <w:szCs w:val="15"/>
                <w:color w:val="auto"/>
              </w:rPr>
            </w:pPr>
          </w:p>
        </w:tc>
        <w:tc>
          <w:tcPr>
            <w:tcW w:w="820" w:type="dxa"/>
            <w:vAlign w:val="bottom"/>
            <w:tcBorders>
              <w:top w:val="single" w:sz="8" w:color="auto"/>
              <w:bottom w:val="single" w:sz="8" w:color="auto"/>
            </w:tcBorders>
          </w:tcPr>
          <w:p>
            <w:pPr>
              <w:jc w:val="right"/>
              <w:ind w:right="189"/>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80" w:type="dxa"/>
            <w:vAlign w:val="bottom"/>
            <w:tcBorders>
              <w:top w:val="single" w:sz="8" w:color="auto"/>
              <w:bottom w:val="single" w:sz="8" w:color="auto"/>
            </w:tcBorders>
          </w:tcPr>
          <w:p>
            <w:pPr>
              <w:ind w:left="100"/>
              <w:spacing w:after="0"/>
              <w:rPr>
                <w:sz w:val="20"/>
                <w:szCs w:val="20"/>
                <w:color w:val="auto"/>
              </w:rPr>
            </w:pPr>
            <w:r>
              <w:rPr>
                <w:rFonts w:ascii="Times New Roman" w:cs="Times New Roman" w:eastAsia="Times New Roman" w:hAnsi="Times New Roman"/>
                <w:sz w:val="14"/>
                <w:szCs w:val="14"/>
                <w:b w:val="1"/>
                <w:bCs w:val="1"/>
                <w:color w:val="auto"/>
              </w:rPr>
              <w:t>% of Total</w:t>
            </w:r>
          </w:p>
        </w:tc>
      </w:tr>
      <w:tr>
        <w:trPr>
          <w:trHeight w:val="180"/>
        </w:trPr>
        <w:tc>
          <w:tcPr>
            <w:tcW w:w="5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Telecommunications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4,250.2</w:t>
            </w:r>
          </w:p>
        </w:tc>
        <w:tc>
          <w:tcPr>
            <w:tcW w:w="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90.4%</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3,743.3</w:t>
            </w:r>
          </w:p>
        </w:tc>
        <w:tc>
          <w:tcPr>
            <w:tcW w:w="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89.6%</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3,415.8</w:t>
            </w:r>
          </w:p>
        </w:tc>
        <w:tc>
          <w:tcPr>
            <w:tcW w:w="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89.7%</w:t>
            </w:r>
          </w:p>
        </w:tc>
      </w:tr>
      <w:tr>
        <w:trPr>
          <w:trHeight w:val="180"/>
        </w:trPr>
        <w:tc>
          <w:tcPr>
            <w:tcW w:w="5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Underground facility locating</w:t>
            </w:r>
          </w:p>
        </w:tc>
        <w:tc>
          <w:tcPr>
            <w:tcW w:w="140" w:type="dxa"/>
            <w:vAlign w:val="bottom"/>
          </w:tcPr>
          <w:p>
            <w:pPr>
              <w:spacing w:after="0"/>
              <w:rPr>
                <w:sz w:val="15"/>
                <w:szCs w:val="15"/>
                <w:color w:val="auto"/>
              </w:rPr>
            </w:pPr>
          </w:p>
        </w:tc>
        <w:tc>
          <w:tcPr>
            <w:tcW w:w="82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314.7</w:t>
            </w: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6.7%</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295.3</w:t>
            </w: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7.1%</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274.9</w:t>
            </w: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5"/>
              </w:rPr>
              <w:t>7.2%</w:t>
            </w:r>
          </w:p>
        </w:tc>
      </w:tr>
      <w:tr>
        <w:trPr>
          <w:trHeight w:val="180"/>
        </w:trPr>
        <w:tc>
          <w:tcPr>
            <w:tcW w:w="5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Electrical and gas utilities and other</w:t>
            </w:r>
          </w:p>
        </w:tc>
        <w:tc>
          <w:tcPr>
            <w:tcW w:w="140" w:type="dxa"/>
            <w:vAlign w:val="bottom"/>
            <w:tcBorders>
              <w:bottom w:val="single" w:sz="8" w:color="auto"/>
            </w:tcBorders>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137.1</w:t>
            </w:r>
          </w:p>
        </w:tc>
        <w:tc>
          <w:tcPr>
            <w:tcW w:w="88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2.9%</w:t>
            </w:r>
          </w:p>
        </w:tc>
        <w:tc>
          <w:tcPr>
            <w:tcW w:w="10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137.0</w:t>
            </w:r>
          </w:p>
        </w:tc>
        <w:tc>
          <w:tcPr>
            <w:tcW w:w="88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3.3%</w:t>
            </w:r>
          </w:p>
        </w:tc>
        <w:tc>
          <w:tcPr>
            <w:tcW w:w="10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117.8</w:t>
            </w:r>
          </w:p>
        </w:tc>
        <w:tc>
          <w:tcPr>
            <w:tcW w:w="88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5"/>
              </w:rPr>
              <w:t>3.1%</w:t>
            </w:r>
          </w:p>
        </w:tc>
      </w:tr>
      <w:tr>
        <w:trPr>
          <w:trHeight w:val="171"/>
        </w:trPr>
        <w:tc>
          <w:tcPr>
            <w:tcW w:w="54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Total contract revenues</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rPr>
              <w:t>4,702.0</w:t>
            </w:r>
          </w:p>
        </w:tc>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100.0%</w:t>
            </w:r>
          </w:p>
        </w:tc>
        <w:tc>
          <w:tcPr>
            <w:tcW w:w="100" w:type="dxa"/>
            <w:vAlign w:val="bottom"/>
          </w:tcPr>
          <w:p>
            <w:pPr>
              <w:spacing w:after="0"/>
              <w:rPr>
                <w:sz w:val="14"/>
                <w:szCs w:val="14"/>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rPr>
              <w:t>4,175.6</w:t>
            </w:r>
          </w:p>
        </w:tc>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100.0%</w:t>
            </w:r>
          </w:p>
        </w:tc>
        <w:tc>
          <w:tcPr>
            <w:tcW w:w="100" w:type="dxa"/>
            <w:vAlign w:val="bottom"/>
          </w:tcPr>
          <w:p>
            <w:pPr>
              <w:spacing w:after="0"/>
              <w:rPr>
                <w:sz w:val="14"/>
                <w:szCs w:val="14"/>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rPr>
              <w:t>3,808.5</w:t>
            </w:r>
          </w:p>
        </w:tc>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100.0%</w:t>
            </w:r>
          </w:p>
        </w:tc>
      </w:tr>
      <w:tr>
        <w:trPr>
          <w:trHeight w:val="20"/>
        </w:trPr>
        <w:tc>
          <w:tcPr>
            <w:tcW w:w="54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7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color w:val="auto"/>
        </w:rPr>
        <w:t>Remaining Performance Obligations</w:t>
      </w:r>
    </w:p>
    <w:p>
      <w:pPr>
        <w:spacing w:after="0" w:line="202" w:lineRule="exact"/>
        <w:rPr>
          <w:sz w:val="20"/>
          <w:szCs w:val="20"/>
          <w:color w:val="auto"/>
        </w:rPr>
      </w:pPr>
    </w:p>
    <w:p>
      <w:pPr>
        <w:ind w:right="280" w:firstLine="255"/>
        <w:spacing w:after="0" w:line="287" w:lineRule="auto"/>
        <w:rPr>
          <w:sz w:val="20"/>
          <w:szCs w:val="20"/>
          <w:color w:val="auto"/>
        </w:rPr>
      </w:pPr>
      <w:r>
        <w:rPr>
          <w:rFonts w:ascii="Times New Roman" w:cs="Times New Roman" w:eastAsia="Times New Roman" w:hAnsi="Times New Roman"/>
          <w:sz w:val="14"/>
          <w:szCs w:val="14"/>
          <w:color w:val="auto"/>
        </w:rPr>
        <w:t>Master service agreements and other contractual agreements with customers contain customer-specified service requirements, such as discrete pricing for individual tasks. In most cases, our customers are not contractually committed to procure specific volumes of services under these agreements.</w:t>
      </w:r>
    </w:p>
    <w:p>
      <w:pPr>
        <w:spacing w:after="0" w:line="145" w:lineRule="exact"/>
        <w:rPr>
          <w:sz w:val="20"/>
          <w:szCs w:val="20"/>
          <w:color w:val="auto"/>
        </w:rPr>
      </w:pPr>
    </w:p>
    <w:p>
      <w:pPr>
        <w:ind w:right="340" w:firstLine="255"/>
        <w:spacing w:after="0" w:line="264" w:lineRule="auto"/>
        <w:rPr>
          <w:sz w:val="20"/>
          <w:szCs w:val="20"/>
          <w:color w:val="auto"/>
        </w:rPr>
      </w:pPr>
      <w:r>
        <w:rPr>
          <w:rFonts w:ascii="Times New Roman" w:cs="Times New Roman" w:eastAsia="Times New Roman" w:hAnsi="Times New Roman"/>
          <w:sz w:val="14"/>
          <w:szCs w:val="14"/>
          <w:color w:val="auto"/>
        </w:rPr>
        <w:t xml:space="preserve">Services are generally performed pursuant to these agreements in accordance with individual work orders. An individual work order generally is completed within one year. As a result, our remaining performance obligations under the work orders not yet completed is not meaningful in relation to our overall revenue at any given point in time. We apply the practical expedient in Accounting Standards Codification Topic 606, </w:t>
      </w:r>
      <w:r>
        <w:rPr>
          <w:rFonts w:ascii="Times New Roman" w:cs="Times New Roman" w:eastAsia="Times New Roman" w:hAnsi="Times New Roman"/>
          <w:sz w:val="14"/>
          <w:szCs w:val="14"/>
          <w:i w:val="1"/>
          <w:iCs w:val="1"/>
          <w:color w:val="auto"/>
        </w:rPr>
        <w:t>Revenue from Contracts with Customers,</w:t>
      </w:r>
      <w:r>
        <w:rPr>
          <w:rFonts w:ascii="Times New Roman" w:cs="Times New Roman" w:eastAsia="Times New Roman" w:hAnsi="Times New Roman"/>
          <w:sz w:val="14"/>
          <w:szCs w:val="14"/>
          <w:color w:val="auto"/>
        </w:rPr>
        <w:t xml:space="preserve"> and do not disclose information about remaining performance obligations that have original expected durations of one year or less.</w:t>
      </w:r>
    </w:p>
    <w:p>
      <w:pPr>
        <w:spacing w:after="0" w:line="200" w:lineRule="exact"/>
        <w:rPr>
          <w:sz w:val="20"/>
          <w:szCs w:val="20"/>
          <w:color w:val="auto"/>
        </w:rPr>
      </w:pPr>
    </w:p>
    <w:p>
      <w:pPr>
        <w:spacing w:after="0" w:line="39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125" w:right="35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21. Segment Reporting</w:t>
      </w:r>
    </w:p>
    <w:p>
      <w:pPr>
        <w:spacing w:after="0" w:line="191" w:lineRule="exact"/>
        <w:rPr>
          <w:sz w:val="20"/>
          <w:szCs w:val="20"/>
          <w:color w:val="auto"/>
        </w:rPr>
      </w:pPr>
    </w:p>
    <w:p>
      <w:pPr>
        <w:jc w:val="both"/>
        <w:ind w:firstLine="255"/>
        <w:spacing w:after="0" w:line="246" w:lineRule="auto"/>
        <w:rPr>
          <w:sz w:val="20"/>
          <w:szCs w:val="20"/>
          <w:color w:val="auto"/>
        </w:rPr>
      </w:pPr>
      <w:r>
        <w:rPr>
          <w:rFonts w:ascii="Times New Roman" w:cs="Times New Roman" w:eastAsia="Times New Roman" w:hAnsi="Times New Roman"/>
          <w:sz w:val="14"/>
          <w:szCs w:val="14"/>
          <w:color w:val="auto"/>
        </w:rPr>
        <w:t>The Company operates in one reportable segment which derives revenues by providing specialty contracting services throughout the United States. These services include program management, planning engineering and design; aerial, underground and wireless construction; maintenance; and fulfillment services for telecommunications providers. Additionally, we provide underground facility locating services for various utilities, including telecommunications providers, as well as other construction and maintenance for electric and gas utilities.</w:t>
      </w:r>
    </w:p>
    <w:p>
      <w:pPr>
        <w:spacing w:after="0" w:line="152" w:lineRule="exact"/>
        <w:rPr>
          <w:sz w:val="20"/>
          <w:szCs w:val="20"/>
          <w:color w:val="auto"/>
        </w:rPr>
      </w:pPr>
    </w:p>
    <w:p>
      <w:pPr>
        <w:jc w:val="both"/>
        <w:ind w:firstLine="255"/>
        <w:spacing w:after="0" w:line="239" w:lineRule="auto"/>
        <w:rPr>
          <w:sz w:val="20"/>
          <w:szCs w:val="20"/>
          <w:color w:val="auto"/>
        </w:rPr>
      </w:pPr>
      <w:r>
        <w:rPr>
          <w:rFonts w:ascii="Times New Roman" w:cs="Times New Roman" w:eastAsia="Times New Roman" w:hAnsi="Times New Roman"/>
          <w:sz w:val="14"/>
          <w:szCs w:val="14"/>
          <w:color w:val="auto"/>
        </w:rPr>
        <w:t>The Company’s services are provided by its operating segments on a decentralized basis. Each operating segment consists of a subsidiary (or in certain instances, the combination of two or more subsidiaries), whose results are regularly reviewed by the Company's Chief Executive Officer, the chief operating decision maker (CODM). All the Company’s operating segments have been aggregated into one reportable segment based on their similar economic characteristics, nature of services and production processes, type of customers, and service distribution methods.</w:t>
      </w:r>
    </w:p>
    <w:p>
      <w:pPr>
        <w:spacing w:after="0" w:line="166" w:lineRule="exact"/>
        <w:rPr>
          <w:sz w:val="20"/>
          <w:szCs w:val="20"/>
          <w:color w:val="auto"/>
        </w:rPr>
      </w:pPr>
    </w:p>
    <w:p>
      <w:pPr>
        <w:jc w:val="both"/>
        <w:ind w:firstLine="255"/>
        <w:spacing w:after="0" w:line="255" w:lineRule="auto"/>
        <w:rPr>
          <w:sz w:val="20"/>
          <w:szCs w:val="20"/>
          <w:color w:val="auto"/>
        </w:rPr>
      </w:pPr>
      <w:r>
        <w:rPr>
          <w:rFonts w:ascii="Times New Roman" w:cs="Times New Roman" w:eastAsia="Times New Roman" w:hAnsi="Times New Roman"/>
          <w:sz w:val="14"/>
          <w:szCs w:val="14"/>
          <w:color w:val="auto"/>
        </w:rPr>
        <w:t>This segment structure reflects the financial information and reports used by the Company's CODM to make decisions regarding the Company's business, including performance assessments and strategic and operational planning in compliance with ASC 280, Segment Reporting.</w:t>
      </w:r>
    </w:p>
    <w:p>
      <w:pPr>
        <w:spacing w:after="0" w:line="146" w:lineRule="exact"/>
        <w:rPr>
          <w:sz w:val="20"/>
          <w:szCs w:val="20"/>
          <w:color w:val="auto"/>
        </w:rPr>
      </w:pPr>
    </w:p>
    <w:p>
      <w:pPr>
        <w:jc w:val="both"/>
        <w:ind w:firstLine="255"/>
        <w:spacing w:after="0" w:line="238" w:lineRule="auto"/>
        <w:rPr>
          <w:sz w:val="20"/>
          <w:szCs w:val="20"/>
          <w:color w:val="auto"/>
        </w:rPr>
      </w:pPr>
      <w:r>
        <w:rPr>
          <w:rFonts w:ascii="Times New Roman" w:cs="Times New Roman" w:eastAsia="Times New Roman" w:hAnsi="Times New Roman"/>
          <w:sz w:val="14"/>
          <w:szCs w:val="14"/>
          <w:color w:val="auto"/>
        </w:rPr>
        <w:t>The key measure of segment profit or loss utilized by the CODM to assess performance of and allocate resources to the Company’s operating segments is income before income taxes. This measure is presented on the consolidated statement of operations. Significant segment expenses included in income before income taxes are cost of earned revenues, general and administrative expenses, depreciation and amortization, interest expense and other income (expense), which are presented on the consolidated statement of operations. The measure of segment assets is reported on the consolidated balance sheet as total consolidated assets.</w:t>
      </w:r>
    </w:p>
    <w:p>
      <w:pPr>
        <w:spacing w:after="0" w:line="157" w:lineRule="exact"/>
        <w:rPr>
          <w:sz w:val="20"/>
          <w:szCs w:val="20"/>
          <w:color w:val="auto"/>
        </w:rPr>
      </w:pPr>
    </w:p>
    <w:p>
      <w:pPr>
        <w:jc w:val="both"/>
        <w:ind w:firstLine="255"/>
        <w:spacing w:after="0" w:line="255" w:lineRule="auto"/>
        <w:rPr>
          <w:sz w:val="20"/>
          <w:szCs w:val="20"/>
          <w:color w:val="auto"/>
        </w:rPr>
      </w:pPr>
      <w:r>
        <w:rPr>
          <w:rFonts w:ascii="Times New Roman" w:cs="Times New Roman" w:eastAsia="Times New Roman" w:hAnsi="Times New Roman"/>
          <w:sz w:val="14"/>
          <w:szCs w:val="14"/>
          <w:color w:val="auto"/>
        </w:rPr>
        <w:t>The CODM reviews contract revenues and income before income taxes compared to historical, forecasted and budgeted amounts to assess the performance of the Company’s operating segments and allocate resources.</w:t>
      </w: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22. Commitments and Contingencies</w:t>
      </w:r>
    </w:p>
    <w:p>
      <w:pPr>
        <w:spacing w:after="0" w:line="202" w:lineRule="exact"/>
        <w:rPr>
          <w:sz w:val="20"/>
          <w:szCs w:val="20"/>
          <w:color w:val="auto"/>
        </w:rPr>
      </w:pPr>
    </w:p>
    <w:p>
      <w:pPr>
        <w:jc w:val="both"/>
        <w:ind w:firstLine="255"/>
        <w:spacing w:after="0" w:line="253" w:lineRule="auto"/>
        <w:rPr>
          <w:sz w:val="20"/>
          <w:szCs w:val="20"/>
          <w:color w:val="auto"/>
        </w:rPr>
      </w:pPr>
      <w:r>
        <w:rPr>
          <w:rFonts w:ascii="Times New Roman" w:cs="Times New Roman" w:eastAsia="Times New Roman" w:hAnsi="Times New Roman"/>
          <w:sz w:val="14"/>
          <w:szCs w:val="14"/>
          <w:color w:val="auto"/>
        </w:rPr>
        <w:t>During the fourth quarter of fiscal 2016, one of the Company’s subsidiaries ceased operations. This subsidiary contributed to a multiemployer pension plan, the Pension, Hospitalization and Benefit Plan of the Electrical Industry - Pension Trust Fund (the “Plan”). In October 2016, the Plan demanded payment for a claimed withdrawal liability pursuant to its interpretation of ERISA. The subsidiary disputed, among other things, the amount of the withdrawal liability demanded by the Plan and submitted this dispute to arbitration, as required by ERISA. During the third quarter of fiscal 2025, the Company and the Plan reached an agreement to fully resolve this matter and there was no material financial impact to the Company.</w:t>
      </w:r>
    </w:p>
    <w:p>
      <w:pPr>
        <w:spacing w:after="0" w:line="159" w:lineRule="exact"/>
        <w:rPr>
          <w:sz w:val="20"/>
          <w:szCs w:val="20"/>
          <w:color w:val="auto"/>
        </w:rPr>
      </w:pPr>
    </w:p>
    <w:p>
      <w:pPr>
        <w:jc w:val="both"/>
        <w:ind w:right="20" w:firstLine="255"/>
        <w:spacing w:after="0" w:line="270" w:lineRule="auto"/>
        <w:rPr>
          <w:sz w:val="20"/>
          <w:szCs w:val="20"/>
          <w:color w:val="auto"/>
        </w:rPr>
      </w:pPr>
      <w:r>
        <w:rPr>
          <w:rFonts w:ascii="Times New Roman" w:cs="Times New Roman" w:eastAsia="Times New Roman" w:hAnsi="Times New Roman"/>
          <w:sz w:val="14"/>
          <w:szCs w:val="14"/>
          <w:color w:val="auto"/>
        </w:rPr>
        <w:t>From time to time, we are party to other various claims and legal proceedings arising in the ordinary course of business. While the resolution of these matters cannot be predicted with certainty, it is the opinion of management, based on information available at this time, that the ultimate resolution of any such claims or legal proceedings will not, after considering applicable insurance coverage or other indemnities to which we may be entitled, have a material effect on our financial position, results of operations, or cash flow.</w:t>
      </w:r>
    </w:p>
    <w:p>
      <w:pPr>
        <w:spacing w:after="0" w:line="15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color w:val="auto"/>
        </w:rPr>
        <w:t>Commitments</w:t>
      </w:r>
    </w:p>
    <w:p>
      <w:pPr>
        <w:spacing w:after="0" w:line="200" w:lineRule="exact"/>
        <w:rPr>
          <w:sz w:val="20"/>
          <w:szCs w:val="20"/>
          <w:color w:val="auto"/>
        </w:rPr>
      </w:pPr>
    </w:p>
    <w:p>
      <w:pPr>
        <w:ind w:right="20" w:firstLine="255"/>
        <w:spacing w:after="0" w:line="260" w:lineRule="auto"/>
        <w:rPr>
          <w:sz w:val="20"/>
          <w:szCs w:val="20"/>
          <w:color w:val="auto"/>
        </w:rPr>
      </w:pPr>
      <w:r>
        <w:rPr>
          <w:rFonts w:ascii="Times New Roman" w:cs="Times New Roman" w:eastAsia="Times New Roman" w:hAnsi="Times New Roman"/>
          <w:sz w:val="14"/>
          <w:szCs w:val="14"/>
          <w:i w:val="1"/>
          <w:iCs w:val="1"/>
          <w:color w:val="auto"/>
        </w:rPr>
        <w:t xml:space="preserve">Performance and Payment Bonds and Guarantees. </w:t>
      </w:r>
      <w:r>
        <w:rPr>
          <w:rFonts w:ascii="Times New Roman" w:cs="Times New Roman" w:eastAsia="Times New Roman" w:hAnsi="Times New Roman"/>
          <w:sz w:val="14"/>
          <w:szCs w:val="14"/>
          <w:color w:val="auto"/>
        </w:rPr>
        <w:t>We have obligations under performance and other surety contract bonds related to certain of our customer contracts. Performance bonds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generally provide a customer with the right to obtain payment and/or performance from the issuer of the bond if we fail to perform our contractual obligations. As of January 25, 2025 and January 27, 2024, we had $413.5 million and $409.6 million, respectively, of outstanding performance and other surety contract bonds. In addition to performance and other surety contract bonds, as part of our insurance program, we also provide surety bonds that collateralize our obligations to our insurance carriers. As of January 25, 2025 and January 27, 2024, we had $31.0 million and $20.4 million, respectively, of outstanding surety bonds related to our insurance obligations. Additionally, the Company periodically guarantees certain obligations of its subsidiaries, including obligations in connection with obtaining state contractor licenses and leasing real property and equipment.</w:t>
      </w:r>
    </w:p>
    <w:p>
      <w:pPr>
        <w:spacing w:after="0" w:line="142" w:lineRule="exact"/>
        <w:rPr>
          <w:sz w:val="20"/>
          <w:szCs w:val="20"/>
          <w:color w:val="auto"/>
        </w:rPr>
      </w:pPr>
    </w:p>
    <w:p>
      <w:pPr>
        <w:ind w:right="340" w:firstLine="255"/>
        <w:spacing w:after="0" w:line="290" w:lineRule="auto"/>
        <w:rPr>
          <w:sz w:val="20"/>
          <w:szCs w:val="20"/>
          <w:color w:val="auto"/>
        </w:rPr>
      </w:pPr>
      <w:r>
        <w:rPr>
          <w:rFonts w:ascii="Times New Roman" w:cs="Times New Roman" w:eastAsia="Times New Roman" w:hAnsi="Times New Roman"/>
          <w:sz w:val="14"/>
          <w:szCs w:val="14"/>
          <w:i w:val="1"/>
          <w:iCs w:val="1"/>
          <w:color w:val="auto"/>
        </w:rPr>
        <w:t xml:space="preserve">Letters of Credit. </w:t>
      </w:r>
      <w:r>
        <w:rPr>
          <w:rFonts w:ascii="Times New Roman" w:cs="Times New Roman" w:eastAsia="Times New Roman" w:hAnsi="Times New Roman"/>
          <w:sz w:val="14"/>
          <w:szCs w:val="14"/>
          <w:color w:val="auto"/>
        </w:rPr>
        <w:t>We have issued standby letters of credit under our credit agreement that collateralize our obligations to our insurance carriers. As of both January 25, 2025 and January 27,</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2024, we had $47.5 million of outstanding standby letters of credit issued under our credit agreement.</w:t>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23. Subsequent Events</w:t>
      </w:r>
    </w:p>
    <w:p>
      <w:pPr>
        <w:spacing w:after="0" w:line="191" w:lineRule="exact"/>
        <w:rPr>
          <w:sz w:val="20"/>
          <w:szCs w:val="20"/>
          <w:color w:val="auto"/>
        </w:rPr>
      </w:pPr>
    </w:p>
    <w:p>
      <w:pPr>
        <w:jc w:val="both"/>
        <w:ind w:firstLine="255"/>
        <w:spacing w:after="0" w:line="246" w:lineRule="auto"/>
        <w:rPr>
          <w:sz w:val="20"/>
          <w:szCs w:val="20"/>
          <w:color w:val="auto"/>
        </w:rPr>
      </w:pPr>
      <w:r>
        <w:rPr>
          <w:rFonts w:ascii="Times New Roman" w:cs="Times New Roman" w:eastAsia="Times New Roman" w:hAnsi="Times New Roman"/>
          <w:sz w:val="14"/>
          <w:szCs w:val="14"/>
          <w:color w:val="auto"/>
        </w:rPr>
        <w:t>On February 26, 2025 the Company announced that its Board of Directors had authorized a new $150.0 million program to repurchase shares of the Company’s outstanding common stock through August 2026 in open market or private transactions. The new authorization replaces the remaining $55.0 million that was available under the prior authorization. As of February 28, 2025, the full $150.0 million of the new authorization was available for repurchases.</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31"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14"/>
          <w:szCs w:val="14"/>
          <w:b w:val="1"/>
          <w:bCs w:val="1"/>
          <w:color w:val="auto"/>
        </w:rPr>
        <w:t>Report of Independent Registered Public Accounting Firm</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To the Board of Directors and Stockholders of Dycom Industries, Inc.</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Opinions on the Financial Statements and Internal Control over Financial Reporting</w:t>
      </w:r>
    </w:p>
    <w:p>
      <w:pPr>
        <w:spacing w:after="0" w:line="191" w:lineRule="exact"/>
        <w:rPr>
          <w:sz w:val="20"/>
          <w:szCs w:val="20"/>
          <w:color w:val="auto"/>
        </w:rPr>
      </w:pPr>
    </w:p>
    <w:p>
      <w:pPr>
        <w:spacing w:after="0" w:line="248" w:lineRule="auto"/>
        <w:rPr>
          <w:sz w:val="20"/>
          <w:szCs w:val="20"/>
          <w:color w:val="auto"/>
        </w:rPr>
      </w:pPr>
      <w:r>
        <w:rPr>
          <w:rFonts w:ascii="Times New Roman" w:cs="Times New Roman" w:eastAsia="Times New Roman" w:hAnsi="Times New Roman"/>
          <w:sz w:val="14"/>
          <w:szCs w:val="14"/>
          <w:color w:val="auto"/>
        </w:rPr>
        <w:t>We have audited the accompanying consolidated balance sheets of Dycom Industries, Inc. and its subsidiaries (the “Company”) as of January 25, 2025 and January 27, 2024, and the related consolidated statements of operations, of comprehensive income, of stockholders’ equity and of cash flows for each of the three years in the period ended January 25, 2025, including the related notes (collectively referred to as the “consolidated financial statements”). We also have audited the Company's internal control over financial reporting as of January 25, 2025, based on criteria established in Internal Control - Integrated Framework (2013) issued by the Committee of Sponsoring Organizations of the Treadway Commission (COSO).</w:t>
      </w:r>
    </w:p>
    <w:p>
      <w:pPr>
        <w:spacing w:after="0" w:line="152" w:lineRule="exact"/>
        <w:rPr>
          <w:sz w:val="20"/>
          <w:szCs w:val="20"/>
          <w:color w:val="auto"/>
        </w:rPr>
      </w:pPr>
    </w:p>
    <w:p>
      <w:pPr>
        <w:ind w:right="120"/>
        <w:spacing w:after="0" w:line="248" w:lineRule="auto"/>
        <w:rPr>
          <w:sz w:val="20"/>
          <w:szCs w:val="20"/>
          <w:color w:val="auto"/>
        </w:rPr>
      </w:pPr>
      <w:r>
        <w:rPr>
          <w:rFonts w:ascii="Times New Roman" w:cs="Times New Roman" w:eastAsia="Times New Roman" w:hAnsi="Times New Roman"/>
          <w:sz w:val="14"/>
          <w:szCs w:val="14"/>
          <w:color w:val="auto"/>
        </w:rPr>
        <w:t>In our opinion, the consolidated financial statements referred to above present fairly, in all material respects, the financial position of the Company as of January 25, 2025 and January 27, 2024, and the results of its operations and its cash flows for each of the three years in the period ended January 25, 2025 in conformity with accounting principles generally accepted in the United States of America. Also in our opinion, the Company maintained, in all material respects, effective internal control over financial reporting as of January 25, 2025, based on criteria established in Internal Control - Integrated Framework (2013) issued by the COSO.</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Basis for Opinions</w:t>
      </w:r>
    </w:p>
    <w:p>
      <w:pPr>
        <w:spacing w:after="0" w:line="191" w:lineRule="exact"/>
        <w:rPr>
          <w:sz w:val="20"/>
          <w:szCs w:val="20"/>
          <w:color w:val="auto"/>
        </w:rPr>
      </w:pPr>
    </w:p>
    <w:p>
      <w:pPr>
        <w:ind w:right="20"/>
        <w:spacing w:after="0" w:line="245" w:lineRule="auto"/>
        <w:rPr>
          <w:sz w:val="20"/>
          <w:szCs w:val="20"/>
          <w:color w:val="auto"/>
        </w:rPr>
      </w:pPr>
      <w:r>
        <w:rPr>
          <w:rFonts w:ascii="Times New Roman" w:cs="Times New Roman" w:eastAsia="Times New Roman" w:hAnsi="Times New Roman"/>
          <w:sz w:val="14"/>
          <w:szCs w:val="14"/>
          <w:color w:val="auto"/>
        </w:rPr>
        <w:t>The Company's management is responsible for these consolidated financial statements, for maintaining effective internal control over financial reporting, and for its assessment of the effectiveness of internal control over financial reporting, included in Management’s Report on Internal Control over Financial Reporting appearing under Item 9A. Our responsibility is to express opinions on the Company’s consolidated financial statements and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65" w:lineRule="exact"/>
        <w:rPr>
          <w:sz w:val="20"/>
          <w:szCs w:val="20"/>
          <w:color w:val="auto"/>
        </w:rPr>
      </w:pPr>
    </w:p>
    <w:p>
      <w:pPr>
        <w:ind w:right="100"/>
        <w:spacing w:after="0" w:line="271" w:lineRule="auto"/>
        <w:rPr>
          <w:sz w:val="20"/>
          <w:szCs w:val="20"/>
          <w:color w:val="auto"/>
        </w:rPr>
      </w:pPr>
      <w:r>
        <w:rPr>
          <w:rFonts w:ascii="Times New Roman" w:cs="Times New Roman" w:eastAsia="Times New Roman" w:hAnsi="Times New Roman"/>
          <w:sz w:val="14"/>
          <w:szCs w:val="14"/>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Definition and Limitations of Internal Control over Financial Reporting</w:t>
      </w:r>
    </w:p>
    <w:p>
      <w:pPr>
        <w:spacing w:after="0" w:line="191" w:lineRule="exact"/>
        <w:rPr>
          <w:sz w:val="20"/>
          <w:szCs w:val="20"/>
          <w:color w:val="auto"/>
        </w:rPr>
      </w:pPr>
    </w:p>
    <w:p>
      <w:pPr>
        <w:ind w:right="60"/>
        <w:spacing w:after="0" w:line="244" w:lineRule="auto"/>
        <w:rPr>
          <w:sz w:val="20"/>
          <w:szCs w:val="20"/>
          <w:color w:val="auto"/>
        </w:rPr>
      </w:pPr>
      <w:r>
        <w:rPr>
          <w:rFonts w:ascii="Times New Roman" w:cs="Times New Roman" w:eastAsia="Times New Roman" w:hAnsi="Times New Roman"/>
          <w:sz w:val="14"/>
          <w:szCs w:val="14"/>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164"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4"/>
          <w:szCs w:val="14"/>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5" w:right="33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Critical Audit Matters</w:t>
      </w:r>
    </w:p>
    <w:p>
      <w:pPr>
        <w:spacing w:after="0" w:line="191" w:lineRule="exact"/>
        <w:rPr>
          <w:sz w:val="20"/>
          <w:szCs w:val="20"/>
          <w:color w:val="auto"/>
        </w:rPr>
      </w:pPr>
    </w:p>
    <w:p>
      <w:pPr>
        <w:ind w:right="40"/>
        <w:spacing w:after="0" w:line="248" w:lineRule="auto"/>
        <w:rPr>
          <w:sz w:val="20"/>
          <w:szCs w:val="20"/>
          <w:color w:val="auto"/>
        </w:rPr>
      </w:pPr>
      <w:r>
        <w:rPr>
          <w:rFonts w:ascii="Times New Roman" w:cs="Times New Roman" w:eastAsia="Times New Roman" w:hAnsi="Times New Roman"/>
          <w:sz w:val="14"/>
          <w:szCs w:val="14"/>
          <w:color w:val="auto"/>
        </w:rPr>
        <w:t>The critical audit matter communicated below is a matter arising from the current period audit of the consolidated financial statements that was communicated or required to be communicated to the audit committee and that (i) relates to accounts or disclosures that are material to the consolidated financial statements and (ii) involved our especially challenging, subjective, or complex judgments. The communication of critical audit matters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Acquisition of Certain Assets of a Telecommunications Construction Contractor - Valuation of Customer Relationships</w:t>
      </w:r>
    </w:p>
    <w:p>
      <w:pPr>
        <w:spacing w:after="0" w:line="191" w:lineRule="exact"/>
        <w:rPr>
          <w:sz w:val="20"/>
          <w:szCs w:val="20"/>
          <w:color w:val="auto"/>
        </w:rPr>
      </w:pPr>
    </w:p>
    <w:p>
      <w:pPr>
        <w:ind w:right="140"/>
        <w:spacing w:after="0" w:line="243" w:lineRule="auto"/>
        <w:rPr>
          <w:sz w:val="20"/>
          <w:szCs w:val="20"/>
          <w:color w:val="auto"/>
        </w:rPr>
      </w:pPr>
      <w:r>
        <w:rPr>
          <w:rFonts w:ascii="Times New Roman" w:cs="Times New Roman" w:eastAsia="Times New Roman" w:hAnsi="Times New Roman"/>
          <w:sz w:val="14"/>
          <w:szCs w:val="14"/>
          <w:color w:val="auto"/>
        </w:rPr>
        <w:t>As described in Note 5 to the consolidated financial statements, during the third quarter of fiscal 2025, the Company acquired certain assets and assumed certain liabilities of a telecommunications construction contractor for $150.7 million, which resulted in the recognition of $130.2 million of intangible assets, a significant portion of which related to customer relationships. The fair value of the customer relationships was estimated using the multi-period excess earnings method. Significant judgments and assumptions included projected revenue growth rates, profit margins, discount rate, and customer attrition rates.</w:t>
      </w:r>
    </w:p>
    <w:p>
      <w:pPr>
        <w:spacing w:after="0" w:line="165" w:lineRule="exact"/>
        <w:rPr>
          <w:sz w:val="20"/>
          <w:szCs w:val="20"/>
          <w:color w:val="auto"/>
        </w:rPr>
      </w:pPr>
    </w:p>
    <w:p>
      <w:pPr>
        <w:ind w:right="140"/>
        <w:spacing w:after="0" w:line="249" w:lineRule="auto"/>
        <w:rPr>
          <w:sz w:val="20"/>
          <w:szCs w:val="20"/>
          <w:color w:val="auto"/>
        </w:rPr>
      </w:pPr>
      <w:r>
        <w:rPr>
          <w:rFonts w:ascii="Times New Roman" w:cs="Times New Roman" w:eastAsia="Times New Roman" w:hAnsi="Times New Roman"/>
          <w:sz w:val="14"/>
          <w:szCs w:val="14"/>
          <w:color w:val="auto"/>
        </w:rPr>
        <w:t>The principal considerations for our determination that performing procedures relating to the valuation of the customer relationships acquired in the acquisition of certain assets of a telecommunications construction contractor is a critical audit matter are (i) the significant judgment by management when developing the fair value estimate of the customer relationships acquired;</w:t>
      </w:r>
    </w:p>
    <w:p>
      <w:pPr>
        <w:ind w:right="480" w:firstLine="5"/>
        <w:spacing w:after="0" w:line="247" w:lineRule="auto"/>
        <w:tabs>
          <w:tab w:leader="none" w:pos="208"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high degree of auditor judgment, subjectivity, and effort in performing procedures and evaluating management’s significant assumptions related to projected revenue growth rates, profit margins, discount rate, and customer attrition rates; and (iii) the audit effort involved the use of professionals with specialized skill and knowledge.</w:t>
      </w:r>
    </w:p>
    <w:p>
      <w:pPr>
        <w:spacing w:after="0" w:line="162" w:lineRule="exact"/>
        <w:rPr>
          <w:sz w:val="20"/>
          <w:szCs w:val="20"/>
          <w:color w:val="auto"/>
        </w:rPr>
      </w:pPr>
    </w:p>
    <w:p>
      <w:pPr>
        <w:spacing w:after="0" w:line="239" w:lineRule="auto"/>
        <w:rPr>
          <w:sz w:val="20"/>
          <w:szCs w:val="20"/>
          <w:color w:val="auto"/>
        </w:rPr>
      </w:pPr>
      <w:r>
        <w:rPr>
          <w:rFonts w:ascii="Times New Roman" w:cs="Times New Roman" w:eastAsia="Times New Roman" w:hAnsi="Times New Roman"/>
          <w:sz w:val="14"/>
          <w:szCs w:val="14"/>
          <w:color w:val="auto"/>
        </w:rPr>
        <w:t>Addressing the matter involved performing procedures and evaluating audit evidence in connection with forming our overall opinion on the consolidated financial statements. These procedures included testing the effectiveness of controls relating to the acquisition accounting, including controls over management’s valuation of the customer relationships acquired. These procedures also included, among others (i) reading the purchase agreement; (ii) testing management’s process for developing the fair value estimate of the customer relationships acquired; (iii) evaluating the appropriateness of the multi-period excess earnings method used by management; (iv) testing the completeness and accuracy of the underlying data used by management in the multi-period excess earnings method; and (v) evaluating the reasonableness of the significant assumptions used by management related to projected revenue growth rates, profit margins, discount rate, and customer attrition rates. Evaluating management’s assumptions related to projected revenue growth rates and profit margins involved considering (i) the telecommunications construction contractor’s historical performance; (ii) the consistency with economic and industry data; and (iii) whether the assumptions were consistent with evidence obtained in other areas of the audit. Professionals with specialized skill and knowledge were used to assist in evaluating (i) the appropriateness of the multi-period excess earnings method and (ii) the reasonableness of the significant assumptions related to the discount rate and customer attrition rates.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 PricewaterhouseCoopers LLP</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Miami, Florida</w:t>
      </w:r>
    </w:p>
    <w:p>
      <w:pPr>
        <w:spacing w:after="0"/>
        <w:rPr>
          <w:sz w:val="20"/>
          <w:szCs w:val="20"/>
          <w:color w:val="auto"/>
        </w:rPr>
      </w:pPr>
      <w:r>
        <w:rPr>
          <w:rFonts w:ascii="Times New Roman" w:cs="Times New Roman" w:eastAsia="Times New Roman" w:hAnsi="Times New Roman"/>
          <w:sz w:val="14"/>
          <w:szCs w:val="14"/>
          <w:color w:val="auto"/>
        </w:rPr>
        <w:t>February 28, 2025</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We have served as the Company’s auditor since 2014.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125" w:right="35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 xml:space="preserve">Item 9. </w:t>
      </w:r>
      <w:r>
        <w:rPr>
          <w:rFonts w:ascii="Times New Roman" w:cs="Times New Roman" w:eastAsia="Times New Roman" w:hAnsi="Times New Roman"/>
          <w:sz w:val="14"/>
          <w:szCs w:val="14"/>
          <w:b w:val="1"/>
          <w:bCs w:val="1"/>
          <w:i w:val="1"/>
          <w:iCs w:val="1"/>
          <w:color w:val="auto"/>
        </w:rPr>
        <w:t>Changes in and Disagreements with Accountants on Accounting and Financial Disclosure.</w:t>
      </w:r>
    </w:p>
    <w:p>
      <w:pPr>
        <w:spacing w:after="0" w:line="20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There have been no changes in or disagreements with accountants on accounting and financial disclosures within the meaning of Item 304 of Regulation S-K.</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 xml:space="preserve">Item 9A. </w:t>
      </w:r>
      <w:r>
        <w:rPr>
          <w:rFonts w:ascii="Times New Roman" w:cs="Times New Roman" w:eastAsia="Times New Roman" w:hAnsi="Times New Roman"/>
          <w:sz w:val="14"/>
          <w:szCs w:val="14"/>
          <w:b w:val="1"/>
          <w:bCs w:val="1"/>
          <w:i w:val="1"/>
          <w:iCs w:val="1"/>
          <w:color w:val="auto"/>
        </w:rPr>
        <w:t>Controls and Procedures.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Disclosure Controls and Procedures</w:t>
      </w:r>
    </w:p>
    <w:p>
      <w:pPr>
        <w:spacing w:after="0" w:line="202" w:lineRule="exact"/>
        <w:rPr>
          <w:sz w:val="20"/>
          <w:szCs w:val="20"/>
          <w:color w:val="auto"/>
        </w:rPr>
      </w:pPr>
    </w:p>
    <w:p>
      <w:pPr>
        <w:jc w:val="both"/>
        <w:ind w:firstLine="255"/>
        <w:spacing w:after="0" w:line="258" w:lineRule="auto"/>
        <w:rPr>
          <w:sz w:val="20"/>
          <w:szCs w:val="20"/>
          <w:color w:val="auto"/>
        </w:rPr>
      </w:pPr>
      <w:r>
        <w:rPr>
          <w:rFonts w:ascii="Times New Roman" w:cs="Times New Roman" w:eastAsia="Times New Roman" w:hAnsi="Times New Roman"/>
          <w:sz w:val="14"/>
          <w:szCs w:val="14"/>
          <w:color w:val="auto"/>
        </w:rPr>
        <w:t>The Company carried out an evaluation under the supervision and with the participation of the Company’s management, including the Company’s Chief Executive Officer and its Chief Financial Officer, of the effectiveness of the design and operation of the Company’s disclosure controls and procedures (as defined in Rule 13a-15(e) under the Securities Exchange Act of 1934 (the “Exchange Act”)) as of January 25, 2025, the end of the period covered by this Annual Report on Form 10-K. Based on this evaluation, the Chief Executive Officer and Chief Financial Officer concluded that, as of</w:t>
      </w:r>
    </w:p>
    <w:p>
      <w:pPr>
        <w:spacing w:after="0" w:line="1" w:lineRule="exact"/>
        <w:rPr>
          <w:sz w:val="20"/>
          <w:szCs w:val="20"/>
          <w:color w:val="auto"/>
        </w:rPr>
      </w:pPr>
    </w:p>
    <w:p>
      <w:pPr>
        <w:ind w:right="60"/>
        <w:spacing w:after="0" w:line="257" w:lineRule="auto"/>
        <w:rPr>
          <w:sz w:val="20"/>
          <w:szCs w:val="20"/>
          <w:color w:val="auto"/>
        </w:rPr>
      </w:pPr>
      <w:r>
        <w:rPr>
          <w:rFonts w:ascii="Times New Roman" w:cs="Times New Roman" w:eastAsia="Times New Roman" w:hAnsi="Times New Roman"/>
          <w:sz w:val="14"/>
          <w:szCs w:val="14"/>
          <w:color w:val="auto"/>
        </w:rPr>
        <w:t>January 25, 2025, the Company’s disclosure controls and procedures are effective to provide reasonable assurance that information required to be disclosed by the Company in the reports that it files or submits under the Exchange Act is (1) recorded, processed, summarized and reported within the time periods specified by the Securities and Exchange Commission’s rules and forms, and (2) accumulated and communicated to the Company’s management, including the Company’s Chief Executive Officer and Chief Financial Officer, in a manner that allows timely decisions regarding required disclosure.</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Changes in Internal Control Over Financial Reporting</w:t>
      </w:r>
    </w:p>
    <w:p>
      <w:pPr>
        <w:spacing w:after="0" w:line="202" w:lineRule="exact"/>
        <w:rPr>
          <w:sz w:val="20"/>
          <w:szCs w:val="20"/>
          <w:color w:val="auto"/>
        </w:rPr>
      </w:pPr>
    </w:p>
    <w:p>
      <w:pPr>
        <w:ind w:right="220" w:firstLine="255"/>
        <w:spacing w:after="0" w:line="287" w:lineRule="auto"/>
        <w:rPr>
          <w:sz w:val="20"/>
          <w:szCs w:val="20"/>
          <w:color w:val="auto"/>
        </w:rPr>
      </w:pPr>
      <w:r>
        <w:rPr>
          <w:rFonts w:ascii="Times New Roman" w:cs="Times New Roman" w:eastAsia="Times New Roman" w:hAnsi="Times New Roman"/>
          <w:sz w:val="14"/>
          <w:szCs w:val="14"/>
          <w:color w:val="auto"/>
        </w:rPr>
        <w:t>There were no changes in the Company’s internal control over financial reporting (as defined in Rule 13a-15(f) under the Exchange Act) that occurred during the Company’s fourth quarter of fiscal 2025 that have materially affected, or are reasonably likely to materially affect, the Company’s internal control over financial reporting.</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Management’s Report on Internal Control Over Financial Reporting</w:t>
      </w:r>
    </w:p>
    <w:p>
      <w:pPr>
        <w:spacing w:after="0" w:line="202" w:lineRule="exact"/>
        <w:rPr>
          <w:sz w:val="20"/>
          <w:szCs w:val="20"/>
          <w:color w:val="auto"/>
        </w:rPr>
      </w:pPr>
    </w:p>
    <w:p>
      <w:pPr>
        <w:ind w:right="80" w:firstLine="255"/>
        <w:spacing w:after="0" w:line="261" w:lineRule="auto"/>
        <w:rPr>
          <w:sz w:val="20"/>
          <w:szCs w:val="20"/>
          <w:color w:val="auto"/>
        </w:rPr>
      </w:pPr>
      <w:r>
        <w:rPr>
          <w:rFonts w:ascii="Times New Roman" w:cs="Times New Roman" w:eastAsia="Times New Roman" w:hAnsi="Times New Roman"/>
          <w:sz w:val="14"/>
          <w:szCs w:val="14"/>
          <w:color w:val="auto"/>
        </w:rPr>
        <w:t>Management of Dycom Industries, Inc. and subsidiaries is responsible for establishing and maintaining adequate internal control over financial reporting as defined in Rule 13a-15(f) and 15(d)-15(f) under the Securities Exchange Act of 1934. The Company’s internal control over financial reporting is designed to provide reasonable assurance regarding the reliability of financial reporting and the preparation of financial statements for external purposes in accordance with generally accepted accounting principles. There are inherent limitations in the effectiveness of any system of internal control, including the possibility of human error and overriding of controls. Consequently, an effective internal control system can only provide reasonable, not absolute assurance, with respect to reporting financial information. Further, because of changes in conditions, effectiveness of internal control over financial reporting may vary over time.</w:t>
      </w:r>
    </w:p>
    <w:p>
      <w:pPr>
        <w:spacing w:after="0" w:line="162" w:lineRule="exact"/>
        <w:rPr>
          <w:sz w:val="20"/>
          <w:szCs w:val="20"/>
          <w:color w:val="auto"/>
        </w:rPr>
      </w:pPr>
    </w:p>
    <w:p>
      <w:pPr>
        <w:jc w:val="both"/>
        <w:ind w:right="20" w:firstLine="255"/>
        <w:spacing w:after="0" w:line="271" w:lineRule="auto"/>
        <w:rPr>
          <w:sz w:val="20"/>
          <w:szCs w:val="20"/>
          <w:color w:val="auto"/>
        </w:rPr>
      </w:pPr>
      <w:r>
        <w:rPr>
          <w:rFonts w:ascii="Times New Roman" w:cs="Times New Roman" w:eastAsia="Times New Roman" w:hAnsi="Times New Roman"/>
          <w:sz w:val="14"/>
          <w:szCs w:val="14"/>
          <w:color w:val="auto"/>
        </w:rPr>
        <w:t xml:space="preserve">Management conducted an evaluation of the effectiveness of our internal control over financial reporting based on the </w:t>
      </w:r>
      <w:r>
        <w:rPr>
          <w:rFonts w:ascii="Times New Roman" w:cs="Times New Roman" w:eastAsia="Times New Roman" w:hAnsi="Times New Roman"/>
          <w:sz w:val="14"/>
          <w:szCs w:val="14"/>
          <w:i w:val="1"/>
          <w:iCs w:val="1"/>
          <w:color w:val="auto"/>
        </w:rPr>
        <w:t>Internal Control-Integrated Framework (2013)</w:t>
      </w:r>
      <w:r>
        <w:rPr>
          <w:rFonts w:ascii="Times New Roman" w:cs="Times New Roman" w:eastAsia="Times New Roman" w:hAnsi="Times New Roman"/>
          <w:sz w:val="14"/>
          <w:szCs w:val="14"/>
          <w:color w:val="auto"/>
        </w:rPr>
        <w:t xml:space="preserve"> issued by the Committee of Sponsoring Organizations of the Treadway Commission. Based on this evaluation, management concluded that the Company’s internal control over financial reporting was effective as of January 25, 2025.</w:t>
      </w:r>
    </w:p>
    <w:p>
      <w:pPr>
        <w:spacing w:after="0" w:line="157" w:lineRule="exact"/>
        <w:rPr>
          <w:sz w:val="20"/>
          <w:szCs w:val="20"/>
          <w:color w:val="auto"/>
        </w:rPr>
      </w:pPr>
    </w:p>
    <w:p>
      <w:pPr>
        <w:jc w:val="both"/>
        <w:ind w:right="280" w:firstLine="255"/>
        <w:spacing w:after="0" w:line="270" w:lineRule="auto"/>
        <w:rPr>
          <w:sz w:val="20"/>
          <w:szCs w:val="20"/>
          <w:color w:val="auto"/>
        </w:rPr>
      </w:pPr>
      <w:r>
        <w:rPr>
          <w:rFonts w:ascii="Times New Roman" w:cs="Times New Roman" w:eastAsia="Times New Roman" w:hAnsi="Times New Roman"/>
          <w:sz w:val="14"/>
          <w:szCs w:val="14"/>
          <w:color w:val="auto"/>
        </w:rPr>
        <w:t xml:space="preserve">The effectiveness of the Company’s internal control over financial reporting as of January 25, 2025 has been audited by PricewaterhouseCoopers LLP, the Company’s independent registered public accounting firm. Their report, which is set forth in Part II, Item 8, </w:t>
      </w:r>
      <w:r>
        <w:rPr>
          <w:rFonts w:ascii="Times New Roman" w:cs="Times New Roman" w:eastAsia="Times New Roman" w:hAnsi="Times New Roman"/>
          <w:sz w:val="14"/>
          <w:szCs w:val="14"/>
          <w:i w:val="1"/>
          <w:iCs w:val="1"/>
          <w:color w:val="auto"/>
        </w:rPr>
        <w:t>Financial Statements</w:t>
      </w:r>
      <w:r>
        <w:rPr>
          <w:rFonts w:ascii="Times New Roman" w:cs="Times New Roman" w:eastAsia="Times New Roman" w:hAnsi="Times New Roman"/>
          <w:sz w:val="14"/>
          <w:szCs w:val="14"/>
          <w:color w:val="auto"/>
        </w:rPr>
        <w:t>, of this Annual Report on Form 10-K, expresses an unqualified opinion on the effectiveness of the Company’s internal control over financial reporting as of January 25, 2025.</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 xml:space="preserve">Item 9B. </w:t>
      </w:r>
      <w:r>
        <w:rPr>
          <w:rFonts w:ascii="Times New Roman" w:cs="Times New Roman" w:eastAsia="Times New Roman" w:hAnsi="Times New Roman"/>
          <w:sz w:val="14"/>
          <w:szCs w:val="14"/>
          <w:b w:val="1"/>
          <w:bCs w:val="1"/>
          <w:i w:val="1"/>
          <w:iCs w:val="1"/>
          <w:color w:val="auto"/>
        </w:rPr>
        <w:t>Other Information.</w:t>
      </w:r>
    </w:p>
    <w:p>
      <w:pPr>
        <w:spacing w:after="0" w:line="20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u w:val="single" w:color="auto"/>
          <w:color w:val="auto"/>
        </w:rPr>
        <w:t>Rule 10b5-1 and Non-Rule 10b5-1 Trading Arrangements by our Directors and Officers</w:t>
      </w:r>
    </w:p>
    <w:p>
      <w:pPr>
        <w:spacing w:after="0" w:line="202" w:lineRule="exact"/>
        <w:rPr>
          <w:sz w:val="20"/>
          <w:szCs w:val="20"/>
          <w:color w:val="auto"/>
        </w:rPr>
      </w:pPr>
    </w:p>
    <w:p>
      <w:pPr>
        <w:ind w:right="320" w:firstLine="255"/>
        <w:spacing w:after="0" w:line="287" w:lineRule="auto"/>
        <w:rPr>
          <w:sz w:val="20"/>
          <w:szCs w:val="20"/>
          <w:color w:val="auto"/>
        </w:rPr>
      </w:pPr>
      <w:r>
        <w:rPr>
          <w:rFonts w:ascii="Times New Roman" w:cs="Times New Roman" w:eastAsia="Times New Roman" w:hAnsi="Times New Roman"/>
          <w:sz w:val="14"/>
          <w:szCs w:val="14"/>
          <w:color w:val="auto"/>
        </w:rPr>
        <w:t>During the three months ended January 25, 2025, our directors and officers (as defined in Rule 16a-1(f) of the Securities and Exchange Act of 1934, as amended) did not adopt, terminate or modify Rule 10b5-1 or non-Rule 10b5-1 trading arrangements (as defined in Item 408 of Regulation S-K).</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 xml:space="preserve">Item 9C. </w:t>
      </w:r>
      <w:r>
        <w:rPr>
          <w:rFonts w:ascii="Times New Roman" w:cs="Times New Roman" w:eastAsia="Times New Roman" w:hAnsi="Times New Roman"/>
          <w:sz w:val="14"/>
          <w:szCs w:val="14"/>
          <w:b w:val="1"/>
          <w:bCs w:val="1"/>
          <w:i w:val="1"/>
          <w:iCs w:val="1"/>
          <w:color w:val="auto"/>
        </w:rPr>
        <w:t>Disclosure Regarding Foreign Jurisdictions that Prevent Inspections.</w:t>
      </w:r>
    </w:p>
    <w:p>
      <w:pPr>
        <w:spacing w:after="0" w:line="20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Not Applicable.</w:t>
      </w: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5" w:right="33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4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PART III</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10</w:t>
      </w:r>
      <w:r>
        <w:rPr>
          <w:rFonts w:ascii="Times New Roman" w:cs="Times New Roman" w:eastAsia="Times New Roman" w:hAnsi="Times New Roman"/>
          <w:sz w:val="14"/>
          <w:szCs w:val="14"/>
          <w:b w:val="1"/>
          <w:bCs w:val="1"/>
          <w:i w:val="1"/>
          <w:iCs w:val="1"/>
          <w:color w:val="auto"/>
        </w:rPr>
        <w:t>. Directors, Executive Officers and Corporate Governance.</w:t>
      </w:r>
    </w:p>
    <w:p>
      <w:pPr>
        <w:spacing w:after="0" w:line="149" w:lineRule="exact"/>
        <w:rPr>
          <w:sz w:val="20"/>
          <w:szCs w:val="20"/>
          <w:color w:val="auto"/>
        </w:rPr>
      </w:pPr>
    </w:p>
    <w:p>
      <w:pPr>
        <w:ind w:firstLine="255"/>
        <w:spacing w:after="0" w:line="270" w:lineRule="auto"/>
        <w:rPr>
          <w:sz w:val="20"/>
          <w:szCs w:val="20"/>
          <w:color w:val="auto"/>
        </w:rPr>
      </w:pPr>
      <w:r>
        <w:rPr>
          <w:rFonts w:ascii="Times New Roman" w:cs="Times New Roman" w:eastAsia="Times New Roman" w:hAnsi="Times New Roman"/>
          <w:sz w:val="14"/>
          <w:szCs w:val="14"/>
          <w:color w:val="auto"/>
        </w:rPr>
        <w:t>We have adopted an insider trading policy related to the purchase, sale and other transactions in our securities entered into by our directors, officers, employees and related other persons by us. The insider trading policy is designed to promote compliance with the securities laws and related rules and regulations, NYSE listing standards and our own Code of Business Conduct and Ethics and Code of Ethics for Senior Financial Officers. Our insider trading policy is filed as Exhibit 19 to this Report.</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Code of Ethics</w:t>
      </w:r>
    </w:p>
    <w:p>
      <w:pPr>
        <w:spacing w:after="0" w:line="202" w:lineRule="exact"/>
        <w:rPr>
          <w:sz w:val="20"/>
          <w:szCs w:val="20"/>
          <w:color w:val="auto"/>
        </w:rPr>
      </w:pPr>
    </w:p>
    <w:p>
      <w:pPr>
        <w:ind w:right="100" w:firstLine="255"/>
        <w:spacing w:after="0" w:line="261" w:lineRule="auto"/>
        <w:rPr>
          <w:sz w:val="20"/>
          <w:szCs w:val="20"/>
          <w:color w:val="auto"/>
        </w:rPr>
      </w:pPr>
      <w:r>
        <w:rPr>
          <w:rFonts w:ascii="Times New Roman" w:cs="Times New Roman" w:eastAsia="Times New Roman" w:hAnsi="Times New Roman"/>
          <w:sz w:val="14"/>
          <w:szCs w:val="14"/>
          <w:color w:val="auto"/>
        </w:rPr>
        <w:t>The Company has adopted a Code of Ethics for Senior Financial Officers, which is a code of ethics as that term is defined in Item 406(b) of Regulation S-K and which applies to its Chief Executive Officer, Chief Financial Officer, Chief Accounting Officer, Controller, and other persons performing similar functions. The Code of Ethics for Senior Financial Officers is available on the Company’s website at www.dycomind.com. If the Company makes any substantive amendments to, or a waiver from, provisions of the Code of Ethics for Senior Financial Officers, it will disclose the nature of such amendment, or waiver, on its website or in a report on Form 8-K. Information on the Company’s website is not deemed to be incorporated by reference into this Annual Report on Form 10-K.</w:t>
      </w:r>
    </w:p>
    <w:p>
      <w:pPr>
        <w:spacing w:after="0" w:line="164" w:lineRule="exact"/>
        <w:rPr>
          <w:sz w:val="20"/>
          <w:szCs w:val="20"/>
          <w:color w:val="auto"/>
        </w:rPr>
      </w:pPr>
    </w:p>
    <w:p>
      <w:pPr>
        <w:ind w:right="240" w:firstLine="255"/>
        <w:spacing w:after="0" w:line="270" w:lineRule="auto"/>
        <w:rPr>
          <w:sz w:val="20"/>
          <w:szCs w:val="20"/>
          <w:color w:val="auto"/>
        </w:rPr>
      </w:pPr>
      <w:r>
        <w:rPr>
          <w:rFonts w:ascii="Times New Roman" w:cs="Times New Roman" w:eastAsia="Times New Roman" w:hAnsi="Times New Roman"/>
          <w:sz w:val="14"/>
          <w:szCs w:val="14"/>
          <w:color w:val="auto"/>
        </w:rPr>
        <w:t>Information concerning directors and nominees of the Registrant and other information as required by this item are hereby incorporated by reference from the Company’s definitive proxy statement to be filed with the Securities and Exchange Commission pursuant to Regulation 14A. The information set forth under the caption “</w:t>
      </w:r>
      <w:r>
        <w:rPr>
          <w:rFonts w:ascii="Times New Roman" w:cs="Times New Roman" w:eastAsia="Times New Roman" w:hAnsi="Times New Roman"/>
          <w:sz w:val="14"/>
          <w:szCs w:val="14"/>
          <w:i w:val="1"/>
          <w:iCs w:val="1"/>
          <w:color w:val="auto"/>
        </w:rPr>
        <w:t>Information About Our Executive Officers</w:t>
      </w:r>
      <w:r>
        <w:rPr>
          <w:rFonts w:ascii="Times New Roman" w:cs="Times New Roman" w:eastAsia="Times New Roman" w:hAnsi="Times New Roman"/>
          <w:sz w:val="14"/>
          <w:szCs w:val="14"/>
          <w:color w:val="auto"/>
        </w:rPr>
        <w:t>” in Part I, Item 1 of this Annual Report on Form 10-K is incorporated herein by reference.</w:t>
      </w: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 xml:space="preserve">Item 11. </w:t>
      </w:r>
      <w:r>
        <w:rPr>
          <w:rFonts w:ascii="Times New Roman" w:cs="Times New Roman" w:eastAsia="Times New Roman" w:hAnsi="Times New Roman"/>
          <w:sz w:val="14"/>
          <w:szCs w:val="14"/>
          <w:b w:val="1"/>
          <w:bCs w:val="1"/>
          <w:i w:val="1"/>
          <w:iCs w:val="1"/>
          <w:color w:val="auto"/>
        </w:rPr>
        <w:t>Executive Compensation.</w:t>
      </w:r>
    </w:p>
    <w:p>
      <w:pPr>
        <w:spacing w:after="0" w:line="15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information required by Item 11 regarding executive compensation is included under the headings “</w:t>
      </w:r>
      <w:r>
        <w:rPr>
          <w:rFonts w:ascii="Times New Roman" w:cs="Times New Roman" w:eastAsia="Times New Roman" w:hAnsi="Times New Roman"/>
          <w:sz w:val="14"/>
          <w:szCs w:val="14"/>
          <w:i w:val="1"/>
          <w:iCs w:val="1"/>
          <w:color w:val="auto"/>
        </w:rPr>
        <w:t>Compensation Discussion and Analysis</w:t>
      </w: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i w:val="1"/>
          <w:iCs w:val="1"/>
          <w:color w:val="auto"/>
        </w:rPr>
        <w:t>Compensation Committee Report</w:t>
      </w:r>
      <w:r>
        <w:rPr>
          <w:rFonts w:ascii="Times New Roman" w:cs="Times New Roman" w:eastAsia="Times New Roman" w:hAnsi="Times New Roman"/>
          <w:sz w:val="14"/>
          <w:szCs w:val="14"/>
          <w:color w:val="auto"/>
        </w:rPr>
        <w:t>,” and</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Compensation Committee Interlocks and Insider Participation</w:t>
      </w:r>
      <w:r>
        <w:rPr>
          <w:rFonts w:ascii="Times New Roman" w:cs="Times New Roman" w:eastAsia="Times New Roman" w:hAnsi="Times New Roman"/>
          <w:sz w:val="14"/>
          <w:szCs w:val="14"/>
          <w:color w:val="auto"/>
        </w:rPr>
        <w:t>” in the Company’s definitive proxy statement to be filed with the Commission pursuant to Regulation 14A, and is incorporated herein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by reference.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 xml:space="preserve">Item 12. </w:t>
      </w:r>
      <w:r>
        <w:rPr>
          <w:rFonts w:ascii="Times New Roman" w:cs="Times New Roman" w:eastAsia="Times New Roman" w:hAnsi="Times New Roman"/>
          <w:sz w:val="14"/>
          <w:szCs w:val="14"/>
          <w:b w:val="1"/>
          <w:bCs w:val="1"/>
          <w:i w:val="1"/>
          <w:iCs w:val="1"/>
          <w:color w:val="auto"/>
        </w:rPr>
        <w:t>Security Ownership of Certain Beneficial Owners and Management and Related Stockholder Matters.</w:t>
      </w:r>
    </w:p>
    <w:p>
      <w:pPr>
        <w:spacing w:after="0" w:line="202" w:lineRule="exact"/>
        <w:rPr>
          <w:sz w:val="20"/>
          <w:szCs w:val="20"/>
          <w:color w:val="auto"/>
        </w:rPr>
      </w:pPr>
    </w:p>
    <w:p>
      <w:pPr>
        <w:ind w:right="100" w:firstLine="255"/>
        <w:spacing w:after="0" w:line="287" w:lineRule="auto"/>
        <w:rPr>
          <w:sz w:val="20"/>
          <w:szCs w:val="20"/>
          <w:color w:val="auto"/>
        </w:rPr>
      </w:pPr>
      <w:r>
        <w:rPr>
          <w:rFonts w:ascii="Times New Roman" w:cs="Times New Roman" w:eastAsia="Times New Roman" w:hAnsi="Times New Roman"/>
          <w:sz w:val="14"/>
          <w:szCs w:val="14"/>
          <w:color w:val="auto"/>
        </w:rPr>
        <w:t>Information concerning the ownership of certain of the Registrant’s beneficial owners and management and related stockholder matters is hereby incorporated by reference from the Company’s definitive proxy statement to be filed with the Commission pursuant to Regulation 14A.</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 xml:space="preserve">Item 13. </w:t>
      </w:r>
      <w:r>
        <w:rPr>
          <w:rFonts w:ascii="Times New Roman" w:cs="Times New Roman" w:eastAsia="Times New Roman" w:hAnsi="Times New Roman"/>
          <w:sz w:val="14"/>
          <w:szCs w:val="14"/>
          <w:b w:val="1"/>
          <w:bCs w:val="1"/>
          <w:i w:val="1"/>
          <w:iCs w:val="1"/>
          <w:color w:val="auto"/>
        </w:rPr>
        <w:t>Certain Relationships, Related Transactions and Director Independence.</w:t>
      </w:r>
    </w:p>
    <w:p>
      <w:pPr>
        <w:spacing w:after="0" w:line="149" w:lineRule="exact"/>
        <w:rPr>
          <w:sz w:val="20"/>
          <w:szCs w:val="20"/>
          <w:color w:val="auto"/>
        </w:rPr>
      </w:pPr>
    </w:p>
    <w:p>
      <w:pPr>
        <w:ind w:right="260" w:firstLine="255"/>
        <w:spacing w:after="0" w:line="287" w:lineRule="auto"/>
        <w:rPr>
          <w:sz w:val="20"/>
          <w:szCs w:val="20"/>
          <w:color w:val="auto"/>
        </w:rPr>
      </w:pPr>
      <w:r>
        <w:rPr>
          <w:rFonts w:ascii="Times New Roman" w:cs="Times New Roman" w:eastAsia="Times New Roman" w:hAnsi="Times New Roman"/>
          <w:sz w:val="14"/>
          <w:szCs w:val="14"/>
          <w:color w:val="auto"/>
        </w:rPr>
        <w:t>Information concerning relationships and related transactions is hereby incorporated by reference from the Company’s definitive proxy statement to be filed with the Commission pursuant to Regulation 14A.</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 xml:space="preserve">Item 14. </w:t>
      </w:r>
      <w:r>
        <w:rPr>
          <w:rFonts w:ascii="Times New Roman" w:cs="Times New Roman" w:eastAsia="Times New Roman" w:hAnsi="Times New Roman"/>
          <w:sz w:val="14"/>
          <w:szCs w:val="14"/>
          <w:b w:val="1"/>
          <w:bCs w:val="1"/>
          <w:i w:val="1"/>
          <w:iCs w:val="1"/>
          <w:color w:val="auto"/>
        </w:rPr>
        <w:t>Principal Accounting Fees and Services.</w:t>
      </w:r>
    </w:p>
    <w:p>
      <w:pPr>
        <w:spacing w:after="0" w:line="149" w:lineRule="exact"/>
        <w:rPr>
          <w:sz w:val="20"/>
          <w:szCs w:val="20"/>
          <w:color w:val="auto"/>
        </w:rPr>
      </w:pPr>
    </w:p>
    <w:p>
      <w:pPr>
        <w:ind w:right="200" w:firstLine="255"/>
        <w:spacing w:after="0" w:line="287" w:lineRule="auto"/>
        <w:rPr>
          <w:sz w:val="20"/>
          <w:szCs w:val="20"/>
          <w:color w:val="auto"/>
        </w:rPr>
      </w:pPr>
      <w:r>
        <w:rPr>
          <w:rFonts w:ascii="Times New Roman" w:cs="Times New Roman" w:eastAsia="Times New Roman" w:hAnsi="Times New Roman"/>
          <w:sz w:val="14"/>
          <w:szCs w:val="14"/>
          <w:color w:val="auto"/>
        </w:rPr>
        <w:t>Information concerning principal accounting fees and services is hereby incorporated by reference from the Company’s definitive proxy statement to be filed with the Commission pursuant to Regulation 14A.</w:t>
      </w:r>
    </w:p>
    <w:p>
      <w:pPr>
        <w:spacing w:after="0" w:line="200" w:lineRule="exact"/>
        <w:rPr>
          <w:sz w:val="20"/>
          <w:szCs w:val="20"/>
          <w:color w:val="auto"/>
        </w:rPr>
      </w:pPr>
    </w:p>
    <w:p>
      <w:pPr>
        <w:spacing w:after="0" w:line="3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5" w:right="33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PART IV</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 xml:space="preserve">Item 15. </w:t>
      </w:r>
      <w:r>
        <w:rPr>
          <w:rFonts w:ascii="Times New Roman" w:cs="Times New Roman" w:eastAsia="Times New Roman" w:hAnsi="Times New Roman"/>
          <w:sz w:val="14"/>
          <w:szCs w:val="14"/>
          <w:b w:val="1"/>
          <w:bCs w:val="1"/>
          <w:i w:val="1"/>
          <w:iCs w:val="1"/>
          <w:color w:val="auto"/>
        </w:rPr>
        <w:t>Exhibits and Financial Statement Schedules.</w:t>
      </w:r>
    </w:p>
    <w:p>
      <w:pPr>
        <w:spacing w:after="0" w:line="202" w:lineRule="exact"/>
        <w:rPr>
          <w:sz w:val="20"/>
          <w:szCs w:val="20"/>
          <w:color w:val="auto"/>
        </w:rPr>
      </w:pPr>
    </w:p>
    <w:p>
      <w:pPr>
        <w:ind w:left="460" w:hanging="200"/>
        <w:spacing w:after="0"/>
        <w:tabs>
          <w:tab w:leader="none" w:pos="46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following documents are filed as a part of this report:</w:t>
      </w:r>
    </w:p>
    <w:p>
      <w:pPr>
        <w:spacing w:after="0" w:line="197" w:lineRule="exact"/>
        <w:rPr>
          <w:rFonts w:ascii="Times New Roman" w:cs="Times New Roman" w:eastAsia="Times New Roman" w:hAnsi="Times New Roman"/>
          <w:sz w:val="14"/>
          <w:szCs w:val="14"/>
          <w:color w:val="auto"/>
        </w:rPr>
      </w:pPr>
    </w:p>
    <w:p>
      <w:pPr>
        <w:ind w:left="380" w:right="580" w:firstLine="7"/>
        <w:spacing w:after="0" w:line="290" w:lineRule="auto"/>
        <w:tabs>
          <w:tab w:leader="none" w:pos="543" w:val="left"/>
        </w:tabs>
        <w:numPr>
          <w:ilvl w:val="1"/>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Consolidated financial statements</w:t>
      </w:r>
      <w:r>
        <w:rPr>
          <w:rFonts w:ascii="Times New Roman" w:cs="Times New Roman" w:eastAsia="Times New Roman" w:hAnsi="Times New Roman"/>
          <w:sz w:val="14"/>
          <w:szCs w:val="14"/>
          <w:color w:val="auto"/>
        </w:rPr>
        <w:t>: the consolidated financial statements and the Report of Independent Registered Certified Public Accounting Firm are included in Part II, Item 8,</w:t>
      </w:r>
      <w:r>
        <w:rPr>
          <w:rFonts w:ascii="Times New Roman" w:cs="Times New Roman" w:eastAsia="Times New Roman" w:hAnsi="Times New Roman"/>
          <w:sz w:val="14"/>
          <w:szCs w:val="14"/>
          <w:i w:val="1"/>
          <w:iCs w:val="1"/>
          <w:color w:val="auto"/>
        </w:rPr>
        <w:t xml:space="preserve"> Financial Statements and Supplementary Data</w:t>
      </w:r>
      <w:r>
        <w:rPr>
          <w:rFonts w:ascii="Times New Roman" w:cs="Times New Roman" w:eastAsia="Times New Roman" w:hAnsi="Times New Roman"/>
          <w:sz w:val="14"/>
          <w:szCs w:val="14"/>
          <w:color w:val="auto"/>
        </w:rPr>
        <w:t>, of this Annual Report on Form 10-K.</w:t>
      </w:r>
    </w:p>
    <w:p>
      <w:pPr>
        <w:spacing w:after="0" w:line="141" w:lineRule="exact"/>
        <w:rPr>
          <w:rFonts w:ascii="Times New Roman" w:cs="Times New Roman" w:eastAsia="Times New Roman" w:hAnsi="Times New Roman"/>
          <w:sz w:val="14"/>
          <w:szCs w:val="14"/>
          <w:color w:val="auto"/>
        </w:rPr>
      </w:pPr>
    </w:p>
    <w:p>
      <w:pPr>
        <w:ind w:left="380" w:right="260" w:firstLine="7"/>
        <w:spacing w:after="0" w:line="290" w:lineRule="auto"/>
        <w:tabs>
          <w:tab w:leader="none" w:pos="543" w:val="left"/>
        </w:tabs>
        <w:numPr>
          <w:ilvl w:val="1"/>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Financial statement schedules</w:t>
      </w:r>
      <w:r>
        <w:rPr>
          <w:rFonts w:ascii="Times New Roman" w:cs="Times New Roman" w:eastAsia="Times New Roman" w:hAnsi="Times New Roman"/>
          <w:sz w:val="14"/>
          <w:szCs w:val="14"/>
          <w:color w:val="auto"/>
        </w:rPr>
        <w:t>: All schedules have been omitted because they are inapplicable, not required, or the information is included in the above referenced consolidated financial</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statements or the notes thereto.</w:t>
      </w:r>
    </w:p>
    <w:p>
      <w:pPr>
        <w:spacing w:after="0" w:line="141" w:lineRule="exact"/>
        <w:rPr>
          <w:rFonts w:ascii="Times New Roman" w:cs="Times New Roman" w:eastAsia="Times New Roman" w:hAnsi="Times New Roman"/>
          <w:sz w:val="14"/>
          <w:szCs w:val="14"/>
          <w:color w:val="auto"/>
        </w:rPr>
      </w:pPr>
    </w:p>
    <w:p>
      <w:pPr>
        <w:ind w:left="540" w:hanging="153"/>
        <w:spacing w:after="0"/>
        <w:tabs>
          <w:tab w:leader="none" w:pos="540" w:val="left"/>
        </w:tabs>
        <w:numPr>
          <w:ilvl w:val="1"/>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Exhibits furnished pursuant to the requirements of Form 10-K</w:t>
      </w:r>
      <w:r>
        <w:rPr>
          <w:rFonts w:ascii="Times New Roman" w:cs="Times New Roman" w:eastAsia="Times New Roman" w:hAnsi="Times New Roman"/>
          <w:sz w:val="14"/>
          <w:szCs w:val="14"/>
          <w:color w:val="auto"/>
        </w:rPr>
        <w:t>:</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1000" w:type="dxa"/>
            <w:vAlign w:val="bottom"/>
            <w:tcBorders>
              <w:bottom w:val="single" w:sz="8" w:color="auto"/>
            </w:tcBorders>
            <w:gridSpan w:val="7"/>
          </w:tcPr>
          <w:p>
            <w:pPr>
              <w:spacing w:after="0"/>
              <w:rPr>
                <w:sz w:val="20"/>
                <w:szCs w:val="20"/>
                <w:color w:val="auto"/>
              </w:rPr>
            </w:pPr>
            <w:r>
              <w:rPr>
                <w:rFonts w:ascii="Times New Roman" w:cs="Times New Roman" w:eastAsia="Times New Roman" w:hAnsi="Times New Roman"/>
                <w:sz w:val="14"/>
                <w:szCs w:val="14"/>
                <w:b w:val="1"/>
                <w:bCs w:val="1"/>
                <w:color w:val="auto"/>
              </w:rPr>
              <w:t>Exhibit Number</w:t>
            </w:r>
          </w:p>
        </w:tc>
        <w:tc>
          <w:tcPr>
            <w:tcW w:w="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3"/>
        </w:trPr>
        <w:tc>
          <w:tcPr>
            <w:tcW w:w="20" w:type="dxa"/>
            <w:vAlign w:val="bottom"/>
          </w:tcPr>
          <w:p>
            <w:pPr>
              <w:spacing w:after="0"/>
              <w:rPr>
                <w:sz w:val="17"/>
                <w:szCs w:val="17"/>
                <w:color w:val="auto"/>
              </w:rPr>
            </w:pPr>
          </w:p>
        </w:tc>
        <w:tc>
          <w:tcPr>
            <w:tcW w:w="1000" w:type="dxa"/>
            <w:vAlign w:val="bottom"/>
            <w:gridSpan w:val="7"/>
          </w:tcPr>
          <w:p>
            <w:pPr>
              <w:spacing w:after="0"/>
              <w:rPr>
                <w:rFonts w:ascii="Times New Roman" w:cs="Times New Roman" w:eastAsia="Times New Roman" w:hAnsi="Times New Roman"/>
                <w:sz w:val="14"/>
                <w:szCs w:val="14"/>
                <w:color w:val="0000FF"/>
              </w:rPr>
            </w:pPr>
            <w:hyperlink r:id="rId96">
              <w:r>
                <w:rPr>
                  <w:rFonts w:ascii="Times New Roman" w:cs="Times New Roman" w:eastAsia="Times New Roman" w:hAnsi="Times New Roman"/>
                  <w:sz w:val="14"/>
                  <w:szCs w:val="14"/>
                  <w:color w:val="0000FF"/>
                </w:rPr>
                <w:t>3(i)</w:t>
              </w:r>
            </w:hyperlink>
          </w:p>
        </w:tc>
        <w:tc>
          <w:tcPr>
            <w:tcW w:w="10300" w:type="dxa"/>
            <w:vAlign w:val="bottom"/>
            <w:gridSpan w:val="35"/>
          </w:tcPr>
          <w:p>
            <w:pPr>
              <w:spacing w:after="0"/>
              <w:rPr>
                <w:rFonts w:ascii="Times New Roman" w:cs="Times New Roman" w:eastAsia="Times New Roman" w:hAnsi="Times New Roman"/>
                <w:sz w:val="14"/>
                <w:szCs w:val="14"/>
                <w:color w:val="0000FF"/>
              </w:rPr>
            </w:pPr>
            <w:hyperlink r:id="rId96">
              <w:r>
                <w:rPr>
                  <w:rFonts w:ascii="Times New Roman" w:cs="Times New Roman" w:eastAsia="Times New Roman" w:hAnsi="Times New Roman"/>
                  <w:sz w:val="14"/>
                  <w:szCs w:val="14"/>
                  <w:color w:val="0000FF"/>
                </w:rPr>
                <w:t>Restated Articles of Incorporation of Dycom Industries, Inc. (incorporated by reference to Dycom Industries, Inc.’s Quarterly Report on Form 10-Q filed with the SEC on June 11,</w:t>
              </w:r>
            </w:hyperlink>
          </w:p>
        </w:tc>
      </w:tr>
      <w:tr>
        <w:trPr>
          <w:trHeight w:val="118"/>
        </w:trPr>
        <w:tc>
          <w:tcPr>
            <w:tcW w:w="20" w:type="dxa"/>
            <w:vAlign w:val="bottom"/>
          </w:tcPr>
          <w:p>
            <w:pPr>
              <w:spacing w:after="0"/>
              <w:rPr>
                <w:sz w:val="10"/>
                <w:szCs w:val="10"/>
                <w:color w:val="auto"/>
              </w:rPr>
            </w:pPr>
          </w:p>
        </w:tc>
        <w:tc>
          <w:tcPr>
            <w:tcW w:w="180" w:type="dxa"/>
            <w:vAlign w:val="bottom"/>
            <w:tcBorders>
              <w:top w:val="single" w:sz="8" w:color="0000FF"/>
            </w:tcBorders>
          </w:tcPr>
          <w:p>
            <w:pPr>
              <w:spacing w:after="0"/>
              <w:rPr>
                <w:sz w:val="10"/>
                <w:szCs w:val="10"/>
                <w:color w:val="auto"/>
              </w:rPr>
            </w:pPr>
          </w:p>
        </w:tc>
        <w:tc>
          <w:tcPr>
            <w:tcW w:w="40" w:type="dxa"/>
            <w:vAlign w:val="bottom"/>
            <w:tcBorders>
              <w:top w:val="single" w:sz="8" w:color="0000FF"/>
            </w:tcBorders>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 w:type="dxa"/>
            <w:vAlign w:val="bottom"/>
            <w:tcBorders>
              <w:bottom w:val="single" w:sz="8" w:color="0000FF"/>
            </w:tcBorders>
          </w:tcPr>
          <w:p>
            <w:pPr>
              <w:spacing w:after="0"/>
              <w:rPr>
                <w:sz w:val="10"/>
                <w:szCs w:val="10"/>
                <w:color w:val="auto"/>
              </w:rPr>
            </w:pPr>
          </w:p>
        </w:tc>
        <w:tc>
          <w:tcPr>
            <w:tcW w:w="340" w:type="dxa"/>
            <w:vAlign w:val="bottom"/>
            <w:tcBorders>
              <w:top w:val="single" w:sz="8" w:color="0000FF"/>
              <w:bottom w:val="single" w:sz="8" w:color="0000FF"/>
            </w:tcBorders>
          </w:tcPr>
          <w:p>
            <w:pPr>
              <w:spacing w:after="0" w:line="118" w:lineRule="exact"/>
              <w:rPr>
                <w:rFonts w:ascii="Times New Roman" w:cs="Times New Roman" w:eastAsia="Times New Roman" w:hAnsi="Times New Roman"/>
                <w:sz w:val="13"/>
                <w:szCs w:val="13"/>
                <w:color w:val="0000FF"/>
                <w:w w:val="95"/>
              </w:rPr>
            </w:pPr>
            <w:hyperlink r:id="rId96">
              <w:r>
                <w:rPr>
                  <w:rFonts w:ascii="Times New Roman" w:cs="Times New Roman" w:eastAsia="Times New Roman" w:hAnsi="Times New Roman"/>
                  <w:sz w:val="13"/>
                  <w:szCs w:val="13"/>
                  <w:color w:val="0000FF"/>
                  <w:w w:val="95"/>
                </w:rPr>
                <w:t>2002).</w:t>
              </w:r>
            </w:hyperlink>
          </w:p>
        </w:tc>
        <w:tc>
          <w:tcPr>
            <w:tcW w:w="150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160" w:type="dxa"/>
            <w:vAlign w:val="bottom"/>
            <w:tcBorders>
              <w:top w:val="single" w:sz="8" w:color="0000FF"/>
            </w:tcBorders>
          </w:tcPr>
          <w:p>
            <w:pPr>
              <w:spacing w:after="0"/>
              <w:rPr>
                <w:sz w:val="10"/>
                <w:szCs w:val="10"/>
                <w:color w:val="auto"/>
              </w:rPr>
            </w:pPr>
          </w:p>
        </w:tc>
        <w:tc>
          <w:tcPr>
            <w:tcW w:w="12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220" w:type="dxa"/>
            <w:vAlign w:val="bottom"/>
            <w:tcBorders>
              <w:top w:val="single" w:sz="8" w:color="0000FF"/>
            </w:tcBorders>
          </w:tcPr>
          <w:p>
            <w:pPr>
              <w:spacing w:after="0"/>
              <w:rPr>
                <w:sz w:val="10"/>
                <w:szCs w:val="10"/>
                <w:color w:val="auto"/>
              </w:rPr>
            </w:pPr>
          </w:p>
        </w:tc>
        <w:tc>
          <w:tcPr>
            <w:tcW w:w="420" w:type="dxa"/>
            <w:vAlign w:val="bottom"/>
            <w:tcBorders>
              <w:top w:val="single" w:sz="8" w:color="0000FF"/>
            </w:tcBorders>
          </w:tcPr>
          <w:p>
            <w:pPr>
              <w:spacing w:after="0"/>
              <w:rPr>
                <w:sz w:val="10"/>
                <w:szCs w:val="10"/>
                <w:color w:val="auto"/>
              </w:rPr>
            </w:pPr>
          </w:p>
        </w:tc>
        <w:tc>
          <w:tcPr>
            <w:tcW w:w="220" w:type="dxa"/>
            <w:vAlign w:val="bottom"/>
            <w:tcBorders>
              <w:top w:val="single" w:sz="8" w:color="0000FF"/>
            </w:tcBorders>
          </w:tcPr>
          <w:p>
            <w:pPr>
              <w:spacing w:after="0"/>
              <w:rPr>
                <w:sz w:val="10"/>
                <w:szCs w:val="10"/>
                <w:color w:val="auto"/>
              </w:rPr>
            </w:pPr>
          </w:p>
        </w:tc>
        <w:tc>
          <w:tcPr>
            <w:tcW w:w="600" w:type="dxa"/>
            <w:vAlign w:val="bottom"/>
            <w:tcBorders>
              <w:top w:val="single" w:sz="8" w:color="0000FF"/>
            </w:tcBorders>
          </w:tcPr>
          <w:p>
            <w:pPr>
              <w:spacing w:after="0"/>
              <w:rPr>
                <w:sz w:val="10"/>
                <w:szCs w:val="10"/>
                <w:color w:val="auto"/>
              </w:rPr>
            </w:pPr>
          </w:p>
        </w:tc>
        <w:tc>
          <w:tcPr>
            <w:tcW w:w="108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440" w:type="dxa"/>
            <w:vAlign w:val="bottom"/>
            <w:tcBorders>
              <w:top w:val="single" w:sz="8" w:color="0000FF"/>
            </w:tcBorders>
          </w:tcPr>
          <w:p>
            <w:pPr>
              <w:spacing w:after="0"/>
              <w:rPr>
                <w:sz w:val="10"/>
                <w:szCs w:val="10"/>
                <w:color w:val="auto"/>
              </w:rPr>
            </w:pPr>
          </w:p>
        </w:tc>
        <w:tc>
          <w:tcPr>
            <w:tcW w:w="340" w:type="dxa"/>
            <w:vAlign w:val="bottom"/>
            <w:tcBorders>
              <w:top w:val="single" w:sz="8" w:color="0000FF"/>
            </w:tcBorders>
          </w:tcPr>
          <w:p>
            <w:pPr>
              <w:spacing w:after="0"/>
              <w:rPr>
                <w:sz w:val="10"/>
                <w:szCs w:val="10"/>
                <w:color w:val="auto"/>
              </w:rPr>
            </w:pPr>
          </w:p>
        </w:tc>
        <w:tc>
          <w:tcPr>
            <w:tcW w:w="160" w:type="dxa"/>
            <w:vAlign w:val="bottom"/>
            <w:tcBorders>
              <w:top w:val="single" w:sz="8" w:color="0000FF"/>
            </w:tcBorders>
          </w:tcPr>
          <w:p>
            <w:pPr>
              <w:spacing w:after="0"/>
              <w:rPr>
                <w:sz w:val="10"/>
                <w:szCs w:val="10"/>
                <w:color w:val="auto"/>
              </w:rPr>
            </w:pPr>
          </w:p>
        </w:tc>
        <w:tc>
          <w:tcPr>
            <w:tcW w:w="418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6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6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171"/>
        </w:trPr>
        <w:tc>
          <w:tcPr>
            <w:tcW w:w="20" w:type="dxa"/>
            <w:vAlign w:val="bottom"/>
          </w:tcPr>
          <w:p>
            <w:pPr>
              <w:spacing w:after="0"/>
              <w:rPr>
                <w:sz w:val="14"/>
                <w:szCs w:val="14"/>
                <w:color w:val="auto"/>
              </w:rPr>
            </w:pPr>
          </w:p>
        </w:tc>
        <w:tc>
          <w:tcPr>
            <w:tcW w:w="1000" w:type="dxa"/>
            <w:vAlign w:val="bottom"/>
            <w:gridSpan w:val="7"/>
          </w:tcPr>
          <w:p>
            <w:pPr>
              <w:spacing w:after="0"/>
              <w:rPr>
                <w:rFonts w:ascii="Times New Roman" w:cs="Times New Roman" w:eastAsia="Times New Roman" w:hAnsi="Times New Roman"/>
                <w:sz w:val="14"/>
                <w:szCs w:val="14"/>
                <w:color w:val="0000FF"/>
              </w:rPr>
            </w:pPr>
            <w:hyperlink r:id="rId97">
              <w:r>
                <w:rPr>
                  <w:rFonts w:ascii="Times New Roman" w:cs="Times New Roman" w:eastAsia="Times New Roman" w:hAnsi="Times New Roman"/>
                  <w:sz w:val="14"/>
                  <w:szCs w:val="14"/>
                  <w:color w:val="0000FF"/>
                </w:rPr>
                <w:t>3(ii)</w:t>
              </w:r>
            </w:hyperlink>
          </w:p>
        </w:tc>
        <w:tc>
          <w:tcPr>
            <w:tcW w:w="10300" w:type="dxa"/>
            <w:vAlign w:val="bottom"/>
            <w:gridSpan w:val="35"/>
          </w:tcPr>
          <w:p>
            <w:pPr>
              <w:spacing w:after="0"/>
              <w:rPr>
                <w:rFonts w:ascii="Times New Roman" w:cs="Times New Roman" w:eastAsia="Times New Roman" w:hAnsi="Times New Roman"/>
                <w:sz w:val="14"/>
                <w:szCs w:val="14"/>
                <w:color w:val="0000FF"/>
              </w:rPr>
            </w:pPr>
            <w:hyperlink r:id="rId97">
              <w:r>
                <w:rPr>
                  <w:rFonts w:ascii="Times New Roman" w:cs="Times New Roman" w:eastAsia="Times New Roman" w:hAnsi="Times New Roman"/>
                  <w:sz w:val="14"/>
                  <w:szCs w:val="14"/>
                  <w:color w:val="0000FF"/>
                </w:rPr>
                <w:t>Fourth Amended and Restated By-Laws of Dycom Industries, Inc., as amended August 20, 2024 (incorporated by reference to Dycom Industries, Inc.’s Current Report on Form 8-</w:t>
              </w:r>
            </w:hyperlink>
          </w:p>
        </w:tc>
      </w:tr>
      <w:tr>
        <w:trPr>
          <w:trHeight w:val="118"/>
        </w:trPr>
        <w:tc>
          <w:tcPr>
            <w:tcW w:w="20" w:type="dxa"/>
            <w:vAlign w:val="bottom"/>
          </w:tcPr>
          <w:p>
            <w:pPr>
              <w:spacing w:after="0"/>
              <w:rPr>
                <w:sz w:val="10"/>
                <w:szCs w:val="10"/>
                <w:color w:val="auto"/>
              </w:rPr>
            </w:pPr>
          </w:p>
        </w:tc>
        <w:tc>
          <w:tcPr>
            <w:tcW w:w="180" w:type="dxa"/>
            <w:vAlign w:val="bottom"/>
            <w:tcBorders>
              <w:top w:val="single" w:sz="8" w:color="0000FF"/>
            </w:tcBorders>
          </w:tcPr>
          <w:p>
            <w:pPr>
              <w:spacing w:after="0"/>
              <w:rPr>
                <w:sz w:val="10"/>
                <w:szCs w:val="10"/>
                <w:color w:val="auto"/>
              </w:rPr>
            </w:pPr>
          </w:p>
        </w:tc>
        <w:tc>
          <w:tcPr>
            <w:tcW w:w="40" w:type="dxa"/>
            <w:vAlign w:val="bottom"/>
            <w:tcBorders>
              <w:top w:val="single" w:sz="8" w:color="0000FF"/>
            </w:tcBorders>
          </w:tcPr>
          <w:p>
            <w:pPr>
              <w:spacing w:after="0"/>
              <w:rPr>
                <w:sz w:val="10"/>
                <w:szCs w:val="10"/>
                <w:color w:val="auto"/>
              </w:rPr>
            </w:pPr>
          </w:p>
        </w:tc>
        <w:tc>
          <w:tcPr>
            <w:tcW w:w="40" w:type="dxa"/>
            <w:vAlign w:val="bottom"/>
            <w:tcBorders>
              <w:top w:val="single" w:sz="8" w:color="0000FF"/>
            </w:tcBorders>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 w:type="dxa"/>
            <w:vAlign w:val="bottom"/>
            <w:tcBorders>
              <w:bottom w:val="single" w:sz="8" w:color="0000FF"/>
            </w:tcBorders>
          </w:tcPr>
          <w:p>
            <w:pPr>
              <w:spacing w:after="0"/>
              <w:rPr>
                <w:sz w:val="10"/>
                <w:szCs w:val="10"/>
                <w:color w:val="auto"/>
              </w:rPr>
            </w:pPr>
          </w:p>
        </w:tc>
        <w:tc>
          <w:tcPr>
            <w:tcW w:w="2400" w:type="dxa"/>
            <w:vAlign w:val="bottom"/>
            <w:tcBorders>
              <w:top w:val="single" w:sz="8" w:color="0000FF"/>
              <w:bottom w:val="single" w:sz="8" w:color="0000FF"/>
            </w:tcBorders>
            <w:gridSpan w:val="8"/>
          </w:tcPr>
          <w:p>
            <w:pPr>
              <w:spacing w:after="0" w:line="118" w:lineRule="exact"/>
              <w:rPr>
                <w:rFonts w:ascii="Times New Roman" w:cs="Times New Roman" w:eastAsia="Times New Roman" w:hAnsi="Times New Roman"/>
                <w:sz w:val="13"/>
                <w:szCs w:val="13"/>
                <w:color w:val="0000FF"/>
              </w:rPr>
            </w:pPr>
            <w:hyperlink r:id="rId97">
              <w:r>
                <w:rPr>
                  <w:rFonts w:ascii="Times New Roman" w:cs="Times New Roman" w:eastAsia="Times New Roman" w:hAnsi="Times New Roman"/>
                  <w:sz w:val="13"/>
                  <w:szCs w:val="13"/>
                  <w:color w:val="0000FF"/>
                </w:rPr>
                <w:t>K filed with the SEC on August 23, 2024).</w:t>
              </w:r>
            </w:hyperlink>
          </w:p>
        </w:tc>
        <w:tc>
          <w:tcPr>
            <w:tcW w:w="7460" w:type="dxa"/>
            <w:vAlign w:val="bottom"/>
            <w:tcBorders>
              <w:top w:val="single" w:sz="8" w:color="0000FF"/>
            </w:tcBorders>
            <w:gridSpan w:val="9"/>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6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6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40" w:type="dxa"/>
            <w:vAlign w:val="bottom"/>
            <w:tcBorders>
              <w:top w:val="single" w:sz="8" w:color="0000FF"/>
            </w:tcBorders>
            <w:gridSpan w:val="2"/>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171"/>
        </w:trPr>
        <w:tc>
          <w:tcPr>
            <w:tcW w:w="240" w:type="dxa"/>
            <w:vAlign w:val="bottom"/>
            <w:gridSpan w:val="3"/>
          </w:tcPr>
          <w:p>
            <w:pPr>
              <w:ind w:left="20"/>
              <w:spacing w:after="0"/>
              <w:rPr>
                <w:rFonts w:ascii="Times New Roman" w:cs="Times New Roman" w:eastAsia="Times New Roman" w:hAnsi="Times New Roman"/>
                <w:sz w:val="14"/>
                <w:szCs w:val="14"/>
                <w:color w:val="0000FF"/>
              </w:rPr>
            </w:pPr>
            <w:hyperlink r:id="rId98">
              <w:r>
                <w:rPr>
                  <w:rFonts w:ascii="Times New Roman" w:cs="Times New Roman" w:eastAsia="Times New Roman" w:hAnsi="Times New Roman"/>
                  <w:sz w:val="14"/>
                  <w:szCs w:val="14"/>
                  <w:color w:val="0000FF"/>
                </w:rPr>
                <w:t>4.</w:t>
              </w:r>
              <w:r>
                <w:rPr>
                  <w:rFonts w:ascii="Times New Roman" w:cs="Times New Roman" w:eastAsia="Times New Roman" w:hAnsi="Times New Roman"/>
                  <w:sz w:val="14"/>
                  <w:szCs w:val="14"/>
                  <w:u w:val="single" w:color="auto"/>
                  <w:color w:val="0000FF"/>
                </w:rPr>
                <w:t>1</w:t>
              </w:r>
            </w:hyperlink>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300" w:type="dxa"/>
            <w:vAlign w:val="bottom"/>
            <w:gridSpan w:val="35"/>
          </w:tcPr>
          <w:p>
            <w:pPr>
              <w:spacing w:after="0"/>
              <w:rPr>
                <w:rFonts w:ascii="Times New Roman" w:cs="Times New Roman" w:eastAsia="Times New Roman" w:hAnsi="Times New Roman"/>
                <w:sz w:val="14"/>
                <w:szCs w:val="14"/>
                <w:color w:val="0000FF"/>
              </w:rPr>
            </w:pPr>
            <w:hyperlink r:id="rId98">
              <w:r>
                <w:rPr>
                  <w:rFonts w:ascii="Times New Roman" w:cs="Times New Roman" w:eastAsia="Times New Roman" w:hAnsi="Times New Roman"/>
                  <w:sz w:val="14"/>
                  <w:szCs w:val="14"/>
                  <w:color w:val="0000FF"/>
                </w:rPr>
                <w:t>Indenture, dated as of April 1, 2021, among Dycom Industries, Inc., the subsidiary guarantors and U.S. Bank National Association, as Trustee (incorporated by reference to Dycom</w:t>
              </w:r>
            </w:hyperlink>
          </w:p>
        </w:tc>
      </w:tr>
      <w:tr>
        <w:trPr>
          <w:trHeight w:val="118"/>
        </w:trPr>
        <w:tc>
          <w:tcPr>
            <w:tcW w:w="20" w:type="dxa"/>
            <w:vAlign w:val="bottom"/>
          </w:tcPr>
          <w:p>
            <w:pPr>
              <w:spacing w:after="0"/>
              <w:rPr>
                <w:sz w:val="10"/>
                <w:szCs w:val="10"/>
                <w:color w:val="auto"/>
              </w:rPr>
            </w:pPr>
          </w:p>
        </w:tc>
        <w:tc>
          <w:tcPr>
            <w:tcW w:w="180" w:type="dxa"/>
            <w:vAlign w:val="bottom"/>
            <w:tcBorders>
              <w:top w:val="single" w:sz="8" w:color="0000FF"/>
            </w:tcBorders>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 w:type="dxa"/>
            <w:vAlign w:val="bottom"/>
            <w:tcBorders>
              <w:bottom w:val="single" w:sz="8" w:color="0000FF"/>
            </w:tcBorders>
          </w:tcPr>
          <w:p>
            <w:pPr>
              <w:spacing w:after="0"/>
              <w:rPr>
                <w:sz w:val="10"/>
                <w:szCs w:val="10"/>
                <w:color w:val="auto"/>
              </w:rPr>
            </w:pPr>
          </w:p>
        </w:tc>
        <w:tc>
          <w:tcPr>
            <w:tcW w:w="4720" w:type="dxa"/>
            <w:vAlign w:val="bottom"/>
            <w:tcBorders>
              <w:top w:val="single" w:sz="8" w:color="0000FF"/>
              <w:bottom w:val="single" w:sz="8" w:color="0000FF"/>
            </w:tcBorders>
            <w:gridSpan w:val="12"/>
          </w:tcPr>
          <w:p>
            <w:pPr>
              <w:spacing w:after="0" w:line="118" w:lineRule="exact"/>
              <w:rPr>
                <w:rFonts w:ascii="Times New Roman" w:cs="Times New Roman" w:eastAsia="Times New Roman" w:hAnsi="Times New Roman"/>
                <w:sz w:val="13"/>
                <w:szCs w:val="13"/>
                <w:color w:val="0000FF"/>
              </w:rPr>
            </w:pPr>
            <w:hyperlink r:id="rId98">
              <w:r>
                <w:rPr>
                  <w:rFonts w:ascii="Times New Roman" w:cs="Times New Roman" w:eastAsia="Times New Roman" w:hAnsi="Times New Roman"/>
                  <w:sz w:val="13"/>
                  <w:szCs w:val="13"/>
                  <w:color w:val="0000FF"/>
                </w:rPr>
                <w:t>Industries, Inc.’s Current Report on Form 8-K filed with the SEC on April 2, 2021).</w:t>
              </w:r>
            </w:hyperlink>
          </w:p>
        </w:tc>
        <w:tc>
          <w:tcPr>
            <w:tcW w:w="5460" w:type="dxa"/>
            <w:vAlign w:val="bottom"/>
            <w:tcBorders>
              <w:top w:val="single" w:sz="8" w:color="0000FF"/>
            </w:tcBorders>
            <w:gridSpan w:val="17"/>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171"/>
        </w:trPr>
        <w:tc>
          <w:tcPr>
            <w:tcW w:w="240" w:type="dxa"/>
            <w:vAlign w:val="bottom"/>
            <w:gridSpan w:val="3"/>
          </w:tcPr>
          <w:p>
            <w:pPr>
              <w:ind w:left="20"/>
              <w:spacing w:after="0"/>
              <w:rPr>
                <w:rFonts w:ascii="Times New Roman" w:cs="Times New Roman" w:eastAsia="Times New Roman" w:hAnsi="Times New Roman"/>
                <w:sz w:val="14"/>
                <w:szCs w:val="14"/>
                <w:color w:val="0000FF"/>
              </w:rPr>
            </w:pPr>
            <w:hyperlink r:id="rId99">
              <w:r>
                <w:rPr>
                  <w:rFonts w:ascii="Times New Roman" w:cs="Times New Roman" w:eastAsia="Times New Roman" w:hAnsi="Times New Roman"/>
                  <w:sz w:val="14"/>
                  <w:szCs w:val="14"/>
                  <w:color w:val="0000FF"/>
                </w:rPr>
                <w:t>4.</w:t>
              </w:r>
              <w:r>
                <w:rPr>
                  <w:rFonts w:ascii="Times New Roman" w:cs="Times New Roman" w:eastAsia="Times New Roman" w:hAnsi="Times New Roman"/>
                  <w:sz w:val="14"/>
                  <w:szCs w:val="14"/>
                  <w:u w:val="single" w:color="auto"/>
                  <w:color w:val="0000FF"/>
                </w:rPr>
                <w:t>2</w:t>
              </w:r>
            </w:hyperlink>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300" w:type="dxa"/>
            <w:vAlign w:val="bottom"/>
            <w:gridSpan w:val="35"/>
          </w:tcPr>
          <w:p>
            <w:pPr>
              <w:spacing w:after="0"/>
              <w:rPr>
                <w:rFonts w:ascii="Times New Roman" w:cs="Times New Roman" w:eastAsia="Times New Roman" w:hAnsi="Times New Roman"/>
                <w:sz w:val="14"/>
                <w:szCs w:val="14"/>
                <w:color w:val="0000FF"/>
              </w:rPr>
            </w:pPr>
            <w:hyperlink r:id="rId99">
              <w:r>
                <w:rPr>
                  <w:rFonts w:ascii="Times New Roman" w:cs="Times New Roman" w:eastAsia="Times New Roman" w:hAnsi="Times New Roman"/>
                  <w:sz w:val="14"/>
                  <w:szCs w:val="14"/>
                  <w:color w:val="0000FF"/>
                </w:rPr>
                <w:t>Description of Common Stock Registered Pursuant to Section 12 of the Securities Exchange Act of 1934 (incorporated by reference to Dycom Industries, Inc.’s Annual Report on</w:t>
              </w:r>
            </w:hyperlink>
          </w:p>
        </w:tc>
      </w:tr>
      <w:tr>
        <w:trPr>
          <w:trHeight w:val="118"/>
        </w:trPr>
        <w:tc>
          <w:tcPr>
            <w:tcW w:w="20" w:type="dxa"/>
            <w:vAlign w:val="bottom"/>
          </w:tcPr>
          <w:p>
            <w:pPr>
              <w:spacing w:after="0"/>
              <w:rPr>
                <w:sz w:val="10"/>
                <w:szCs w:val="10"/>
                <w:color w:val="auto"/>
              </w:rPr>
            </w:pPr>
          </w:p>
        </w:tc>
        <w:tc>
          <w:tcPr>
            <w:tcW w:w="180" w:type="dxa"/>
            <w:vAlign w:val="bottom"/>
            <w:tcBorders>
              <w:top w:val="single" w:sz="8" w:color="0000FF"/>
            </w:tcBorders>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 w:type="dxa"/>
            <w:vAlign w:val="bottom"/>
            <w:tcBorders>
              <w:bottom w:val="single" w:sz="8" w:color="0000FF"/>
            </w:tcBorders>
          </w:tcPr>
          <w:p>
            <w:pPr>
              <w:spacing w:after="0"/>
              <w:rPr>
                <w:sz w:val="10"/>
                <w:szCs w:val="10"/>
                <w:color w:val="auto"/>
              </w:rPr>
            </w:pPr>
          </w:p>
        </w:tc>
        <w:tc>
          <w:tcPr>
            <w:tcW w:w="2820" w:type="dxa"/>
            <w:vAlign w:val="bottom"/>
            <w:tcBorders>
              <w:top w:val="single" w:sz="8" w:color="0000FF"/>
              <w:bottom w:val="single" w:sz="8" w:color="0000FF"/>
            </w:tcBorders>
            <w:gridSpan w:val="9"/>
          </w:tcPr>
          <w:p>
            <w:pPr>
              <w:spacing w:after="0" w:line="118" w:lineRule="exact"/>
              <w:rPr>
                <w:rFonts w:ascii="Times New Roman" w:cs="Times New Roman" w:eastAsia="Times New Roman" w:hAnsi="Times New Roman"/>
                <w:sz w:val="13"/>
                <w:szCs w:val="13"/>
                <w:color w:val="0000FF"/>
              </w:rPr>
            </w:pPr>
            <w:hyperlink r:id="rId99">
              <w:r>
                <w:rPr>
                  <w:rFonts w:ascii="Times New Roman" w:cs="Times New Roman" w:eastAsia="Times New Roman" w:hAnsi="Times New Roman"/>
                  <w:sz w:val="13"/>
                  <w:szCs w:val="13"/>
                  <w:color w:val="0000FF"/>
                </w:rPr>
                <w:t>Form 10-K filed with the SEC on March 2, 2020).</w:t>
              </w:r>
            </w:hyperlink>
          </w:p>
        </w:tc>
        <w:tc>
          <w:tcPr>
            <w:tcW w:w="7260" w:type="dxa"/>
            <w:vAlign w:val="bottom"/>
            <w:tcBorders>
              <w:top w:val="single" w:sz="8" w:color="0000FF"/>
            </w:tcBorders>
            <w:gridSpan w:val="15"/>
          </w:tcPr>
          <w:p>
            <w:pPr>
              <w:spacing w:after="0"/>
              <w:rPr>
                <w:sz w:val="10"/>
                <w:szCs w:val="10"/>
                <w:color w:val="auto"/>
              </w:rPr>
            </w:pPr>
          </w:p>
        </w:tc>
        <w:tc>
          <w:tcPr>
            <w:tcW w:w="40" w:type="dxa"/>
            <w:vAlign w:val="bottom"/>
            <w:gridSpan w:val="2"/>
          </w:tcPr>
          <w:p>
            <w:pPr>
              <w:spacing w:after="0"/>
              <w:rPr>
                <w:sz w:val="10"/>
                <w:szCs w:val="10"/>
                <w:color w:val="auto"/>
              </w:rPr>
            </w:pPr>
          </w:p>
        </w:tc>
        <w:tc>
          <w:tcPr>
            <w:tcW w:w="40" w:type="dxa"/>
            <w:vAlign w:val="bottom"/>
            <w:gridSpan w:val="2"/>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171"/>
        </w:trPr>
        <w:tc>
          <w:tcPr>
            <w:tcW w:w="420" w:type="dxa"/>
            <w:vAlign w:val="bottom"/>
            <w:gridSpan w:val="6"/>
          </w:tcPr>
          <w:p>
            <w:pPr>
              <w:ind w:left="20"/>
              <w:spacing w:after="0"/>
              <w:rPr>
                <w:rFonts w:ascii="Times New Roman" w:cs="Times New Roman" w:eastAsia="Times New Roman" w:hAnsi="Times New Roman"/>
                <w:sz w:val="14"/>
                <w:szCs w:val="14"/>
                <w:color w:val="0000FF"/>
              </w:rPr>
            </w:pPr>
            <w:hyperlink r:id="rId100">
              <w:r>
                <w:rPr>
                  <w:rFonts w:ascii="Times New Roman" w:cs="Times New Roman" w:eastAsia="Times New Roman" w:hAnsi="Times New Roman"/>
                  <w:sz w:val="14"/>
                  <w:szCs w:val="14"/>
                  <w:color w:val="0000FF"/>
                </w:rPr>
                <w:t>10.</w:t>
              </w:r>
              <w:r>
                <w:rPr>
                  <w:rFonts w:ascii="Times New Roman" w:cs="Times New Roman" w:eastAsia="Times New Roman" w:hAnsi="Times New Roman"/>
                  <w:sz w:val="14"/>
                  <w:szCs w:val="14"/>
                  <w:u w:val="single" w:color="auto"/>
                  <w:color w:val="0000FF"/>
                </w:rPr>
                <w:t>1*</w:t>
              </w:r>
            </w:hyperlink>
          </w:p>
        </w:tc>
        <w:tc>
          <w:tcPr>
            <w:tcW w:w="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300" w:type="dxa"/>
            <w:vAlign w:val="bottom"/>
            <w:gridSpan w:val="35"/>
          </w:tcPr>
          <w:p>
            <w:pPr>
              <w:spacing w:after="0"/>
              <w:rPr>
                <w:rFonts w:ascii="Times New Roman" w:cs="Times New Roman" w:eastAsia="Times New Roman" w:hAnsi="Times New Roman"/>
                <w:sz w:val="14"/>
                <w:szCs w:val="14"/>
                <w:color w:val="0000FF"/>
              </w:rPr>
            </w:pPr>
            <w:hyperlink r:id="rId100">
              <w:r>
                <w:rPr>
                  <w:rFonts w:ascii="Times New Roman" w:cs="Times New Roman" w:eastAsia="Times New Roman" w:hAnsi="Times New Roman"/>
                  <w:sz w:val="14"/>
                  <w:szCs w:val="14"/>
                  <w:color w:val="0000FF"/>
                </w:rPr>
                <w:t>2003 Long Term Incentive Plan, amended and restated effective as of September 19, 2011 (incorporated by reference to Dycom Industries, Inc.’s Current Report on Form 8-K filed</w:t>
              </w:r>
            </w:hyperlink>
          </w:p>
        </w:tc>
      </w:tr>
      <w:tr>
        <w:trPr>
          <w:trHeight w:val="118"/>
        </w:trPr>
        <w:tc>
          <w:tcPr>
            <w:tcW w:w="20" w:type="dxa"/>
            <w:vAlign w:val="bottom"/>
          </w:tcPr>
          <w:p>
            <w:pPr>
              <w:spacing w:after="0"/>
              <w:rPr>
                <w:sz w:val="10"/>
                <w:szCs w:val="10"/>
                <w:color w:val="auto"/>
              </w:rPr>
            </w:pPr>
          </w:p>
        </w:tc>
        <w:tc>
          <w:tcPr>
            <w:tcW w:w="180" w:type="dxa"/>
            <w:vAlign w:val="bottom"/>
            <w:tcBorders>
              <w:top w:val="single" w:sz="8" w:color="0000FF"/>
            </w:tcBorders>
          </w:tcPr>
          <w:p>
            <w:pPr>
              <w:spacing w:after="0"/>
              <w:rPr>
                <w:sz w:val="10"/>
                <w:szCs w:val="10"/>
                <w:color w:val="auto"/>
              </w:rPr>
            </w:pPr>
          </w:p>
        </w:tc>
        <w:tc>
          <w:tcPr>
            <w:tcW w:w="40" w:type="dxa"/>
            <w:vAlign w:val="bottom"/>
            <w:tcBorders>
              <w:top w:val="single" w:sz="8" w:color="0000FF"/>
            </w:tcBorders>
          </w:tcPr>
          <w:p>
            <w:pPr>
              <w:spacing w:after="0"/>
              <w:rPr>
                <w:sz w:val="10"/>
                <w:szCs w:val="10"/>
                <w:color w:val="auto"/>
              </w:rPr>
            </w:pPr>
          </w:p>
        </w:tc>
        <w:tc>
          <w:tcPr>
            <w:tcW w:w="40" w:type="dxa"/>
            <w:vAlign w:val="bottom"/>
            <w:tcBorders>
              <w:top w:val="single" w:sz="8" w:color="0000FF"/>
            </w:tcBorders>
          </w:tcPr>
          <w:p>
            <w:pPr>
              <w:spacing w:after="0"/>
              <w:rPr>
                <w:sz w:val="10"/>
                <w:szCs w:val="10"/>
                <w:color w:val="auto"/>
              </w:rPr>
            </w:pPr>
          </w:p>
        </w:tc>
        <w:tc>
          <w:tcPr>
            <w:tcW w:w="60" w:type="dxa"/>
            <w:vAlign w:val="bottom"/>
            <w:tcBorders>
              <w:top w:val="single" w:sz="8" w:color="0000FF"/>
            </w:tcBorders>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0" w:type="dxa"/>
            <w:vAlign w:val="bottom"/>
            <w:tcBorders>
              <w:top w:val="single" w:sz="8" w:color="0000FF"/>
              <w:bottom w:val="single" w:sz="8" w:color="0000FF"/>
            </w:tcBorders>
            <w:gridSpan w:val="8"/>
          </w:tcPr>
          <w:p>
            <w:pPr>
              <w:spacing w:after="0" w:line="118" w:lineRule="exact"/>
              <w:rPr>
                <w:rFonts w:ascii="Times New Roman" w:cs="Times New Roman" w:eastAsia="Times New Roman" w:hAnsi="Times New Roman"/>
                <w:sz w:val="13"/>
                <w:szCs w:val="13"/>
                <w:color w:val="0000FF"/>
              </w:rPr>
            </w:pPr>
            <w:hyperlink r:id="rId100">
              <w:r>
                <w:rPr>
                  <w:rFonts w:ascii="Times New Roman" w:cs="Times New Roman" w:eastAsia="Times New Roman" w:hAnsi="Times New Roman"/>
                  <w:sz w:val="13"/>
                  <w:szCs w:val="13"/>
                  <w:color w:val="0000FF"/>
                </w:rPr>
                <w:t>with the SEC on September 23, 2011).</w:t>
              </w:r>
            </w:hyperlink>
          </w:p>
        </w:tc>
        <w:tc>
          <w:tcPr>
            <w:tcW w:w="7980" w:type="dxa"/>
            <w:vAlign w:val="bottom"/>
            <w:tcBorders>
              <w:top w:val="single" w:sz="8" w:color="0000FF"/>
            </w:tcBorders>
            <w:gridSpan w:val="21"/>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171"/>
        </w:trPr>
        <w:tc>
          <w:tcPr>
            <w:tcW w:w="420" w:type="dxa"/>
            <w:vAlign w:val="bottom"/>
            <w:gridSpan w:val="6"/>
          </w:tcPr>
          <w:p>
            <w:pPr>
              <w:ind w:left="20"/>
              <w:spacing w:after="0"/>
              <w:rPr>
                <w:rFonts w:ascii="Times New Roman" w:cs="Times New Roman" w:eastAsia="Times New Roman" w:hAnsi="Times New Roman"/>
                <w:sz w:val="14"/>
                <w:szCs w:val="14"/>
                <w:color w:val="0000FF"/>
              </w:rPr>
            </w:pPr>
            <w:hyperlink r:id="rId101">
              <w:r>
                <w:rPr>
                  <w:rFonts w:ascii="Times New Roman" w:cs="Times New Roman" w:eastAsia="Times New Roman" w:hAnsi="Times New Roman"/>
                  <w:sz w:val="14"/>
                  <w:szCs w:val="14"/>
                  <w:color w:val="0000FF"/>
                </w:rPr>
                <w:t>10.</w:t>
              </w:r>
              <w:r>
                <w:rPr>
                  <w:rFonts w:ascii="Times New Roman" w:cs="Times New Roman" w:eastAsia="Times New Roman" w:hAnsi="Times New Roman"/>
                  <w:sz w:val="14"/>
                  <w:szCs w:val="14"/>
                  <w:u w:val="single" w:color="auto"/>
                  <w:color w:val="0000FF"/>
                </w:rPr>
                <w:t>2*</w:t>
              </w:r>
            </w:hyperlink>
          </w:p>
        </w:tc>
        <w:tc>
          <w:tcPr>
            <w:tcW w:w="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300" w:type="dxa"/>
            <w:vAlign w:val="bottom"/>
            <w:gridSpan w:val="35"/>
          </w:tcPr>
          <w:p>
            <w:pPr>
              <w:spacing w:after="0"/>
              <w:rPr>
                <w:rFonts w:ascii="Times New Roman" w:cs="Times New Roman" w:eastAsia="Times New Roman" w:hAnsi="Times New Roman"/>
                <w:sz w:val="14"/>
                <w:szCs w:val="14"/>
                <w:color w:val="0000FF"/>
              </w:rPr>
            </w:pPr>
            <w:hyperlink r:id="rId101">
              <w:r>
                <w:rPr>
                  <w:rFonts w:ascii="Times New Roman" w:cs="Times New Roman" w:eastAsia="Times New Roman" w:hAnsi="Times New Roman"/>
                  <w:sz w:val="14"/>
                  <w:szCs w:val="14"/>
                  <w:color w:val="0000FF"/>
                </w:rPr>
                <w:t>Form of Non-Qualified Stock Option Agreement under the 2003 Long-Term Incentive Plan, as amended and restated (incorporated by reference to Dycom Industries, Inc.’s Annual</w:t>
              </w:r>
            </w:hyperlink>
          </w:p>
        </w:tc>
      </w:tr>
      <w:tr>
        <w:trPr>
          <w:trHeight w:val="118"/>
        </w:trPr>
        <w:tc>
          <w:tcPr>
            <w:tcW w:w="20" w:type="dxa"/>
            <w:vAlign w:val="bottom"/>
          </w:tcPr>
          <w:p>
            <w:pPr>
              <w:spacing w:after="0"/>
              <w:rPr>
                <w:sz w:val="10"/>
                <w:szCs w:val="10"/>
                <w:color w:val="auto"/>
              </w:rPr>
            </w:pPr>
          </w:p>
        </w:tc>
        <w:tc>
          <w:tcPr>
            <w:tcW w:w="180" w:type="dxa"/>
            <w:vAlign w:val="bottom"/>
            <w:tcBorders>
              <w:top w:val="single" w:sz="8" w:color="0000FF"/>
            </w:tcBorders>
          </w:tcPr>
          <w:p>
            <w:pPr>
              <w:spacing w:after="0"/>
              <w:rPr>
                <w:sz w:val="10"/>
                <w:szCs w:val="10"/>
                <w:color w:val="auto"/>
              </w:rPr>
            </w:pPr>
          </w:p>
        </w:tc>
        <w:tc>
          <w:tcPr>
            <w:tcW w:w="40" w:type="dxa"/>
            <w:vAlign w:val="bottom"/>
            <w:tcBorders>
              <w:top w:val="single" w:sz="8" w:color="0000FF"/>
            </w:tcBorders>
          </w:tcPr>
          <w:p>
            <w:pPr>
              <w:spacing w:after="0"/>
              <w:rPr>
                <w:sz w:val="10"/>
                <w:szCs w:val="10"/>
                <w:color w:val="auto"/>
              </w:rPr>
            </w:pPr>
          </w:p>
        </w:tc>
        <w:tc>
          <w:tcPr>
            <w:tcW w:w="40" w:type="dxa"/>
            <w:vAlign w:val="bottom"/>
            <w:tcBorders>
              <w:top w:val="single" w:sz="8" w:color="0000FF"/>
            </w:tcBorders>
          </w:tcPr>
          <w:p>
            <w:pPr>
              <w:spacing w:after="0"/>
              <w:rPr>
                <w:sz w:val="10"/>
                <w:szCs w:val="10"/>
                <w:color w:val="auto"/>
              </w:rPr>
            </w:pPr>
          </w:p>
        </w:tc>
        <w:tc>
          <w:tcPr>
            <w:tcW w:w="60" w:type="dxa"/>
            <w:vAlign w:val="bottom"/>
            <w:tcBorders>
              <w:top w:val="single" w:sz="8" w:color="0000FF"/>
            </w:tcBorders>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200" w:type="dxa"/>
            <w:vAlign w:val="bottom"/>
            <w:tcBorders>
              <w:top w:val="single" w:sz="8" w:color="0000FF"/>
            </w:tcBorders>
            <w:gridSpan w:val="30"/>
          </w:tcPr>
          <w:p>
            <w:pPr>
              <w:spacing w:after="0" w:line="118" w:lineRule="exact"/>
              <w:rPr>
                <w:rFonts w:ascii="Times New Roman" w:cs="Times New Roman" w:eastAsia="Times New Roman" w:hAnsi="Times New Roman"/>
                <w:sz w:val="13"/>
                <w:szCs w:val="13"/>
                <w:color w:val="0000FF"/>
              </w:rPr>
            </w:pPr>
            <w:hyperlink r:id="rId101">
              <w:r>
                <w:rPr>
                  <w:rFonts w:ascii="Times New Roman" w:cs="Times New Roman" w:eastAsia="Times New Roman" w:hAnsi="Times New Roman"/>
                  <w:sz w:val="13"/>
                  <w:szCs w:val="13"/>
                  <w:color w:val="0000FF"/>
                </w:rPr>
                <w:t>Report on Form 10-K filed with the SEC on September 4, 2012).</w:t>
              </w:r>
            </w:hyperlink>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20"/>
        </w:trPr>
        <w:tc>
          <w:tcPr>
            <w:tcW w:w="420" w:type="dxa"/>
            <w:vAlign w:val="bottom"/>
            <w:gridSpan w:val="6"/>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6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80" w:type="dxa"/>
            <w:vAlign w:val="bottom"/>
            <w:gridSpan w:val="4"/>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1"/>
        </w:trPr>
        <w:tc>
          <w:tcPr>
            <w:tcW w:w="420" w:type="dxa"/>
            <w:vAlign w:val="bottom"/>
            <w:gridSpan w:val="6"/>
          </w:tcPr>
          <w:p>
            <w:pPr>
              <w:ind w:left="20"/>
              <w:spacing w:after="0"/>
              <w:rPr>
                <w:rFonts w:ascii="Times New Roman" w:cs="Times New Roman" w:eastAsia="Times New Roman" w:hAnsi="Times New Roman"/>
                <w:sz w:val="14"/>
                <w:szCs w:val="14"/>
                <w:color w:val="0000FF"/>
              </w:rPr>
            </w:pPr>
            <w:hyperlink r:id="rId102">
              <w:r>
                <w:rPr>
                  <w:rFonts w:ascii="Times New Roman" w:cs="Times New Roman" w:eastAsia="Times New Roman" w:hAnsi="Times New Roman"/>
                  <w:sz w:val="14"/>
                  <w:szCs w:val="14"/>
                  <w:color w:val="0000FF"/>
                </w:rPr>
                <w:t>10.</w:t>
              </w:r>
              <w:r>
                <w:rPr>
                  <w:rFonts w:ascii="Times New Roman" w:cs="Times New Roman" w:eastAsia="Times New Roman" w:hAnsi="Times New Roman"/>
                  <w:sz w:val="14"/>
                  <w:szCs w:val="14"/>
                  <w:u w:val="single" w:color="auto"/>
                  <w:color w:val="0000FF"/>
                </w:rPr>
                <w:t>3*</w:t>
              </w:r>
            </w:hyperlink>
          </w:p>
        </w:tc>
        <w:tc>
          <w:tcPr>
            <w:tcW w:w="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300" w:type="dxa"/>
            <w:vAlign w:val="bottom"/>
            <w:gridSpan w:val="35"/>
          </w:tcPr>
          <w:p>
            <w:pPr>
              <w:spacing w:after="0"/>
              <w:rPr>
                <w:rFonts w:ascii="Times New Roman" w:cs="Times New Roman" w:eastAsia="Times New Roman" w:hAnsi="Times New Roman"/>
                <w:sz w:val="14"/>
                <w:szCs w:val="14"/>
                <w:color w:val="0000FF"/>
              </w:rPr>
            </w:pPr>
            <w:hyperlink r:id="rId102">
              <w:r>
                <w:rPr>
                  <w:rFonts w:ascii="Times New Roman" w:cs="Times New Roman" w:eastAsia="Times New Roman" w:hAnsi="Times New Roman"/>
                  <w:sz w:val="14"/>
                  <w:szCs w:val="14"/>
                  <w:color w:val="0000FF"/>
                </w:rPr>
                <w:t>Form of Incentive Stock Option Agreement under the 2003 Long-Term Incentive Plan, as amended and restated (incorporated by reference to Dycom Industries, Inc.’s Annual</w:t>
              </w:r>
            </w:hyperlink>
          </w:p>
        </w:tc>
      </w:tr>
      <w:tr>
        <w:trPr>
          <w:trHeight w:val="118"/>
        </w:trPr>
        <w:tc>
          <w:tcPr>
            <w:tcW w:w="20" w:type="dxa"/>
            <w:vAlign w:val="bottom"/>
          </w:tcPr>
          <w:p>
            <w:pPr>
              <w:spacing w:after="0"/>
              <w:rPr>
                <w:sz w:val="10"/>
                <w:szCs w:val="10"/>
                <w:color w:val="auto"/>
              </w:rPr>
            </w:pPr>
          </w:p>
        </w:tc>
        <w:tc>
          <w:tcPr>
            <w:tcW w:w="180" w:type="dxa"/>
            <w:vAlign w:val="bottom"/>
            <w:tcBorders>
              <w:top w:val="single" w:sz="8" w:color="0000FF"/>
            </w:tcBorders>
          </w:tcPr>
          <w:p>
            <w:pPr>
              <w:spacing w:after="0"/>
              <w:rPr>
                <w:sz w:val="10"/>
                <w:szCs w:val="10"/>
                <w:color w:val="auto"/>
              </w:rPr>
            </w:pPr>
          </w:p>
        </w:tc>
        <w:tc>
          <w:tcPr>
            <w:tcW w:w="40" w:type="dxa"/>
            <w:vAlign w:val="bottom"/>
            <w:tcBorders>
              <w:top w:val="single" w:sz="8" w:color="0000FF"/>
            </w:tcBorders>
          </w:tcPr>
          <w:p>
            <w:pPr>
              <w:spacing w:after="0"/>
              <w:rPr>
                <w:sz w:val="10"/>
                <w:szCs w:val="10"/>
                <w:color w:val="auto"/>
              </w:rPr>
            </w:pPr>
          </w:p>
        </w:tc>
        <w:tc>
          <w:tcPr>
            <w:tcW w:w="40" w:type="dxa"/>
            <w:vAlign w:val="bottom"/>
            <w:tcBorders>
              <w:top w:val="single" w:sz="8" w:color="0000FF"/>
            </w:tcBorders>
          </w:tcPr>
          <w:p>
            <w:pPr>
              <w:spacing w:after="0"/>
              <w:rPr>
                <w:sz w:val="10"/>
                <w:szCs w:val="10"/>
                <w:color w:val="auto"/>
              </w:rPr>
            </w:pPr>
          </w:p>
        </w:tc>
        <w:tc>
          <w:tcPr>
            <w:tcW w:w="60" w:type="dxa"/>
            <w:vAlign w:val="bottom"/>
            <w:tcBorders>
              <w:top w:val="single" w:sz="8" w:color="0000FF"/>
            </w:tcBorders>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860" w:type="dxa"/>
            <w:vAlign w:val="bottom"/>
            <w:tcBorders>
              <w:top w:val="single" w:sz="8" w:color="0000FF"/>
            </w:tcBorders>
            <w:gridSpan w:val="17"/>
          </w:tcPr>
          <w:p>
            <w:pPr>
              <w:spacing w:after="0" w:line="118" w:lineRule="exact"/>
              <w:rPr>
                <w:rFonts w:ascii="Times New Roman" w:cs="Times New Roman" w:eastAsia="Times New Roman" w:hAnsi="Times New Roman"/>
                <w:sz w:val="13"/>
                <w:szCs w:val="13"/>
                <w:color w:val="0000FF"/>
              </w:rPr>
            </w:pPr>
            <w:hyperlink r:id="rId102">
              <w:r>
                <w:rPr>
                  <w:rFonts w:ascii="Times New Roman" w:cs="Times New Roman" w:eastAsia="Times New Roman" w:hAnsi="Times New Roman"/>
                  <w:sz w:val="13"/>
                  <w:szCs w:val="13"/>
                  <w:color w:val="0000FF"/>
                </w:rPr>
                <w:t>Report on Form 10-K filed with the SEC on September 4, 2012).</w:t>
              </w:r>
            </w:hyperlink>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gridSpan w:val="3"/>
          </w:tcPr>
          <w:p>
            <w:pPr>
              <w:spacing w:after="0"/>
              <w:rPr>
                <w:sz w:val="10"/>
                <w:szCs w:val="10"/>
                <w:color w:val="auto"/>
              </w:rPr>
            </w:pPr>
          </w:p>
        </w:tc>
        <w:tc>
          <w:tcPr>
            <w:tcW w:w="100" w:type="dxa"/>
            <w:vAlign w:val="bottom"/>
            <w:gridSpan w:val="5"/>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20"/>
        </w:trPr>
        <w:tc>
          <w:tcPr>
            <w:tcW w:w="420" w:type="dxa"/>
            <w:vAlign w:val="bottom"/>
            <w:gridSpan w:val="6"/>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6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80" w:type="dxa"/>
            <w:vAlign w:val="bottom"/>
            <w:gridSpan w:val="4"/>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1"/>
        </w:trPr>
        <w:tc>
          <w:tcPr>
            <w:tcW w:w="420" w:type="dxa"/>
            <w:vAlign w:val="bottom"/>
            <w:gridSpan w:val="6"/>
          </w:tcPr>
          <w:p>
            <w:pPr>
              <w:ind w:left="20"/>
              <w:spacing w:after="0"/>
              <w:rPr>
                <w:rFonts w:ascii="Times New Roman" w:cs="Times New Roman" w:eastAsia="Times New Roman" w:hAnsi="Times New Roman"/>
                <w:sz w:val="14"/>
                <w:szCs w:val="14"/>
                <w:color w:val="0000FF"/>
              </w:rPr>
            </w:pPr>
            <w:hyperlink r:id="rId103">
              <w:r>
                <w:rPr>
                  <w:rFonts w:ascii="Times New Roman" w:cs="Times New Roman" w:eastAsia="Times New Roman" w:hAnsi="Times New Roman"/>
                  <w:sz w:val="14"/>
                  <w:szCs w:val="14"/>
                  <w:color w:val="0000FF"/>
                </w:rPr>
                <w:t>10.</w:t>
              </w:r>
              <w:r>
                <w:rPr>
                  <w:rFonts w:ascii="Times New Roman" w:cs="Times New Roman" w:eastAsia="Times New Roman" w:hAnsi="Times New Roman"/>
                  <w:sz w:val="14"/>
                  <w:szCs w:val="14"/>
                  <w:u w:val="single" w:color="auto"/>
                  <w:color w:val="0000FF"/>
                </w:rPr>
                <w:t>4*</w:t>
              </w:r>
            </w:hyperlink>
          </w:p>
        </w:tc>
        <w:tc>
          <w:tcPr>
            <w:tcW w:w="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300" w:type="dxa"/>
            <w:vAlign w:val="bottom"/>
            <w:gridSpan w:val="35"/>
          </w:tcPr>
          <w:p>
            <w:pPr>
              <w:spacing w:after="0"/>
              <w:rPr>
                <w:rFonts w:ascii="Times New Roman" w:cs="Times New Roman" w:eastAsia="Times New Roman" w:hAnsi="Times New Roman"/>
                <w:sz w:val="14"/>
                <w:szCs w:val="14"/>
                <w:color w:val="0000FF"/>
              </w:rPr>
            </w:pPr>
            <w:hyperlink r:id="rId103">
              <w:r>
                <w:rPr>
                  <w:rFonts w:ascii="Times New Roman" w:cs="Times New Roman" w:eastAsia="Times New Roman" w:hAnsi="Times New Roman"/>
                  <w:sz w:val="14"/>
                  <w:szCs w:val="14"/>
                  <w:color w:val="0000FF"/>
                </w:rPr>
                <w:t>2012 Long-Term Incentive Plan, amended and restated effective as of November 21, 2017 (incorporated by reference to Dycom Industries, Inc.’s Definitive Proxy Statement filed</w:t>
              </w:r>
            </w:hyperlink>
          </w:p>
        </w:tc>
      </w:tr>
      <w:tr>
        <w:trPr>
          <w:trHeight w:val="118"/>
        </w:trPr>
        <w:tc>
          <w:tcPr>
            <w:tcW w:w="20" w:type="dxa"/>
            <w:vAlign w:val="bottom"/>
          </w:tcPr>
          <w:p>
            <w:pPr>
              <w:spacing w:after="0"/>
              <w:rPr>
                <w:sz w:val="10"/>
                <w:szCs w:val="10"/>
                <w:color w:val="auto"/>
              </w:rPr>
            </w:pPr>
          </w:p>
        </w:tc>
        <w:tc>
          <w:tcPr>
            <w:tcW w:w="180" w:type="dxa"/>
            <w:vAlign w:val="bottom"/>
            <w:tcBorders>
              <w:top w:val="single" w:sz="8" w:color="0000FF"/>
            </w:tcBorders>
          </w:tcPr>
          <w:p>
            <w:pPr>
              <w:spacing w:after="0"/>
              <w:rPr>
                <w:sz w:val="10"/>
                <w:szCs w:val="10"/>
                <w:color w:val="auto"/>
              </w:rPr>
            </w:pPr>
          </w:p>
        </w:tc>
        <w:tc>
          <w:tcPr>
            <w:tcW w:w="40" w:type="dxa"/>
            <w:vAlign w:val="bottom"/>
            <w:tcBorders>
              <w:top w:val="single" w:sz="8" w:color="0000FF"/>
            </w:tcBorders>
          </w:tcPr>
          <w:p>
            <w:pPr>
              <w:spacing w:after="0"/>
              <w:rPr>
                <w:sz w:val="10"/>
                <w:szCs w:val="10"/>
                <w:color w:val="auto"/>
              </w:rPr>
            </w:pPr>
          </w:p>
        </w:tc>
        <w:tc>
          <w:tcPr>
            <w:tcW w:w="40" w:type="dxa"/>
            <w:vAlign w:val="bottom"/>
            <w:tcBorders>
              <w:top w:val="single" w:sz="8" w:color="0000FF"/>
            </w:tcBorders>
          </w:tcPr>
          <w:p>
            <w:pPr>
              <w:spacing w:after="0"/>
              <w:rPr>
                <w:sz w:val="10"/>
                <w:szCs w:val="10"/>
                <w:color w:val="auto"/>
              </w:rPr>
            </w:pPr>
          </w:p>
        </w:tc>
        <w:tc>
          <w:tcPr>
            <w:tcW w:w="60" w:type="dxa"/>
            <w:vAlign w:val="bottom"/>
            <w:tcBorders>
              <w:top w:val="single" w:sz="8" w:color="0000FF"/>
            </w:tcBorders>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 w:type="dxa"/>
            <w:vAlign w:val="bottom"/>
            <w:tcBorders>
              <w:bottom w:val="single" w:sz="8" w:color="0000FF"/>
            </w:tcBorders>
          </w:tcPr>
          <w:p>
            <w:pPr>
              <w:spacing w:after="0"/>
              <w:rPr>
                <w:sz w:val="10"/>
                <w:szCs w:val="10"/>
                <w:color w:val="auto"/>
              </w:rPr>
            </w:pPr>
          </w:p>
        </w:tc>
        <w:tc>
          <w:tcPr>
            <w:tcW w:w="2020" w:type="dxa"/>
            <w:vAlign w:val="bottom"/>
            <w:tcBorders>
              <w:top w:val="single" w:sz="8" w:color="0000FF"/>
              <w:bottom w:val="single" w:sz="8" w:color="0000FF"/>
            </w:tcBorders>
            <w:gridSpan w:val="4"/>
          </w:tcPr>
          <w:p>
            <w:pPr>
              <w:spacing w:after="0" w:line="118" w:lineRule="exact"/>
              <w:rPr>
                <w:rFonts w:ascii="Times New Roman" w:cs="Times New Roman" w:eastAsia="Times New Roman" w:hAnsi="Times New Roman"/>
                <w:sz w:val="13"/>
                <w:szCs w:val="13"/>
                <w:color w:val="0000FF"/>
              </w:rPr>
            </w:pPr>
            <w:hyperlink r:id="rId103">
              <w:r>
                <w:rPr>
                  <w:rFonts w:ascii="Times New Roman" w:cs="Times New Roman" w:eastAsia="Times New Roman" w:hAnsi="Times New Roman"/>
                  <w:sz w:val="13"/>
                  <w:szCs w:val="13"/>
                  <w:color w:val="0000FF"/>
                </w:rPr>
                <w:t>with the SEC on October 12, 2017).</w:t>
              </w:r>
            </w:hyperlink>
          </w:p>
        </w:tc>
        <w:tc>
          <w:tcPr>
            <w:tcW w:w="8040" w:type="dxa"/>
            <w:vAlign w:val="bottom"/>
            <w:tcBorders>
              <w:top w:val="single" w:sz="8" w:color="0000FF"/>
            </w:tcBorders>
            <w:gridSpan w:val="19"/>
          </w:tcPr>
          <w:p>
            <w:pPr>
              <w:spacing w:after="0"/>
              <w:rPr>
                <w:sz w:val="10"/>
                <w:szCs w:val="10"/>
                <w:color w:val="auto"/>
              </w:rPr>
            </w:pPr>
          </w:p>
        </w:tc>
        <w:tc>
          <w:tcPr>
            <w:tcW w:w="60" w:type="dxa"/>
            <w:vAlign w:val="bottom"/>
            <w:gridSpan w:val="3"/>
          </w:tcPr>
          <w:p>
            <w:pPr>
              <w:spacing w:after="0"/>
              <w:rPr>
                <w:sz w:val="10"/>
                <w:szCs w:val="10"/>
                <w:color w:val="auto"/>
              </w:rPr>
            </w:pPr>
          </w:p>
        </w:tc>
        <w:tc>
          <w:tcPr>
            <w:tcW w:w="100" w:type="dxa"/>
            <w:vAlign w:val="bottom"/>
            <w:gridSpan w:val="5"/>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171"/>
        </w:trPr>
        <w:tc>
          <w:tcPr>
            <w:tcW w:w="420" w:type="dxa"/>
            <w:vAlign w:val="bottom"/>
            <w:gridSpan w:val="6"/>
          </w:tcPr>
          <w:p>
            <w:pPr>
              <w:ind w:left="20"/>
              <w:spacing w:after="0"/>
              <w:rPr>
                <w:rFonts w:ascii="Times New Roman" w:cs="Times New Roman" w:eastAsia="Times New Roman" w:hAnsi="Times New Roman"/>
                <w:sz w:val="14"/>
                <w:szCs w:val="14"/>
                <w:color w:val="0000FF"/>
              </w:rPr>
            </w:pPr>
            <w:hyperlink r:id="rId104">
              <w:r>
                <w:rPr>
                  <w:rFonts w:ascii="Times New Roman" w:cs="Times New Roman" w:eastAsia="Times New Roman" w:hAnsi="Times New Roman"/>
                  <w:sz w:val="14"/>
                  <w:szCs w:val="14"/>
                  <w:color w:val="0000FF"/>
                </w:rPr>
                <w:t>10.</w:t>
              </w:r>
              <w:r>
                <w:rPr>
                  <w:rFonts w:ascii="Times New Roman" w:cs="Times New Roman" w:eastAsia="Times New Roman" w:hAnsi="Times New Roman"/>
                  <w:sz w:val="14"/>
                  <w:szCs w:val="14"/>
                  <w:u w:val="single" w:color="auto"/>
                  <w:color w:val="0000FF"/>
                </w:rPr>
                <w:t>5*</w:t>
              </w:r>
            </w:hyperlink>
          </w:p>
        </w:tc>
        <w:tc>
          <w:tcPr>
            <w:tcW w:w="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300" w:type="dxa"/>
            <w:vAlign w:val="bottom"/>
            <w:gridSpan w:val="35"/>
          </w:tcPr>
          <w:p>
            <w:pPr>
              <w:spacing w:after="0"/>
              <w:rPr>
                <w:rFonts w:ascii="Times New Roman" w:cs="Times New Roman" w:eastAsia="Times New Roman" w:hAnsi="Times New Roman"/>
                <w:sz w:val="14"/>
                <w:szCs w:val="14"/>
                <w:color w:val="0000FF"/>
              </w:rPr>
            </w:pPr>
            <w:hyperlink r:id="rId104">
              <w:r>
                <w:rPr>
                  <w:rFonts w:ascii="Times New Roman" w:cs="Times New Roman" w:eastAsia="Times New Roman" w:hAnsi="Times New Roman"/>
                  <w:sz w:val="14"/>
                  <w:szCs w:val="14"/>
                  <w:color w:val="0000FF"/>
                </w:rPr>
                <w:t>Amendment to the Dycom Industries, Inc. 2012 Long-Term Incentive Plan, as amended and restated as of November 21, 2017 (incorporated by reference to Appendix A of the</w:t>
              </w:r>
            </w:hyperlink>
          </w:p>
        </w:tc>
      </w:tr>
      <w:tr>
        <w:trPr>
          <w:trHeight w:val="118"/>
        </w:trPr>
        <w:tc>
          <w:tcPr>
            <w:tcW w:w="20" w:type="dxa"/>
            <w:vAlign w:val="bottom"/>
          </w:tcPr>
          <w:p>
            <w:pPr>
              <w:spacing w:after="0"/>
              <w:rPr>
                <w:sz w:val="10"/>
                <w:szCs w:val="10"/>
                <w:color w:val="auto"/>
              </w:rPr>
            </w:pPr>
          </w:p>
        </w:tc>
        <w:tc>
          <w:tcPr>
            <w:tcW w:w="180" w:type="dxa"/>
            <w:vAlign w:val="bottom"/>
            <w:tcBorders>
              <w:top w:val="single" w:sz="8" w:color="0000FF"/>
            </w:tcBorders>
          </w:tcPr>
          <w:p>
            <w:pPr>
              <w:spacing w:after="0"/>
              <w:rPr>
                <w:sz w:val="10"/>
                <w:szCs w:val="10"/>
                <w:color w:val="auto"/>
              </w:rPr>
            </w:pPr>
          </w:p>
        </w:tc>
        <w:tc>
          <w:tcPr>
            <w:tcW w:w="40" w:type="dxa"/>
            <w:vAlign w:val="bottom"/>
            <w:tcBorders>
              <w:top w:val="single" w:sz="8" w:color="0000FF"/>
            </w:tcBorders>
          </w:tcPr>
          <w:p>
            <w:pPr>
              <w:spacing w:after="0"/>
              <w:rPr>
                <w:sz w:val="10"/>
                <w:szCs w:val="10"/>
                <w:color w:val="auto"/>
              </w:rPr>
            </w:pPr>
          </w:p>
        </w:tc>
        <w:tc>
          <w:tcPr>
            <w:tcW w:w="40" w:type="dxa"/>
            <w:vAlign w:val="bottom"/>
            <w:tcBorders>
              <w:top w:val="single" w:sz="8" w:color="0000FF"/>
            </w:tcBorders>
          </w:tcPr>
          <w:p>
            <w:pPr>
              <w:spacing w:after="0"/>
              <w:rPr>
                <w:sz w:val="10"/>
                <w:szCs w:val="10"/>
                <w:color w:val="auto"/>
              </w:rPr>
            </w:pPr>
          </w:p>
        </w:tc>
        <w:tc>
          <w:tcPr>
            <w:tcW w:w="60" w:type="dxa"/>
            <w:vAlign w:val="bottom"/>
            <w:tcBorders>
              <w:top w:val="single" w:sz="8" w:color="0000FF"/>
            </w:tcBorders>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9920" w:type="dxa"/>
            <w:vAlign w:val="bottom"/>
            <w:tcBorders>
              <w:top w:val="single" w:sz="8" w:color="0000FF"/>
            </w:tcBorders>
            <w:gridSpan w:val="20"/>
          </w:tcPr>
          <w:p>
            <w:pPr>
              <w:spacing w:after="0" w:line="118" w:lineRule="exact"/>
              <w:rPr>
                <w:rFonts w:ascii="Times New Roman" w:cs="Times New Roman" w:eastAsia="Times New Roman" w:hAnsi="Times New Roman"/>
                <w:sz w:val="13"/>
                <w:szCs w:val="13"/>
                <w:color w:val="0000FF"/>
              </w:rPr>
            </w:pPr>
            <w:hyperlink r:id="rId104">
              <w:r>
                <w:rPr>
                  <w:rFonts w:ascii="Times New Roman" w:cs="Times New Roman" w:eastAsia="Times New Roman" w:hAnsi="Times New Roman"/>
                  <w:sz w:val="13"/>
                  <w:szCs w:val="13"/>
                  <w:color w:val="0000FF"/>
                </w:rPr>
                <w:t>Dycom Industries, Inc.’s Definitive Proxy Statement, filed with the SEC on April 11, 2019).</w:t>
              </w:r>
            </w:hyperlink>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gridSpan w:val="4"/>
          </w:tcPr>
          <w:p>
            <w:pPr>
              <w:spacing w:after="0"/>
              <w:rPr>
                <w:sz w:val="10"/>
                <w:szCs w:val="10"/>
                <w:color w:val="auto"/>
              </w:rPr>
            </w:pPr>
          </w:p>
        </w:tc>
        <w:tc>
          <w:tcPr>
            <w:tcW w:w="100" w:type="dxa"/>
            <w:vAlign w:val="bottom"/>
            <w:gridSpan w:val="5"/>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20"/>
        </w:trPr>
        <w:tc>
          <w:tcPr>
            <w:tcW w:w="420" w:type="dxa"/>
            <w:vAlign w:val="bottom"/>
            <w:gridSpan w:val="6"/>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6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80" w:type="dxa"/>
            <w:vAlign w:val="bottom"/>
            <w:gridSpan w:val="4"/>
            <w:shd w:val="clear" w:color="auto" w:fill="0000FF"/>
          </w:tcPr>
          <w:p>
            <w:pPr>
              <w:spacing w:after="0" w:line="20" w:lineRule="exact"/>
              <w:rPr>
                <w:sz w:val="1"/>
                <w:szCs w:val="1"/>
                <w:color w:val="auto"/>
              </w:rPr>
            </w:pPr>
          </w:p>
        </w:tc>
        <w:tc>
          <w:tcPr>
            <w:tcW w:w="1700" w:type="dxa"/>
            <w:vAlign w:val="bottom"/>
            <w:gridSpan w:val="3"/>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1"/>
        </w:trPr>
        <w:tc>
          <w:tcPr>
            <w:tcW w:w="420" w:type="dxa"/>
            <w:vAlign w:val="bottom"/>
            <w:gridSpan w:val="6"/>
          </w:tcPr>
          <w:p>
            <w:pPr>
              <w:ind w:left="20"/>
              <w:spacing w:after="0"/>
              <w:rPr>
                <w:rFonts w:ascii="Times New Roman" w:cs="Times New Roman" w:eastAsia="Times New Roman" w:hAnsi="Times New Roman"/>
                <w:sz w:val="14"/>
                <w:szCs w:val="14"/>
                <w:color w:val="0000FF"/>
              </w:rPr>
            </w:pPr>
            <w:hyperlink r:id="rId105">
              <w:r>
                <w:rPr>
                  <w:rFonts w:ascii="Times New Roman" w:cs="Times New Roman" w:eastAsia="Times New Roman" w:hAnsi="Times New Roman"/>
                  <w:sz w:val="14"/>
                  <w:szCs w:val="14"/>
                  <w:color w:val="0000FF"/>
                </w:rPr>
                <w:t>10.</w:t>
              </w:r>
              <w:r>
                <w:rPr>
                  <w:rFonts w:ascii="Times New Roman" w:cs="Times New Roman" w:eastAsia="Times New Roman" w:hAnsi="Times New Roman"/>
                  <w:sz w:val="14"/>
                  <w:szCs w:val="14"/>
                  <w:u w:val="single" w:color="auto"/>
                  <w:color w:val="0000FF"/>
                </w:rPr>
                <w:t>6*</w:t>
              </w:r>
            </w:hyperlink>
          </w:p>
        </w:tc>
        <w:tc>
          <w:tcPr>
            <w:tcW w:w="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300" w:type="dxa"/>
            <w:vAlign w:val="bottom"/>
            <w:gridSpan w:val="35"/>
          </w:tcPr>
          <w:p>
            <w:pPr>
              <w:spacing w:after="0"/>
              <w:rPr>
                <w:rFonts w:ascii="Times New Roman" w:cs="Times New Roman" w:eastAsia="Times New Roman" w:hAnsi="Times New Roman"/>
                <w:sz w:val="14"/>
                <w:szCs w:val="14"/>
                <w:color w:val="0000FF"/>
              </w:rPr>
            </w:pPr>
            <w:hyperlink r:id="rId105">
              <w:r>
                <w:rPr>
                  <w:rFonts w:ascii="Times New Roman" w:cs="Times New Roman" w:eastAsia="Times New Roman" w:hAnsi="Times New Roman"/>
                  <w:sz w:val="14"/>
                  <w:szCs w:val="14"/>
                  <w:color w:val="0000FF"/>
                </w:rPr>
                <w:t>Amendment to the Dycom Industries, Inc. 2012 Long-Term Incentive Plan, as amended and restated as of May 26, 2022 (incorporated by reference to Appendix A of the Dycom</w:t>
              </w:r>
            </w:hyperlink>
          </w:p>
        </w:tc>
      </w:tr>
      <w:tr>
        <w:trPr>
          <w:trHeight w:val="118"/>
        </w:trPr>
        <w:tc>
          <w:tcPr>
            <w:tcW w:w="20" w:type="dxa"/>
            <w:vAlign w:val="bottom"/>
          </w:tcPr>
          <w:p>
            <w:pPr>
              <w:spacing w:after="0"/>
              <w:rPr>
                <w:sz w:val="10"/>
                <w:szCs w:val="10"/>
                <w:color w:val="auto"/>
              </w:rPr>
            </w:pPr>
          </w:p>
        </w:tc>
        <w:tc>
          <w:tcPr>
            <w:tcW w:w="180" w:type="dxa"/>
            <w:vAlign w:val="bottom"/>
            <w:tcBorders>
              <w:top w:val="single" w:sz="8" w:color="0000FF"/>
            </w:tcBorders>
          </w:tcPr>
          <w:p>
            <w:pPr>
              <w:spacing w:after="0"/>
              <w:rPr>
                <w:sz w:val="10"/>
                <w:szCs w:val="10"/>
                <w:color w:val="auto"/>
              </w:rPr>
            </w:pPr>
          </w:p>
        </w:tc>
        <w:tc>
          <w:tcPr>
            <w:tcW w:w="40" w:type="dxa"/>
            <w:vAlign w:val="bottom"/>
            <w:tcBorders>
              <w:top w:val="single" w:sz="8" w:color="0000FF"/>
            </w:tcBorders>
          </w:tcPr>
          <w:p>
            <w:pPr>
              <w:spacing w:after="0"/>
              <w:rPr>
                <w:sz w:val="10"/>
                <w:szCs w:val="10"/>
                <w:color w:val="auto"/>
              </w:rPr>
            </w:pPr>
          </w:p>
        </w:tc>
        <w:tc>
          <w:tcPr>
            <w:tcW w:w="40" w:type="dxa"/>
            <w:vAlign w:val="bottom"/>
            <w:tcBorders>
              <w:top w:val="single" w:sz="8" w:color="0000FF"/>
            </w:tcBorders>
          </w:tcPr>
          <w:p>
            <w:pPr>
              <w:spacing w:after="0"/>
              <w:rPr>
                <w:sz w:val="10"/>
                <w:szCs w:val="10"/>
                <w:color w:val="auto"/>
              </w:rPr>
            </w:pPr>
          </w:p>
        </w:tc>
        <w:tc>
          <w:tcPr>
            <w:tcW w:w="60" w:type="dxa"/>
            <w:vAlign w:val="bottom"/>
            <w:tcBorders>
              <w:top w:val="single" w:sz="8" w:color="0000FF"/>
            </w:tcBorders>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00" w:type="dxa"/>
            <w:vAlign w:val="bottom"/>
            <w:tcBorders>
              <w:top w:val="single" w:sz="8" w:color="0000FF"/>
            </w:tcBorders>
            <w:gridSpan w:val="22"/>
          </w:tcPr>
          <w:p>
            <w:pPr>
              <w:spacing w:after="0" w:line="118" w:lineRule="exact"/>
              <w:rPr>
                <w:rFonts w:ascii="Times New Roman" w:cs="Times New Roman" w:eastAsia="Times New Roman" w:hAnsi="Times New Roman"/>
                <w:sz w:val="13"/>
                <w:szCs w:val="13"/>
                <w:color w:val="0000FF"/>
              </w:rPr>
            </w:pPr>
            <w:hyperlink r:id="rId105">
              <w:r>
                <w:rPr>
                  <w:rFonts w:ascii="Times New Roman" w:cs="Times New Roman" w:eastAsia="Times New Roman" w:hAnsi="Times New Roman"/>
                  <w:sz w:val="13"/>
                  <w:szCs w:val="13"/>
                  <w:color w:val="0000FF"/>
                </w:rPr>
                <w:t>Industries, Inc.’s Definitive Proxy Statement, filed with the SEC on April 15, 2022).</w:t>
              </w:r>
            </w:hyperlink>
          </w:p>
        </w:tc>
        <w:tc>
          <w:tcPr>
            <w:tcW w:w="120" w:type="dxa"/>
            <w:vAlign w:val="bottom"/>
            <w:gridSpan w:val="4"/>
          </w:tcPr>
          <w:p>
            <w:pPr>
              <w:spacing w:after="0"/>
              <w:rPr>
                <w:sz w:val="10"/>
                <w:szCs w:val="10"/>
                <w:color w:val="auto"/>
              </w:rPr>
            </w:pPr>
          </w:p>
        </w:tc>
        <w:tc>
          <w:tcPr>
            <w:tcW w:w="100" w:type="dxa"/>
            <w:vAlign w:val="bottom"/>
            <w:gridSpan w:val="5"/>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20"/>
        </w:trPr>
        <w:tc>
          <w:tcPr>
            <w:tcW w:w="420" w:type="dxa"/>
            <w:vAlign w:val="bottom"/>
            <w:gridSpan w:val="6"/>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6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80" w:type="dxa"/>
            <w:vAlign w:val="bottom"/>
            <w:gridSpan w:val="4"/>
            <w:shd w:val="clear" w:color="auto" w:fill="0000FF"/>
          </w:tcPr>
          <w:p>
            <w:pPr>
              <w:spacing w:after="0" w:line="20" w:lineRule="exact"/>
              <w:rPr>
                <w:sz w:val="1"/>
                <w:szCs w:val="1"/>
                <w:color w:val="auto"/>
              </w:rPr>
            </w:pPr>
          </w:p>
        </w:tc>
        <w:tc>
          <w:tcPr>
            <w:tcW w:w="1700" w:type="dxa"/>
            <w:vAlign w:val="bottom"/>
            <w:gridSpan w:val="3"/>
            <w:shd w:val="clear" w:color="auto" w:fill="0000FF"/>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5"/>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1"/>
        </w:trPr>
        <w:tc>
          <w:tcPr>
            <w:tcW w:w="420" w:type="dxa"/>
            <w:vAlign w:val="bottom"/>
            <w:gridSpan w:val="6"/>
          </w:tcPr>
          <w:p>
            <w:pPr>
              <w:ind w:left="20"/>
              <w:spacing w:after="0"/>
              <w:rPr>
                <w:rFonts w:ascii="Times New Roman" w:cs="Times New Roman" w:eastAsia="Times New Roman" w:hAnsi="Times New Roman"/>
                <w:sz w:val="14"/>
                <w:szCs w:val="14"/>
                <w:color w:val="0000FF"/>
              </w:rPr>
            </w:pPr>
            <w:hyperlink r:id="rId106">
              <w:r>
                <w:rPr>
                  <w:rFonts w:ascii="Times New Roman" w:cs="Times New Roman" w:eastAsia="Times New Roman" w:hAnsi="Times New Roman"/>
                  <w:sz w:val="14"/>
                  <w:szCs w:val="14"/>
                  <w:color w:val="0000FF"/>
                </w:rPr>
                <w:t>10.</w:t>
              </w:r>
              <w:r>
                <w:rPr>
                  <w:rFonts w:ascii="Times New Roman" w:cs="Times New Roman" w:eastAsia="Times New Roman" w:hAnsi="Times New Roman"/>
                  <w:sz w:val="14"/>
                  <w:szCs w:val="14"/>
                  <w:u w:val="single" w:color="auto"/>
                  <w:color w:val="0000FF"/>
                </w:rPr>
                <w:t>7*</w:t>
              </w:r>
            </w:hyperlink>
          </w:p>
        </w:tc>
        <w:tc>
          <w:tcPr>
            <w:tcW w:w="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300" w:type="dxa"/>
            <w:vAlign w:val="bottom"/>
            <w:gridSpan w:val="35"/>
          </w:tcPr>
          <w:p>
            <w:pPr>
              <w:spacing w:after="0"/>
              <w:rPr>
                <w:rFonts w:ascii="Times New Roman" w:cs="Times New Roman" w:eastAsia="Times New Roman" w:hAnsi="Times New Roman"/>
                <w:sz w:val="14"/>
                <w:szCs w:val="14"/>
                <w:color w:val="0000FF"/>
              </w:rPr>
            </w:pPr>
            <w:hyperlink r:id="rId106">
              <w:r>
                <w:rPr>
                  <w:rFonts w:ascii="Times New Roman" w:cs="Times New Roman" w:eastAsia="Times New Roman" w:hAnsi="Times New Roman"/>
                  <w:sz w:val="14"/>
                  <w:szCs w:val="14"/>
                  <w:color w:val="0000FF"/>
                </w:rPr>
                <w:t>Form of Non-Qualified Stock Option Agreement under the 2012 Long-Term Incentive Plan (incorporated by reference to Dycom Industries, Inc.’s Current Report on Form 8-K filed</w:t>
              </w:r>
            </w:hyperlink>
          </w:p>
        </w:tc>
      </w:tr>
      <w:tr>
        <w:trPr>
          <w:trHeight w:val="118"/>
        </w:trPr>
        <w:tc>
          <w:tcPr>
            <w:tcW w:w="20" w:type="dxa"/>
            <w:vAlign w:val="bottom"/>
          </w:tcPr>
          <w:p>
            <w:pPr>
              <w:spacing w:after="0"/>
              <w:rPr>
                <w:sz w:val="10"/>
                <w:szCs w:val="10"/>
                <w:color w:val="auto"/>
              </w:rPr>
            </w:pPr>
          </w:p>
        </w:tc>
        <w:tc>
          <w:tcPr>
            <w:tcW w:w="180" w:type="dxa"/>
            <w:vAlign w:val="bottom"/>
            <w:tcBorders>
              <w:top w:val="single" w:sz="8" w:color="0000FF"/>
            </w:tcBorders>
          </w:tcPr>
          <w:p>
            <w:pPr>
              <w:spacing w:after="0"/>
              <w:rPr>
                <w:sz w:val="10"/>
                <w:szCs w:val="10"/>
                <w:color w:val="auto"/>
              </w:rPr>
            </w:pPr>
          </w:p>
        </w:tc>
        <w:tc>
          <w:tcPr>
            <w:tcW w:w="40" w:type="dxa"/>
            <w:vAlign w:val="bottom"/>
            <w:tcBorders>
              <w:top w:val="single" w:sz="8" w:color="0000FF"/>
            </w:tcBorders>
          </w:tcPr>
          <w:p>
            <w:pPr>
              <w:spacing w:after="0"/>
              <w:rPr>
                <w:sz w:val="10"/>
                <w:szCs w:val="10"/>
                <w:color w:val="auto"/>
              </w:rPr>
            </w:pPr>
          </w:p>
        </w:tc>
        <w:tc>
          <w:tcPr>
            <w:tcW w:w="40" w:type="dxa"/>
            <w:vAlign w:val="bottom"/>
            <w:tcBorders>
              <w:top w:val="single" w:sz="8" w:color="0000FF"/>
            </w:tcBorders>
          </w:tcPr>
          <w:p>
            <w:pPr>
              <w:spacing w:after="0"/>
              <w:rPr>
                <w:sz w:val="10"/>
                <w:szCs w:val="10"/>
                <w:color w:val="auto"/>
              </w:rPr>
            </w:pPr>
          </w:p>
        </w:tc>
        <w:tc>
          <w:tcPr>
            <w:tcW w:w="60" w:type="dxa"/>
            <w:vAlign w:val="bottom"/>
            <w:tcBorders>
              <w:top w:val="single" w:sz="8" w:color="0000FF"/>
            </w:tcBorders>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 w:type="dxa"/>
            <w:vAlign w:val="bottom"/>
            <w:tcBorders>
              <w:bottom w:val="single" w:sz="8" w:color="0000FF"/>
            </w:tcBorders>
          </w:tcPr>
          <w:p>
            <w:pPr>
              <w:spacing w:after="0"/>
              <w:rPr>
                <w:sz w:val="10"/>
                <w:szCs w:val="10"/>
                <w:color w:val="auto"/>
              </w:rPr>
            </w:pPr>
          </w:p>
        </w:tc>
        <w:tc>
          <w:tcPr>
            <w:tcW w:w="2160" w:type="dxa"/>
            <w:vAlign w:val="bottom"/>
            <w:tcBorders>
              <w:top w:val="single" w:sz="8" w:color="0000FF"/>
              <w:bottom w:val="single" w:sz="8" w:color="0000FF"/>
            </w:tcBorders>
            <w:gridSpan w:val="6"/>
          </w:tcPr>
          <w:p>
            <w:pPr>
              <w:spacing w:after="0" w:line="118" w:lineRule="exact"/>
              <w:rPr>
                <w:rFonts w:ascii="Times New Roman" w:cs="Times New Roman" w:eastAsia="Times New Roman" w:hAnsi="Times New Roman"/>
                <w:sz w:val="13"/>
                <w:szCs w:val="13"/>
                <w:color w:val="0000FF"/>
              </w:rPr>
            </w:pPr>
            <w:hyperlink r:id="rId106">
              <w:r>
                <w:rPr>
                  <w:rFonts w:ascii="Times New Roman" w:cs="Times New Roman" w:eastAsia="Times New Roman" w:hAnsi="Times New Roman"/>
                  <w:sz w:val="13"/>
                  <w:szCs w:val="13"/>
                  <w:color w:val="0000FF"/>
                </w:rPr>
                <w:t>with the SEC on December 20, 2012).</w:t>
              </w:r>
            </w:hyperlink>
          </w:p>
        </w:tc>
        <w:tc>
          <w:tcPr>
            <w:tcW w:w="8100" w:type="dxa"/>
            <w:vAlign w:val="bottom"/>
            <w:tcBorders>
              <w:top w:val="single" w:sz="8" w:color="0000FF"/>
            </w:tcBorders>
            <w:gridSpan w:val="27"/>
          </w:tcPr>
          <w:p>
            <w:pPr>
              <w:spacing w:after="0"/>
              <w:rPr>
                <w:sz w:val="10"/>
                <w:szCs w:val="10"/>
                <w:color w:val="auto"/>
              </w:rPr>
            </w:pPr>
          </w:p>
        </w:tc>
        <w:tc>
          <w:tcPr>
            <w:tcW w:w="20" w:type="dxa"/>
            <w:vAlign w:val="bottom"/>
          </w:tcPr>
          <w:p>
            <w:pPr>
              <w:spacing w:after="0"/>
              <w:rPr>
                <w:sz w:val="10"/>
                <w:szCs w:val="10"/>
                <w:color w:val="auto"/>
              </w:rPr>
            </w:pPr>
          </w:p>
        </w:tc>
      </w:tr>
      <w:tr>
        <w:trPr>
          <w:trHeight w:val="171"/>
        </w:trPr>
        <w:tc>
          <w:tcPr>
            <w:tcW w:w="420" w:type="dxa"/>
            <w:vAlign w:val="bottom"/>
            <w:gridSpan w:val="6"/>
          </w:tcPr>
          <w:p>
            <w:pPr>
              <w:ind w:left="20"/>
              <w:spacing w:after="0"/>
              <w:rPr>
                <w:rFonts w:ascii="Times New Roman" w:cs="Times New Roman" w:eastAsia="Times New Roman" w:hAnsi="Times New Roman"/>
                <w:sz w:val="14"/>
                <w:szCs w:val="14"/>
                <w:color w:val="0000FF"/>
              </w:rPr>
            </w:pPr>
            <w:hyperlink r:id="rId107">
              <w:r>
                <w:rPr>
                  <w:rFonts w:ascii="Times New Roman" w:cs="Times New Roman" w:eastAsia="Times New Roman" w:hAnsi="Times New Roman"/>
                  <w:sz w:val="14"/>
                  <w:szCs w:val="14"/>
                  <w:color w:val="0000FF"/>
                </w:rPr>
                <w:t>10.</w:t>
              </w:r>
              <w:r>
                <w:rPr>
                  <w:rFonts w:ascii="Times New Roman" w:cs="Times New Roman" w:eastAsia="Times New Roman" w:hAnsi="Times New Roman"/>
                  <w:sz w:val="14"/>
                  <w:szCs w:val="14"/>
                  <w:u w:val="single" w:color="auto"/>
                  <w:color w:val="0000FF"/>
                </w:rPr>
                <w:t>8*</w:t>
              </w:r>
            </w:hyperlink>
          </w:p>
        </w:tc>
        <w:tc>
          <w:tcPr>
            <w:tcW w:w="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300" w:type="dxa"/>
            <w:vAlign w:val="bottom"/>
            <w:gridSpan w:val="35"/>
          </w:tcPr>
          <w:p>
            <w:pPr>
              <w:spacing w:after="0"/>
              <w:rPr>
                <w:rFonts w:ascii="Times New Roman" w:cs="Times New Roman" w:eastAsia="Times New Roman" w:hAnsi="Times New Roman"/>
                <w:sz w:val="14"/>
                <w:szCs w:val="14"/>
                <w:color w:val="0000FF"/>
              </w:rPr>
            </w:pPr>
            <w:hyperlink r:id="rId107">
              <w:r>
                <w:rPr>
                  <w:rFonts w:ascii="Times New Roman" w:cs="Times New Roman" w:eastAsia="Times New Roman" w:hAnsi="Times New Roman"/>
                  <w:sz w:val="14"/>
                  <w:szCs w:val="14"/>
                  <w:color w:val="0000FF"/>
                </w:rPr>
                <w:t>Form of Incentive Stock Option Agreement under the 2012 Long-Term Incentive Plan (incorporated by reference to Dycom Industries, Inc.’s Current Report on Form 8-K filed with</w:t>
              </w:r>
            </w:hyperlink>
          </w:p>
        </w:tc>
      </w:tr>
      <w:tr>
        <w:trPr>
          <w:trHeight w:val="118"/>
        </w:trPr>
        <w:tc>
          <w:tcPr>
            <w:tcW w:w="20" w:type="dxa"/>
            <w:vAlign w:val="bottom"/>
          </w:tcPr>
          <w:p>
            <w:pPr>
              <w:spacing w:after="0"/>
              <w:rPr>
                <w:sz w:val="10"/>
                <w:szCs w:val="10"/>
                <w:color w:val="auto"/>
              </w:rPr>
            </w:pPr>
          </w:p>
        </w:tc>
        <w:tc>
          <w:tcPr>
            <w:tcW w:w="180" w:type="dxa"/>
            <w:vAlign w:val="bottom"/>
            <w:tcBorders>
              <w:top w:val="single" w:sz="8" w:color="0000FF"/>
            </w:tcBorders>
          </w:tcPr>
          <w:p>
            <w:pPr>
              <w:spacing w:after="0"/>
              <w:rPr>
                <w:sz w:val="10"/>
                <w:szCs w:val="10"/>
                <w:color w:val="auto"/>
              </w:rPr>
            </w:pPr>
          </w:p>
        </w:tc>
        <w:tc>
          <w:tcPr>
            <w:tcW w:w="40" w:type="dxa"/>
            <w:vAlign w:val="bottom"/>
            <w:tcBorders>
              <w:top w:val="single" w:sz="8" w:color="0000FF"/>
            </w:tcBorders>
          </w:tcPr>
          <w:p>
            <w:pPr>
              <w:spacing w:after="0"/>
              <w:rPr>
                <w:sz w:val="10"/>
                <w:szCs w:val="10"/>
                <w:color w:val="auto"/>
              </w:rPr>
            </w:pPr>
          </w:p>
        </w:tc>
        <w:tc>
          <w:tcPr>
            <w:tcW w:w="40" w:type="dxa"/>
            <w:vAlign w:val="bottom"/>
            <w:tcBorders>
              <w:top w:val="single" w:sz="8" w:color="0000FF"/>
            </w:tcBorders>
          </w:tcPr>
          <w:p>
            <w:pPr>
              <w:spacing w:after="0"/>
              <w:rPr>
                <w:sz w:val="10"/>
                <w:szCs w:val="10"/>
                <w:color w:val="auto"/>
              </w:rPr>
            </w:pPr>
          </w:p>
        </w:tc>
        <w:tc>
          <w:tcPr>
            <w:tcW w:w="60" w:type="dxa"/>
            <w:vAlign w:val="bottom"/>
            <w:tcBorders>
              <w:top w:val="single" w:sz="8" w:color="0000FF"/>
            </w:tcBorders>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880" w:type="dxa"/>
            <w:vAlign w:val="bottom"/>
            <w:tcBorders>
              <w:top w:val="single" w:sz="8" w:color="0000FF"/>
              <w:bottom w:val="single" w:sz="8" w:color="0000FF"/>
            </w:tcBorders>
            <w:gridSpan w:val="4"/>
          </w:tcPr>
          <w:p>
            <w:pPr>
              <w:spacing w:after="0" w:line="118" w:lineRule="exact"/>
              <w:rPr>
                <w:rFonts w:ascii="Times New Roman" w:cs="Times New Roman" w:eastAsia="Times New Roman" w:hAnsi="Times New Roman"/>
                <w:sz w:val="13"/>
                <w:szCs w:val="13"/>
                <w:color w:val="0000FF"/>
              </w:rPr>
            </w:pPr>
            <w:hyperlink r:id="rId107">
              <w:r>
                <w:rPr>
                  <w:rFonts w:ascii="Times New Roman" w:cs="Times New Roman" w:eastAsia="Times New Roman" w:hAnsi="Times New Roman"/>
                  <w:sz w:val="13"/>
                  <w:szCs w:val="13"/>
                  <w:color w:val="0000FF"/>
                </w:rPr>
                <w:t>the SEC on December 20, 2012).</w:t>
              </w:r>
            </w:hyperlink>
          </w:p>
        </w:tc>
        <w:tc>
          <w:tcPr>
            <w:tcW w:w="8360" w:type="dxa"/>
            <w:vAlign w:val="bottom"/>
            <w:tcBorders>
              <w:top w:val="single" w:sz="8" w:color="0000FF"/>
            </w:tcBorders>
            <w:gridSpan w:val="28"/>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r>
      <w:tr>
        <w:trPr>
          <w:trHeight w:val="171"/>
        </w:trPr>
        <w:tc>
          <w:tcPr>
            <w:tcW w:w="420" w:type="dxa"/>
            <w:vAlign w:val="bottom"/>
            <w:gridSpan w:val="6"/>
          </w:tcPr>
          <w:p>
            <w:pPr>
              <w:ind w:left="20"/>
              <w:spacing w:after="0"/>
              <w:rPr>
                <w:rFonts w:ascii="Times New Roman" w:cs="Times New Roman" w:eastAsia="Times New Roman" w:hAnsi="Times New Roman"/>
                <w:sz w:val="14"/>
                <w:szCs w:val="14"/>
                <w:color w:val="0000FF"/>
              </w:rPr>
            </w:pPr>
            <w:hyperlink r:id="rId108">
              <w:r>
                <w:rPr>
                  <w:rFonts w:ascii="Times New Roman" w:cs="Times New Roman" w:eastAsia="Times New Roman" w:hAnsi="Times New Roman"/>
                  <w:sz w:val="14"/>
                  <w:szCs w:val="14"/>
                  <w:color w:val="0000FF"/>
                </w:rPr>
                <w:t>10.</w:t>
              </w:r>
              <w:r>
                <w:rPr>
                  <w:rFonts w:ascii="Times New Roman" w:cs="Times New Roman" w:eastAsia="Times New Roman" w:hAnsi="Times New Roman"/>
                  <w:sz w:val="14"/>
                  <w:szCs w:val="14"/>
                  <w:u w:val="single" w:color="auto"/>
                  <w:color w:val="0000FF"/>
                </w:rPr>
                <w:t>9*</w:t>
              </w:r>
            </w:hyperlink>
          </w:p>
        </w:tc>
        <w:tc>
          <w:tcPr>
            <w:tcW w:w="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300" w:type="dxa"/>
            <w:vAlign w:val="bottom"/>
            <w:gridSpan w:val="35"/>
          </w:tcPr>
          <w:p>
            <w:pPr>
              <w:spacing w:after="0"/>
              <w:rPr>
                <w:rFonts w:ascii="Times New Roman" w:cs="Times New Roman" w:eastAsia="Times New Roman" w:hAnsi="Times New Roman"/>
                <w:sz w:val="14"/>
                <w:szCs w:val="14"/>
                <w:color w:val="0000FF"/>
              </w:rPr>
            </w:pPr>
            <w:hyperlink r:id="rId108">
              <w:r>
                <w:rPr>
                  <w:rFonts w:ascii="Times New Roman" w:cs="Times New Roman" w:eastAsia="Times New Roman" w:hAnsi="Times New Roman"/>
                  <w:sz w:val="14"/>
                  <w:szCs w:val="14"/>
                  <w:color w:val="0000FF"/>
                </w:rPr>
                <w:t>Form of Restricted Stock Unit Agreement under the 2012 Long-Term Incentive Plan (incorporated by reference to Dycom Industries, Inc.’s Current Report on Form 8-K filed with</w:t>
              </w:r>
            </w:hyperlink>
          </w:p>
        </w:tc>
      </w:tr>
      <w:tr>
        <w:trPr>
          <w:trHeight w:val="118"/>
        </w:trPr>
        <w:tc>
          <w:tcPr>
            <w:tcW w:w="20" w:type="dxa"/>
            <w:vAlign w:val="bottom"/>
          </w:tcPr>
          <w:p>
            <w:pPr>
              <w:spacing w:after="0"/>
              <w:rPr>
                <w:sz w:val="10"/>
                <w:szCs w:val="10"/>
                <w:color w:val="auto"/>
              </w:rPr>
            </w:pPr>
          </w:p>
        </w:tc>
        <w:tc>
          <w:tcPr>
            <w:tcW w:w="180" w:type="dxa"/>
            <w:vAlign w:val="bottom"/>
            <w:tcBorders>
              <w:top w:val="single" w:sz="8" w:color="0000FF"/>
            </w:tcBorders>
          </w:tcPr>
          <w:p>
            <w:pPr>
              <w:spacing w:after="0"/>
              <w:rPr>
                <w:sz w:val="10"/>
                <w:szCs w:val="10"/>
                <w:color w:val="auto"/>
              </w:rPr>
            </w:pPr>
          </w:p>
        </w:tc>
        <w:tc>
          <w:tcPr>
            <w:tcW w:w="40" w:type="dxa"/>
            <w:vAlign w:val="bottom"/>
            <w:tcBorders>
              <w:top w:val="single" w:sz="8" w:color="0000FF"/>
            </w:tcBorders>
          </w:tcPr>
          <w:p>
            <w:pPr>
              <w:spacing w:after="0"/>
              <w:rPr>
                <w:sz w:val="10"/>
                <w:szCs w:val="10"/>
                <w:color w:val="auto"/>
              </w:rPr>
            </w:pPr>
          </w:p>
        </w:tc>
        <w:tc>
          <w:tcPr>
            <w:tcW w:w="40" w:type="dxa"/>
            <w:vAlign w:val="bottom"/>
            <w:tcBorders>
              <w:top w:val="single" w:sz="8" w:color="0000FF"/>
            </w:tcBorders>
          </w:tcPr>
          <w:p>
            <w:pPr>
              <w:spacing w:after="0"/>
              <w:rPr>
                <w:sz w:val="10"/>
                <w:szCs w:val="10"/>
                <w:color w:val="auto"/>
              </w:rPr>
            </w:pPr>
          </w:p>
        </w:tc>
        <w:tc>
          <w:tcPr>
            <w:tcW w:w="60" w:type="dxa"/>
            <w:vAlign w:val="bottom"/>
            <w:tcBorders>
              <w:top w:val="single" w:sz="8" w:color="0000FF"/>
            </w:tcBorders>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120" w:type="dxa"/>
            <w:vAlign w:val="bottom"/>
            <w:tcBorders>
              <w:top w:val="single" w:sz="8" w:color="0000FF"/>
            </w:tcBorders>
            <w:gridSpan w:val="26"/>
          </w:tcPr>
          <w:p>
            <w:pPr>
              <w:spacing w:after="0" w:line="118" w:lineRule="exact"/>
              <w:rPr>
                <w:rFonts w:ascii="Times New Roman" w:cs="Times New Roman" w:eastAsia="Times New Roman" w:hAnsi="Times New Roman"/>
                <w:sz w:val="13"/>
                <w:szCs w:val="13"/>
                <w:color w:val="0000FF"/>
              </w:rPr>
            </w:pPr>
            <w:hyperlink r:id="rId108">
              <w:r>
                <w:rPr>
                  <w:rFonts w:ascii="Times New Roman" w:cs="Times New Roman" w:eastAsia="Times New Roman" w:hAnsi="Times New Roman"/>
                  <w:sz w:val="13"/>
                  <w:szCs w:val="13"/>
                  <w:color w:val="0000FF"/>
                </w:rPr>
                <w:t>the SEC on December 20, 2012).</w:t>
              </w:r>
            </w:hyperlink>
          </w:p>
        </w:tc>
        <w:tc>
          <w:tcPr>
            <w:tcW w:w="120" w:type="dxa"/>
            <w:vAlign w:val="bottom"/>
            <w:gridSpan w:val="6"/>
          </w:tcPr>
          <w:p>
            <w:pPr>
              <w:spacing w:after="0"/>
              <w:rPr>
                <w:sz w:val="10"/>
                <w:szCs w:val="10"/>
                <w:color w:val="auto"/>
              </w:rPr>
            </w:pPr>
          </w:p>
        </w:tc>
        <w:tc>
          <w:tcPr>
            <w:tcW w:w="40" w:type="dxa"/>
            <w:vAlign w:val="bottom"/>
            <w:gridSpan w:val="2"/>
          </w:tcPr>
          <w:p>
            <w:pPr>
              <w:spacing w:after="0"/>
              <w:rPr>
                <w:sz w:val="10"/>
                <w:szCs w:val="10"/>
                <w:color w:val="auto"/>
              </w:rPr>
            </w:pPr>
          </w:p>
        </w:tc>
      </w:tr>
      <w:tr>
        <w:trPr>
          <w:trHeight w:val="20"/>
        </w:trPr>
        <w:tc>
          <w:tcPr>
            <w:tcW w:w="420" w:type="dxa"/>
            <w:vAlign w:val="bottom"/>
            <w:gridSpan w:val="6"/>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60" w:type="dxa"/>
            <w:vAlign w:val="bottom"/>
            <w:gridSpan w:val="3"/>
            <w:shd w:val="clear" w:color="auto" w:fill="0000FF"/>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900" w:type="dxa"/>
            <w:vAlign w:val="bottom"/>
            <w:gridSpan w:val="5"/>
          </w:tcPr>
          <w:p>
            <w:pPr>
              <w:spacing w:after="0" w:line="20" w:lineRule="exact"/>
              <w:rPr>
                <w:sz w:val="1"/>
                <w:szCs w:val="1"/>
                <w:color w:val="auto"/>
              </w:rPr>
            </w:pPr>
          </w:p>
        </w:tc>
        <w:tc>
          <w:tcPr>
            <w:tcW w:w="2480" w:type="dxa"/>
            <w:vAlign w:val="bottom"/>
            <w:gridSpan w:val="5"/>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11"/>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171"/>
        </w:trPr>
        <w:tc>
          <w:tcPr>
            <w:tcW w:w="460" w:type="dxa"/>
            <w:vAlign w:val="bottom"/>
            <w:gridSpan w:val="7"/>
          </w:tcPr>
          <w:p>
            <w:pPr>
              <w:ind w:left="20"/>
              <w:spacing w:after="0"/>
              <w:rPr>
                <w:rFonts w:ascii="Times New Roman" w:cs="Times New Roman" w:eastAsia="Times New Roman" w:hAnsi="Times New Roman"/>
                <w:sz w:val="14"/>
                <w:szCs w:val="14"/>
                <w:color w:val="0000FF"/>
              </w:rPr>
            </w:pPr>
            <w:hyperlink r:id="rId109">
              <w:r>
                <w:rPr>
                  <w:rFonts w:ascii="Times New Roman" w:cs="Times New Roman" w:eastAsia="Times New Roman" w:hAnsi="Times New Roman"/>
                  <w:sz w:val="14"/>
                  <w:szCs w:val="14"/>
                  <w:color w:val="0000FF"/>
                </w:rPr>
                <w:t>10.</w:t>
              </w:r>
              <w:r>
                <w:rPr>
                  <w:rFonts w:ascii="Times New Roman" w:cs="Times New Roman" w:eastAsia="Times New Roman" w:hAnsi="Times New Roman"/>
                  <w:sz w:val="14"/>
                  <w:szCs w:val="14"/>
                  <w:u w:val="single" w:color="auto"/>
                  <w:color w:val="0000FF"/>
                </w:rPr>
                <w:t>10*</w:t>
              </w:r>
            </w:hyperlink>
          </w:p>
        </w:tc>
        <w:tc>
          <w:tcPr>
            <w:tcW w:w="560" w:type="dxa"/>
            <w:vAlign w:val="bottom"/>
          </w:tcPr>
          <w:p>
            <w:pPr>
              <w:spacing w:after="0"/>
              <w:rPr>
                <w:sz w:val="14"/>
                <w:szCs w:val="14"/>
                <w:color w:val="auto"/>
              </w:rPr>
            </w:pPr>
          </w:p>
        </w:tc>
        <w:tc>
          <w:tcPr>
            <w:tcW w:w="10300" w:type="dxa"/>
            <w:vAlign w:val="bottom"/>
            <w:gridSpan w:val="35"/>
          </w:tcPr>
          <w:p>
            <w:pPr>
              <w:spacing w:after="0"/>
              <w:rPr>
                <w:rFonts w:ascii="Times New Roman" w:cs="Times New Roman" w:eastAsia="Times New Roman" w:hAnsi="Times New Roman"/>
                <w:sz w:val="14"/>
                <w:szCs w:val="14"/>
                <w:color w:val="0000FF"/>
              </w:rPr>
            </w:pPr>
            <w:hyperlink r:id="rId109">
              <w:r>
                <w:rPr>
                  <w:rFonts w:ascii="Times New Roman" w:cs="Times New Roman" w:eastAsia="Times New Roman" w:hAnsi="Times New Roman"/>
                  <w:sz w:val="14"/>
                  <w:szCs w:val="14"/>
                  <w:color w:val="0000FF"/>
                </w:rPr>
                <w:t>Form of Performance Share Unit Agreement under the 2012 Long-Term Incentive Plan (incorporated by reference to Dycom Industries, Inc.’s Current Report on Form 8-K filed</w:t>
              </w:r>
            </w:hyperlink>
          </w:p>
        </w:tc>
      </w:tr>
      <w:tr>
        <w:trPr>
          <w:trHeight w:val="118"/>
        </w:trPr>
        <w:tc>
          <w:tcPr>
            <w:tcW w:w="20" w:type="dxa"/>
            <w:vAlign w:val="bottom"/>
          </w:tcPr>
          <w:p>
            <w:pPr>
              <w:spacing w:after="0"/>
              <w:rPr>
                <w:sz w:val="10"/>
                <w:szCs w:val="10"/>
                <w:color w:val="auto"/>
              </w:rPr>
            </w:pPr>
          </w:p>
        </w:tc>
        <w:tc>
          <w:tcPr>
            <w:tcW w:w="180" w:type="dxa"/>
            <w:vAlign w:val="bottom"/>
            <w:tcBorders>
              <w:top w:val="single" w:sz="8" w:color="0000FF"/>
            </w:tcBorders>
          </w:tcPr>
          <w:p>
            <w:pPr>
              <w:spacing w:after="0"/>
              <w:rPr>
                <w:sz w:val="10"/>
                <w:szCs w:val="10"/>
                <w:color w:val="auto"/>
              </w:rPr>
            </w:pPr>
          </w:p>
        </w:tc>
        <w:tc>
          <w:tcPr>
            <w:tcW w:w="40" w:type="dxa"/>
            <w:vAlign w:val="bottom"/>
            <w:tcBorders>
              <w:top w:val="single" w:sz="8" w:color="0000FF"/>
            </w:tcBorders>
          </w:tcPr>
          <w:p>
            <w:pPr>
              <w:spacing w:after="0"/>
              <w:rPr>
                <w:sz w:val="10"/>
                <w:szCs w:val="10"/>
                <w:color w:val="auto"/>
              </w:rPr>
            </w:pPr>
          </w:p>
        </w:tc>
        <w:tc>
          <w:tcPr>
            <w:tcW w:w="40" w:type="dxa"/>
            <w:vAlign w:val="bottom"/>
            <w:tcBorders>
              <w:top w:val="single" w:sz="8" w:color="0000FF"/>
            </w:tcBorders>
          </w:tcPr>
          <w:p>
            <w:pPr>
              <w:spacing w:after="0"/>
              <w:rPr>
                <w:sz w:val="10"/>
                <w:szCs w:val="10"/>
                <w:color w:val="auto"/>
              </w:rPr>
            </w:pPr>
          </w:p>
        </w:tc>
        <w:tc>
          <w:tcPr>
            <w:tcW w:w="60" w:type="dxa"/>
            <w:vAlign w:val="bottom"/>
            <w:tcBorders>
              <w:top w:val="single" w:sz="8" w:color="0000FF"/>
            </w:tcBorders>
          </w:tcPr>
          <w:p>
            <w:pPr>
              <w:spacing w:after="0"/>
              <w:rPr>
                <w:sz w:val="10"/>
                <w:szCs w:val="10"/>
                <w:color w:val="auto"/>
              </w:rPr>
            </w:pPr>
          </w:p>
        </w:tc>
        <w:tc>
          <w:tcPr>
            <w:tcW w:w="80" w:type="dxa"/>
            <w:vAlign w:val="bottom"/>
            <w:tcBorders>
              <w:top w:val="single" w:sz="8" w:color="0000FF"/>
            </w:tcBorders>
          </w:tcPr>
          <w:p>
            <w:pPr>
              <w:spacing w:after="0"/>
              <w:rPr>
                <w:sz w:val="10"/>
                <w:szCs w:val="10"/>
                <w:color w:val="auto"/>
              </w:rPr>
            </w:pPr>
          </w:p>
        </w:tc>
        <w:tc>
          <w:tcPr>
            <w:tcW w:w="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 w:type="dxa"/>
            <w:vAlign w:val="bottom"/>
            <w:tcBorders>
              <w:bottom w:val="single" w:sz="8" w:color="0000FF"/>
            </w:tcBorders>
          </w:tcPr>
          <w:p>
            <w:pPr>
              <w:spacing w:after="0"/>
              <w:rPr>
                <w:sz w:val="10"/>
                <w:szCs w:val="10"/>
                <w:color w:val="auto"/>
              </w:rPr>
            </w:pPr>
          </w:p>
        </w:tc>
        <w:tc>
          <w:tcPr>
            <w:tcW w:w="2140" w:type="dxa"/>
            <w:vAlign w:val="bottom"/>
            <w:tcBorders>
              <w:top w:val="single" w:sz="8" w:color="0000FF"/>
              <w:bottom w:val="single" w:sz="8" w:color="0000FF"/>
            </w:tcBorders>
            <w:gridSpan w:val="5"/>
          </w:tcPr>
          <w:p>
            <w:pPr>
              <w:spacing w:after="0" w:line="118" w:lineRule="exact"/>
              <w:rPr>
                <w:rFonts w:ascii="Times New Roman" w:cs="Times New Roman" w:eastAsia="Times New Roman" w:hAnsi="Times New Roman"/>
                <w:sz w:val="13"/>
                <w:szCs w:val="13"/>
                <w:color w:val="0000FF"/>
              </w:rPr>
            </w:pPr>
            <w:hyperlink r:id="rId109">
              <w:r>
                <w:rPr>
                  <w:rFonts w:ascii="Times New Roman" w:cs="Times New Roman" w:eastAsia="Times New Roman" w:hAnsi="Times New Roman"/>
                  <w:sz w:val="13"/>
                  <w:szCs w:val="13"/>
                  <w:color w:val="0000FF"/>
                </w:rPr>
                <w:t>with the SEC on December 20, 2012).</w:t>
              </w:r>
            </w:hyperlink>
          </w:p>
        </w:tc>
        <w:tc>
          <w:tcPr>
            <w:tcW w:w="7840" w:type="dxa"/>
            <w:vAlign w:val="bottom"/>
            <w:tcBorders>
              <w:top w:val="single" w:sz="8" w:color="0000FF"/>
            </w:tcBorders>
            <w:gridSpan w:val="16"/>
          </w:tcPr>
          <w:p>
            <w:pPr>
              <w:spacing w:after="0"/>
              <w:rPr>
                <w:sz w:val="10"/>
                <w:szCs w:val="10"/>
                <w:color w:val="auto"/>
              </w:rPr>
            </w:pPr>
          </w:p>
        </w:tc>
        <w:tc>
          <w:tcPr>
            <w:tcW w:w="260" w:type="dxa"/>
            <w:vAlign w:val="bottom"/>
            <w:gridSpan w:val="11"/>
          </w:tcPr>
          <w:p>
            <w:pPr>
              <w:spacing w:after="0"/>
              <w:rPr>
                <w:sz w:val="10"/>
                <w:szCs w:val="10"/>
                <w:color w:val="auto"/>
              </w:rPr>
            </w:pPr>
          </w:p>
        </w:tc>
        <w:tc>
          <w:tcPr>
            <w:tcW w:w="40" w:type="dxa"/>
            <w:vAlign w:val="bottom"/>
            <w:gridSpan w:val="2"/>
          </w:tcPr>
          <w:p>
            <w:pPr>
              <w:spacing w:after="0"/>
              <w:rPr>
                <w:sz w:val="10"/>
                <w:szCs w:val="10"/>
                <w:color w:val="auto"/>
              </w:rPr>
            </w:pPr>
          </w:p>
        </w:tc>
      </w:tr>
      <w:tr>
        <w:trPr>
          <w:trHeight w:val="171"/>
        </w:trPr>
        <w:tc>
          <w:tcPr>
            <w:tcW w:w="420" w:type="dxa"/>
            <w:vAlign w:val="bottom"/>
            <w:gridSpan w:val="6"/>
          </w:tcPr>
          <w:p>
            <w:pPr>
              <w:ind w:left="20"/>
              <w:spacing w:after="0"/>
              <w:rPr>
                <w:rFonts w:ascii="Times New Roman" w:cs="Times New Roman" w:eastAsia="Times New Roman" w:hAnsi="Times New Roman"/>
                <w:sz w:val="14"/>
                <w:szCs w:val="14"/>
                <w:color w:val="0000FF"/>
                <w:w w:val="98"/>
              </w:rPr>
            </w:pPr>
            <w:hyperlink r:id="rId110">
              <w:r>
                <w:rPr>
                  <w:rFonts w:ascii="Times New Roman" w:cs="Times New Roman" w:eastAsia="Times New Roman" w:hAnsi="Times New Roman"/>
                  <w:sz w:val="14"/>
                  <w:szCs w:val="14"/>
                  <w:color w:val="0000FF"/>
                  <w:w w:val="98"/>
                </w:rPr>
                <w:t>10.</w:t>
              </w:r>
              <w:r>
                <w:rPr>
                  <w:rFonts w:ascii="Times New Roman" w:cs="Times New Roman" w:eastAsia="Times New Roman" w:hAnsi="Times New Roman"/>
                  <w:sz w:val="14"/>
                  <w:szCs w:val="14"/>
                  <w:u w:val="single" w:color="auto"/>
                  <w:color w:val="0000FF"/>
                  <w:w w:val="98"/>
                </w:rPr>
                <w:t>11*</w:t>
              </w:r>
            </w:hyperlink>
          </w:p>
        </w:tc>
        <w:tc>
          <w:tcPr>
            <w:tcW w:w="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300" w:type="dxa"/>
            <w:vAlign w:val="bottom"/>
            <w:gridSpan w:val="35"/>
          </w:tcPr>
          <w:p>
            <w:pPr>
              <w:spacing w:after="0"/>
              <w:rPr>
                <w:rFonts w:ascii="Times New Roman" w:cs="Times New Roman" w:eastAsia="Times New Roman" w:hAnsi="Times New Roman"/>
                <w:sz w:val="14"/>
                <w:szCs w:val="14"/>
                <w:color w:val="0000FF"/>
              </w:rPr>
            </w:pPr>
            <w:hyperlink r:id="rId110">
              <w:r>
                <w:rPr>
                  <w:rFonts w:ascii="Times New Roman" w:cs="Times New Roman" w:eastAsia="Times New Roman" w:hAnsi="Times New Roman"/>
                  <w:sz w:val="14"/>
                  <w:szCs w:val="14"/>
                  <w:color w:val="0000FF"/>
                </w:rPr>
                <w:t>2007 Non-Employee Directors Equity Plan, amended and restated effective as of September 19, 2011 (incorporated by reference to Dycom Industries, Inc.’s Current Report on</w:t>
              </w:r>
            </w:hyperlink>
          </w:p>
        </w:tc>
      </w:tr>
      <w:tr>
        <w:trPr>
          <w:trHeight w:val="118"/>
        </w:trPr>
        <w:tc>
          <w:tcPr>
            <w:tcW w:w="20" w:type="dxa"/>
            <w:vAlign w:val="bottom"/>
          </w:tcPr>
          <w:p>
            <w:pPr>
              <w:spacing w:after="0"/>
              <w:rPr>
                <w:sz w:val="10"/>
                <w:szCs w:val="10"/>
                <w:color w:val="auto"/>
              </w:rPr>
            </w:pPr>
          </w:p>
        </w:tc>
        <w:tc>
          <w:tcPr>
            <w:tcW w:w="180" w:type="dxa"/>
            <w:vAlign w:val="bottom"/>
            <w:tcBorders>
              <w:top w:val="single" w:sz="8" w:color="0000FF"/>
            </w:tcBorders>
          </w:tcPr>
          <w:p>
            <w:pPr>
              <w:spacing w:after="0"/>
              <w:rPr>
                <w:sz w:val="10"/>
                <w:szCs w:val="10"/>
                <w:color w:val="auto"/>
              </w:rPr>
            </w:pPr>
          </w:p>
        </w:tc>
        <w:tc>
          <w:tcPr>
            <w:tcW w:w="40" w:type="dxa"/>
            <w:vAlign w:val="bottom"/>
            <w:tcBorders>
              <w:top w:val="single" w:sz="8" w:color="0000FF"/>
            </w:tcBorders>
          </w:tcPr>
          <w:p>
            <w:pPr>
              <w:spacing w:after="0"/>
              <w:rPr>
                <w:sz w:val="10"/>
                <w:szCs w:val="10"/>
                <w:color w:val="auto"/>
              </w:rPr>
            </w:pPr>
          </w:p>
        </w:tc>
        <w:tc>
          <w:tcPr>
            <w:tcW w:w="40" w:type="dxa"/>
            <w:vAlign w:val="bottom"/>
            <w:tcBorders>
              <w:top w:val="single" w:sz="8" w:color="0000FF"/>
            </w:tcBorders>
          </w:tcPr>
          <w:p>
            <w:pPr>
              <w:spacing w:after="0"/>
              <w:rPr>
                <w:sz w:val="10"/>
                <w:szCs w:val="10"/>
                <w:color w:val="auto"/>
              </w:rPr>
            </w:pPr>
          </w:p>
        </w:tc>
        <w:tc>
          <w:tcPr>
            <w:tcW w:w="60" w:type="dxa"/>
            <w:vAlign w:val="bottom"/>
            <w:tcBorders>
              <w:top w:val="single" w:sz="8" w:color="0000FF"/>
            </w:tcBorders>
          </w:tcPr>
          <w:p>
            <w:pPr>
              <w:spacing w:after="0"/>
              <w:rPr>
                <w:sz w:val="10"/>
                <w:szCs w:val="10"/>
                <w:color w:val="auto"/>
              </w:rPr>
            </w:pPr>
          </w:p>
        </w:tc>
        <w:tc>
          <w:tcPr>
            <w:tcW w:w="80" w:type="dxa"/>
            <w:vAlign w:val="bottom"/>
            <w:tcBorders>
              <w:top w:val="single" w:sz="8" w:color="0000FF"/>
            </w:tcBorders>
          </w:tcPr>
          <w:p>
            <w:pPr>
              <w:spacing w:after="0"/>
              <w:rPr>
                <w:sz w:val="10"/>
                <w:szCs w:val="10"/>
                <w:color w:val="auto"/>
              </w:rPr>
            </w:pPr>
          </w:p>
        </w:tc>
        <w:tc>
          <w:tcPr>
            <w:tcW w:w="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9900" w:type="dxa"/>
            <w:vAlign w:val="bottom"/>
            <w:tcBorders>
              <w:top w:val="single" w:sz="8" w:color="0000FF"/>
            </w:tcBorders>
            <w:gridSpan w:val="19"/>
          </w:tcPr>
          <w:p>
            <w:pPr>
              <w:spacing w:after="0" w:line="118" w:lineRule="exact"/>
              <w:rPr>
                <w:rFonts w:ascii="Times New Roman" w:cs="Times New Roman" w:eastAsia="Times New Roman" w:hAnsi="Times New Roman"/>
                <w:sz w:val="13"/>
                <w:szCs w:val="13"/>
                <w:color w:val="0000FF"/>
              </w:rPr>
            </w:pPr>
            <w:hyperlink r:id="rId110">
              <w:r>
                <w:rPr>
                  <w:rFonts w:ascii="Times New Roman" w:cs="Times New Roman" w:eastAsia="Times New Roman" w:hAnsi="Times New Roman"/>
                  <w:sz w:val="13"/>
                  <w:szCs w:val="13"/>
                  <w:color w:val="0000FF"/>
                </w:rPr>
                <w:t>Form 8-K filed with the SEC on September 23, 2011).</w:t>
              </w:r>
            </w:hyperlink>
          </w:p>
        </w:tc>
        <w:tc>
          <w:tcPr>
            <w:tcW w:w="80" w:type="dxa"/>
            <w:vAlign w:val="bottom"/>
            <w:gridSpan w:val="2"/>
          </w:tcPr>
          <w:p>
            <w:pPr>
              <w:spacing w:after="0"/>
              <w:rPr>
                <w:sz w:val="10"/>
                <w:szCs w:val="10"/>
                <w:color w:val="auto"/>
              </w:rPr>
            </w:pPr>
          </w:p>
        </w:tc>
        <w:tc>
          <w:tcPr>
            <w:tcW w:w="280" w:type="dxa"/>
            <w:vAlign w:val="bottom"/>
            <w:gridSpan w:val="12"/>
          </w:tcPr>
          <w:p>
            <w:pPr>
              <w:spacing w:after="0"/>
              <w:rPr>
                <w:sz w:val="10"/>
                <w:szCs w:val="10"/>
                <w:color w:val="auto"/>
              </w:rPr>
            </w:pPr>
          </w:p>
        </w:tc>
        <w:tc>
          <w:tcPr>
            <w:tcW w:w="40" w:type="dxa"/>
            <w:vAlign w:val="bottom"/>
            <w:gridSpan w:val="2"/>
          </w:tcPr>
          <w:p>
            <w:pPr>
              <w:spacing w:after="0"/>
              <w:rPr>
                <w:sz w:val="10"/>
                <w:szCs w:val="10"/>
                <w:color w:val="auto"/>
              </w:rPr>
            </w:pPr>
          </w:p>
        </w:tc>
      </w:tr>
      <w:tr>
        <w:trPr>
          <w:trHeight w:val="20"/>
        </w:trPr>
        <w:tc>
          <w:tcPr>
            <w:tcW w:w="460" w:type="dxa"/>
            <w:vAlign w:val="bottom"/>
            <w:gridSpan w:val="7"/>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060" w:type="dxa"/>
            <w:vAlign w:val="bottom"/>
            <w:gridSpan w:val="11"/>
            <w:shd w:val="clear" w:color="auto" w:fill="0000FF"/>
          </w:tcPr>
          <w:p>
            <w:pPr>
              <w:spacing w:after="0" w:line="20" w:lineRule="exact"/>
              <w:rPr>
                <w:sz w:val="1"/>
                <w:szCs w:val="1"/>
                <w:color w:val="auto"/>
              </w:rPr>
            </w:pPr>
          </w:p>
        </w:tc>
        <w:tc>
          <w:tcPr>
            <w:tcW w:w="2480" w:type="dxa"/>
            <w:vAlign w:val="bottom"/>
            <w:gridSpan w:val="5"/>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80" w:type="dxa"/>
            <w:vAlign w:val="bottom"/>
            <w:gridSpan w:val="4"/>
          </w:tcPr>
          <w:p>
            <w:pPr>
              <w:spacing w:after="0" w:line="20" w:lineRule="exact"/>
              <w:rPr>
                <w:sz w:val="1"/>
                <w:szCs w:val="1"/>
                <w:color w:val="auto"/>
              </w:rPr>
            </w:pPr>
          </w:p>
        </w:tc>
        <w:tc>
          <w:tcPr>
            <w:tcW w:w="280" w:type="dxa"/>
            <w:vAlign w:val="bottom"/>
            <w:gridSpan w:val="1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171"/>
        </w:trPr>
        <w:tc>
          <w:tcPr>
            <w:tcW w:w="460" w:type="dxa"/>
            <w:vAlign w:val="bottom"/>
            <w:gridSpan w:val="7"/>
          </w:tcPr>
          <w:p>
            <w:pPr>
              <w:ind w:left="20"/>
              <w:spacing w:after="0"/>
              <w:rPr>
                <w:rFonts w:ascii="Times New Roman" w:cs="Times New Roman" w:eastAsia="Times New Roman" w:hAnsi="Times New Roman"/>
                <w:sz w:val="14"/>
                <w:szCs w:val="14"/>
                <w:color w:val="0000FF"/>
              </w:rPr>
            </w:pPr>
            <w:hyperlink r:id="rId111">
              <w:r>
                <w:rPr>
                  <w:rFonts w:ascii="Times New Roman" w:cs="Times New Roman" w:eastAsia="Times New Roman" w:hAnsi="Times New Roman"/>
                  <w:sz w:val="14"/>
                  <w:szCs w:val="14"/>
                  <w:color w:val="0000FF"/>
                </w:rPr>
                <w:t>10.</w:t>
              </w:r>
              <w:r>
                <w:rPr>
                  <w:rFonts w:ascii="Times New Roman" w:cs="Times New Roman" w:eastAsia="Times New Roman" w:hAnsi="Times New Roman"/>
                  <w:sz w:val="14"/>
                  <w:szCs w:val="14"/>
                  <w:u w:val="single" w:color="auto"/>
                  <w:color w:val="0000FF"/>
                </w:rPr>
                <w:t>12*</w:t>
              </w:r>
            </w:hyperlink>
          </w:p>
        </w:tc>
        <w:tc>
          <w:tcPr>
            <w:tcW w:w="560" w:type="dxa"/>
            <w:vAlign w:val="bottom"/>
          </w:tcPr>
          <w:p>
            <w:pPr>
              <w:spacing w:after="0"/>
              <w:rPr>
                <w:sz w:val="14"/>
                <w:szCs w:val="14"/>
                <w:color w:val="auto"/>
              </w:rPr>
            </w:pPr>
          </w:p>
        </w:tc>
        <w:tc>
          <w:tcPr>
            <w:tcW w:w="10300" w:type="dxa"/>
            <w:vAlign w:val="bottom"/>
            <w:gridSpan w:val="35"/>
          </w:tcPr>
          <w:p>
            <w:pPr>
              <w:spacing w:after="0"/>
              <w:rPr>
                <w:rFonts w:ascii="Times New Roman" w:cs="Times New Roman" w:eastAsia="Times New Roman" w:hAnsi="Times New Roman"/>
                <w:sz w:val="14"/>
                <w:szCs w:val="14"/>
                <w:color w:val="0000FF"/>
              </w:rPr>
            </w:pPr>
            <w:hyperlink r:id="rId111">
              <w:r>
                <w:rPr>
                  <w:rFonts w:ascii="Times New Roman" w:cs="Times New Roman" w:eastAsia="Times New Roman" w:hAnsi="Times New Roman"/>
                  <w:sz w:val="14"/>
                  <w:szCs w:val="14"/>
                  <w:color w:val="0000FF"/>
                </w:rPr>
                <w:t>Form of Non-Employee Director Non-Qualified Stock Option Agreement, under the 2007 Non-Employee Directors Equity Plan, as amended and restated (incorporated by reference</w:t>
              </w:r>
            </w:hyperlink>
          </w:p>
        </w:tc>
      </w:tr>
      <w:tr>
        <w:trPr>
          <w:trHeight w:val="118"/>
        </w:trPr>
        <w:tc>
          <w:tcPr>
            <w:tcW w:w="20" w:type="dxa"/>
            <w:vAlign w:val="bottom"/>
          </w:tcPr>
          <w:p>
            <w:pPr>
              <w:spacing w:after="0"/>
              <w:rPr>
                <w:sz w:val="10"/>
                <w:szCs w:val="10"/>
                <w:color w:val="auto"/>
              </w:rPr>
            </w:pPr>
          </w:p>
        </w:tc>
        <w:tc>
          <w:tcPr>
            <w:tcW w:w="180" w:type="dxa"/>
            <w:vAlign w:val="bottom"/>
            <w:tcBorders>
              <w:top w:val="single" w:sz="8" w:color="0000FF"/>
            </w:tcBorders>
          </w:tcPr>
          <w:p>
            <w:pPr>
              <w:spacing w:after="0"/>
              <w:rPr>
                <w:sz w:val="10"/>
                <w:szCs w:val="10"/>
                <w:color w:val="auto"/>
              </w:rPr>
            </w:pPr>
          </w:p>
        </w:tc>
        <w:tc>
          <w:tcPr>
            <w:tcW w:w="40" w:type="dxa"/>
            <w:vAlign w:val="bottom"/>
            <w:tcBorders>
              <w:top w:val="single" w:sz="8" w:color="0000FF"/>
            </w:tcBorders>
          </w:tcPr>
          <w:p>
            <w:pPr>
              <w:spacing w:after="0"/>
              <w:rPr>
                <w:sz w:val="10"/>
                <w:szCs w:val="10"/>
                <w:color w:val="auto"/>
              </w:rPr>
            </w:pPr>
          </w:p>
        </w:tc>
        <w:tc>
          <w:tcPr>
            <w:tcW w:w="40" w:type="dxa"/>
            <w:vAlign w:val="bottom"/>
            <w:tcBorders>
              <w:top w:val="single" w:sz="8" w:color="0000FF"/>
            </w:tcBorders>
          </w:tcPr>
          <w:p>
            <w:pPr>
              <w:spacing w:after="0"/>
              <w:rPr>
                <w:sz w:val="10"/>
                <w:szCs w:val="10"/>
                <w:color w:val="auto"/>
              </w:rPr>
            </w:pPr>
          </w:p>
        </w:tc>
        <w:tc>
          <w:tcPr>
            <w:tcW w:w="60" w:type="dxa"/>
            <w:vAlign w:val="bottom"/>
            <w:tcBorders>
              <w:top w:val="single" w:sz="8" w:color="0000FF"/>
            </w:tcBorders>
          </w:tcPr>
          <w:p>
            <w:pPr>
              <w:spacing w:after="0"/>
              <w:rPr>
                <w:sz w:val="10"/>
                <w:szCs w:val="10"/>
                <w:color w:val="auto"/>
              </w:rPr>
            </w:pPr>
          </w:p>
        </w:tc>
        <w:tc>
          <w:tcPr>
            <w:tcW w:w="80" w:type="dxa"/>
            <w:vAlign w:val="bottom"/>
            <w:tcBorders>
              <w:top w:val="single" w:sz="8" w:color="0000FF"/>
            </w:tcBorders>
          </w:tcPr>
          <w:p>
            <w:pPr>
              <w:spacing w:after="0"/>
              <w:rPr>
                <w:sz w:val="10"/>
                <w:szCs w:val="10"/>
                <w:color w:val="auto"/>
              </w:rPr>
            </w:pPr>
          </w:p>
        </w:tc>
        <w:tc>
          <w:tcPr>
            <w:tcW w:w="40" w:type="dxa"/>
            <w:vAlign w:val="bottom"/>
            <w:tcBorders>
              <w:top w:val="single" w:sz="8" w:color="0000FF"/>
            </w:tcBorders>
          </w:tcPr>
          <w:p>
            <w:pPr>
              <w:spacing w:after="0"/>
              <w:rPr>
                <w:sz w:val="10"/>
                <w:szCs w:val="10"/>
                <w:color w:val="auto"/>
              </w:rPr>
            </w:pPr>
          </w:p>
        </w:tc>
        <w:tc>
          <w:tcPr>
            <w:tcW w:w="560" w:type="dxa"/>
            <w:vAlign w:val="bottom"/>
          </w:tcPr>
          <w:p>
            <w:pPr>
              <w:spacing w:after="0"/>
              <w:rPr>
                <w:sz w:val="10"/>
                <w:szCs w:val="10"/>
                <w:color w:val="auto"/>
              </w:rPr>
            </w:pPr>
          </w:p>
        </w:tc>
        <w:tc>
          <w:tcPr>
            <w:tcW w:w="20" w:type="dxa"/>
            <w:vAlign w:val="bottom"/>
            <w:tcBorders>
              <w:bottom w:val="single" w:sz="8" w:color="0000FF"/>
            </w:tcBorders>
          </w:tcPr>
          <w:p>
            <w:pPr>
              <w:spacing w:after="0"/>
              <w:rPr>
                <w:sz w:val="10"/>
                <w:szCs w:val="10"/>
                <w:color w:val="auto"/>
              </w:rPr>
            </w:pPr>
          </w:p>
        </w:tc>
        <w:tc>
          <w:tcPr>
            <w:tcW w:w="5680" w:type="dxa"/>
            <w:vAlign w:val="bottom"/>
            <w:tcBorders>
              <w:top w:val="single" w:sz="8" w:color="0000FF"/>
              <w:bottom w:val="single" w:sz="8" w:color="0000FF"/>
            </w:tcBorders>
            <w:gridSpan w:val="16"/>
          </w:tcPr>
          <w:p>
            <w:pPr>
              <w:spacing w:after="0" w:line="118" w:lineRule="exact"/>
              <w:rPr>
                <w:rFonts w:ascii="Times New Roman" w:cs="Times New Roman" w:eastAsia="Times New Roman" w:hAnsi="Times New Roman"/>
                <w:sz w:val="13"/>
                <w:szCs w:val="13"/>
                <w:color w:val="0000FF"/>
              </w:rPr>
            </w:pPr>
            <w:hyperlink r:id="rId111">
              <w:r>
                <w:rPr>
                  <w:rFonts w:ascii="Times New Roman" w:cs="Times New Roman" w:eastAsia="Times New Roman" w:hAnsi="Times New Roman"/>
                  <w:sz w:val="13"/>
                  <w:szCs w:val="13"/>
                  <w:color w:val="0000FF"/>
                </w:rPr>
                <w:t>to Dycom Industries, Inc.’s Annual Report on Form 10-K filed with the SEC on September 4, 2012).</w:t>
              </w:r>
            </w:hyperlink>
          </w:p>
        </w:tc>
        <w:tc>
          <w:tcPr>
            <w:tcW w:w="4560" w:type="dxa"/>
            <w:vAlign w:val="bottom"/>
            <w:tcBorders>
              <w:top w:val="single" w:sz="8" w:color="0000FF"/>
            </w:tcBorders>
            <w:gridSpan w:val="16"/>
          </w:tcPr>
          <w:p>
            <w:pPr>
              <w:spacing w:after="0"/>
              <w:rPr>
                <w:sz w:val="10"/>
                <w:szCs w:val="10"/>
                <w:color w:val="auto"/>
              </w:rPr>
            </w:pPr>
          </w:p>
        </w:tc>
        <w:tc>
          <w:tcPr>
            <w:tcW w:w="40" w:type="dxa"/>
            <w:vAlign w:val="bottom"/>
            <w:gridSpan w:val="2"/>
          </w:tcPr>
          <w:p>
            <w:pPr>
              <w:spacing w:after="0"/>
              <w:rPr>
                <w:sz w:val="10"/>
                <w:szCs w:val="10"/>
                <w:color w:val="auto"/>
              </w:rPr>
            </w:pPr>
          </w:p>
        </w:tc>
      </w:tr>
      <w:tr>
        <w:trPr>
          <w:trHeight w:val="171"/>
        </w:trPr>
        <w:tc>
          <w:tcPr>
            <w:tcW w:w="460" w:type="dxa"/>
            <w:vAlign w:val="bottom"/>
            <w:gridSpan w:val="7"/>
          </w:tcPr>
          <w:p>
            <w:pPr>
              <w:ind w:left="20"/>
              <w:spacing w:after="0"/>
              <w:rPr>
                <w:rFonts w:ascii="Times New Roman" w:cs="Times New Roman" w:eastAsia="Times New Roman" w:hAnsi="Times New Roman"/>
                <w:sz w:val="14"/>
                <w:szCs w:val="14"/>
                <w:color w:val="0000FF"/>
              </w:rPr>
            </w:pPr>
            <w:hyperlink r:id="rId112">
              <w:r>
                <w:rPr>
                  <w:rFonts w:ascii="Times New Roman" w:cs="Times New Roman" w:eastAsia="Times New Roman" w:hAnsi="Times New Roman"/>
                  <w:sz w:val="14"/>
                  <w:szCs w:val="14"/>
                  <w:color w:val="0000FF"/>
                </w:rPr>
                <w:t>10.</w:t>
              </w:r>
              <w:r>
                <w:rPr>
                  <w:rFonts w:ascii="Times New Roman" w:cs="Times New Roman" w:eastAsia="Times New Roman" w:hAnsi="Times New Roman"/>
                  <w:sz w:val="14"/>
                  <w:szCs w:val="14"/>
                  <w:u w:val="single" w:color="auto"/>
                  <w:color w:val="0000FF"/>
                </w:rPr>
                <w:t>13*</w:t>
              </w:r>
            </w:hyperlink>
          </w:p>
        </w:tc>
        <w:tc>
          <w:tcPr>
            <w:tcW w:w="560" w:type="dxa"/>
            <w:vAlign w:val="bottom"/>
          </w:tcPr>
          <w:p>
            <w:pPr>
              <w:spacing w:after="0"/>
              <w:rPr>
                <w:sz w:val="14"/>
                <w:szCs w:val="14"/>
                <w:color w:val="auto"/>
              </w:rPr>
            </w:pPr>
          </w:p>
        </w:tc>
        <w:tc>
          <w:tcPr>
            <w:tcW w:w="10300" w:type="dxa"/>
            <w:vAlign w:val="bottom"/>
            <w:gridSpan w:val="35"/>
          </w:tcPr>
          <w:p>
            <w:pPr>
              <w:spacing w:after="0"/>
              <w:rPr>
                <w:rFonts w:ascii="Times New Roman" w:cs="Times New Roman" w:eastAsia="Times New Roman" w:hAnsi="Times New Roman"/>
                <w:sz w:val="14"/>
                <w:szCs w:val="14"/>
                <w:color w:val="0000FF"/>
              </w:rPr>
            </w:pPr>
            <w:hyperlink r:id="rId112">
              <w:r>
                <w:rPr>
                  <w:rFonts w:ascii="Times New Roman" w:cs="Times New Roman" w:eastAsia="Times New Roman" w:hAnsi="Times New Roman"/>
                  <w:sz w:val="14"/>
                  <w:szCs w:val="14"/>
                  <w:color w:val="0000FF"/>
                </w:rPr>
                <w:t>Form of Non-Employee Director Restricted Stock Unit Agreement, under the 2007 Non-Employee Directors Equity Plan, as amended and restated (incorporated by reference to</w:t>
              </w:r>
            </w:hyperlink>
          </w:p>
        </w:tc>
      </w:tr>
      <w:tr>
        <w:trPr>
          <w:trHeight w:val="118"/>
        </w:trPr>
        <w:tc>
          <w:tcPr>
            <w:tcW w:w="20" w:type="dxa"/>
            <w:vAlign w:val="bottom"/>
          </w:tcPr>
          <w:p>
            <w:pPr>
              <w:spacing w:after="0"/>
              <w:rPr>
                <w:sz w:val="10"/>
                <w:szCs w:val="10"/>
                <w:color w:val="auto"/>
              </w:rPr>
            </w:pPr>
          </w:p>
        </w:tc>
        <w:tc>
          <w:tcPr>
            <w:tcW w:w="180" w:type="dxa"/>
            <w:vAlign w:val="bottom"/>
            <w:tcBorders>
              <w:top w:val="single" w:sz="8" w:color="0000FF"/>
            </w:tcBorders>
          </w:tcPr>
          <w:p>
            <w:pPr>
              <w:spacing w:after="0"/>
              <w:rPr>
                <w:sz w:val="10"/>
                <w:szCs w:val="10"/>
                <w:color w:val="auto"/>
              </w:rPr>
            </w:pPr>
          </w:p>
        </w:tc>
        <w:tc>
          <w:tcPr>
            <w:tcW w:w="40" w:type="dxa"/>
            <w:vAlign w:val="bottom"/>
            <w:tcBorders>
              <w:top w:val="single" w:sz="8" w:color="0000FF"/>
            </w:tcBorders>
          </w:tcPr>
          <w:p>
            <w:pPr>
              <w:spacing w:after="0"/>
              <w:rPr>
                <w:sz w:val="10"/>
                <w:szCs w:val="10"/>
                <w:color w:val="auto"/>
              </w:rPr>
            </w:pPr>
          </w:p>
        </w:tc>
        <w:tc>
          <w:tcPr>
            <w:tcW w:w="40" w:type="dxa"/>
            <w:vAlign w:val="bottom"/>
            <w:tcBorders>
              <w:top w:val="single" w:sz="8" w:color="0000FF"/>
            </w:tcBorders>
          </w:tcPr>
          <w:p>
            <w:pPr>
              <w:spacing w:after="0"/>
              <w:rPr>
                <w:sz w:val="10"/>
                <w:szCs w:val="10"/>
                <w:color w:val="auto"/>
              </w:rPr>
            </w:pPr>
          </w:p>
        </w:tc>
        <w:tc>
          <w:tcPr>
            <w:tcW w:w="60" w:type="dxa"/>
            <w:vAlign w:val="bottom"/>
            <w:tcBorders>
              <w:top w:val="single" w:sz="8" w:color="0000FF"/>
            </w:tcBorders>
          </w:tcPr>
          <w:p>
            <w:pPr>
              <w:spacing w:after="0"/>
              <w:rPr>
                <w:sz w:val="10"/>
                <w:szCs w:val="10"/>
                <w:color w:val="auto"/>
              </w:rPr>
            </w:pPr>
          </w:p>
        </w:tc>
        <w:tc>
          <w:tcPr>
            <w:tcW w:w="80" w:type="dxa"/>
            <w:vAlign w:val="bottom"/>
            <w:tcBorders>
              <w:top w:val="single" w:sz="8" w:color="0000FF"/>
            </w:tcBorders>
          </w:tcPr>
          <w:p>
            <w:pPr>
              <w:spacing w:after="0"/>
              <w:rPr>
                <w:sz w:val="10"/>
                <w:szCs w:val="10"/>
                <w:color w:val="auto"/>
              </w:rPr>
            </w:pPr>
          </w:p>
        </w:tc>
        <w:tc>
          <w:tcPr>
            <w:tcW w:w="40" w:type="dxa"/>
            <w:vAlign w:val="bottom"/>
            <w:tcBorders>
              <w:top w:val="single" w:sz="8" w:color="0000FF"/>
            </w:tcBorders>
          </w:tcPr>
          <w:p>
            <w:pPr>
              <w:spacing w:after="0"/>
              <w:rPr>
                <w:sz w:val="10"/>
                <w:szCs w:val="10"/>
                <w:color w:val="auto"/>
              </w:rPr>
            </w:pPr>
          </w:p>
        </w:tc>
        <w:tc>
          <w:tcPr>
            <w:tcW w:w="560" w:type="dxa"/>
            <w:vAlign w:val="bottom"/>
          </w:tcPr>
          <w:p>
            <w:pPr>
              <w:spacing w:after="0"/>
              <w:rPr>
                <w:sz w:val="10"/>
                <w:szCs w:val="10"/>
                <w:color w:val="auto"/>
              </w:rPr>
            </w:pPr>
          </w:p>
        </w:tc>
        <w:tc>
          <w:tcPr>
            <w:tcW w:w="9980" w:type="dxa"/>
            <w:vAlign w:val="bottom"/>
            <w:tcBorders>
              <w:top w:val="single" w:sz="8" w:color="0000FF"/>
            </w:tcBorders>
            <w:gridSpan w:val="21"/>
          </w:tcPr>
          <w:p>
            <w:pPr>
              <w:spacing w:after="0" w:line="118" w:lineRule="exact"/>
              <w:rPr>
                <w:rFonts w:ascii="Times New Roman" w:cs="Times New Roman" w:eastAsia="Times New Roman" w:hAnsi="Times New Roman"/>
                <w:sz w:val="13"/>
                <w:szCs w:val="13"/>
                <w:color w:val="0000FF"/>
              </w:rPr>
            </w:pPr>
            <w:hyperlink r:id="rId112">
              <w:r>
                <w:rPr>
                  <w:rFonts w:ascii="Times New Roman" w:cs="Times New Roman" w:eastAsia="Times New Roman" w:hAnsi="Times New Roman"/>
                  <w:sz w:val="13"/>
                  <w:szCs w:val="13"/>
                  <w:color w:val="0000FF"/>
                </w:rPr>
                <w:t>Dycom Industries, Inc.’s Annual Report on Form 10-K filed with the SEC on September 4, 2012).</w:t>
              </w:r>
            </w:hyperlink>
          </w:p>
        </w:tc>
        <w:tc>
          <w:tcPr>
            <w:tcW w:w="320" w:type="dxa"/>
            <w:vAlign w:val="bottom"/>
            <w:gridSpan w:val="14"/>
          </w:tcPr>
          <w:p>
            <w:pPr>
              <w:spacing w:after="0"/>
              <w:rPr>
                <w:sz w:val="10"/>
                <w:szCs w:val="10"/>
                <w:color w:val="auto"/>
              </w:rPr>
            </w:pPr>
          </w:p>
        </w:tc>
      </w:tr>
      <w:tr>
        <w:trPr>
          <w:trHeight w:val="712"/>
        </w:trPr>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720" w:type="dxa"/>
            <w:vAlign w:val="bottom"/>
            <w:tcBorders>
              <w:top w:val="single" w:sz="8" w:color="0000FF"/>
            </w:tcBorders>
            <w:gridSpan w:val="12"/>
          </w:tcPr>
          <w:p>
            <w:pPr>
              <w:jc w:val="right"/>
              <w:ind w:right="40"/>
              <w:spacing w:after="0"/>
              <w:rPr>
                <w:sz w:val="20"/>
                <w:szCs w:val="20"/>
                <w:color w:val="auto"/>
              </w:rPr>
            </w:pPr>
            <w:r>
              <w:rPr>
                <w:rFonts w:ascii="Times New Roman" w:cs="Times New Roman" w:eastAsia="Times New Roman" w:hAnsi="Times New Roman"/>
                <w:sz w:val="14"/>
                <w:szCs w:val="14"/>
                <w:color w:val="auto"/>
              </w:rPr>
              <w:t>79</w:t>
            </w:r>
          </w:p>
        </w:tc>
        <w:tc>
          <w:tcPr>
            <w:tcW w:w="20" w:type="dxa"/>
            <w:vAlign w:val="bottom"/>
            <w:tcBorders>
              <w:top w:val="single" w:sz="8" w:color="0000FF"/>
            </w:tcBorders>
          </w:tcPr>
          <w:p>
            <w:pPr>
              <w:spacing w:after="0"/>
              <w:rPr>
                <w:sz w:val="24"/>
                <w:szCs w:val="24"/>
                <w:color w:val="auto"/>
              </w:rPr>
            </w:pPr>
          </w:p>
        </w:tc>
        <w:tc>
          <w:tcPr>
            <w:tcW w:w="440" w:type="dxa"/>
            <w:vAlign w:val="bottom"/>
            <w:tcBorders>
              <w:top w:val="single" w:sz="8" w:color="0000FF"/>
            </w:tcBorders>
          </w:tcPr>
          <w:p>
            <w:pPr>
              <w:spacing w:after="0"/>
              <w:rPr>
                <w:sz w:val="24"/>
                <w:szCs w:val="24"/>
                <w:color w:val="auto"/>
              </w:rPr>
            </w:pPr>
          </w:p>
        </w:tc>
        <w:tc>
          <w:tcPr>
            <w:tcW w:w="340" w:type="dxa"/>
            <w:vAlign w:val="bottom"/>
            <w:tcBorders>
              <w:top w:val="single" w:sz="8" w:color="0000FF"/>
            </w:tcBorders>
          </w:tcPr>
          <w:p>
            <w:pPr>
              <w:spacing w:after="0"/>
              <w:rPr>
                <w:sz w:val="24"/>
                <w:szCs w:val="24"/>
                <w:color w:val="auto"/>
              </w:rPr>
            </w:pPr>
          </w:p>
        </w:tc>
        <w:tc>
          <w:tcPr>
            <w:tcW w:w="160" w:type="dxa"/>
            <w:vAlign w:val="bottom"/>
          </w:tcPr>
          <w:p>
            <w:pPr>
              <w:spacing w:after="0"/>
              <w:rPr>
                <w:sz w:val="24"/>
                <w:szCs w:val="24"/>
                <w:color w:val="auto"/>
              </w:rPr>
            </w:pPr>
          </w:p>
        </w:tc>
        <w:tc>
          <w:tcPr>
            <w:tcW w:w="4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87"/>
        </w:trPr>
        <w:tc>
          <w:tcPr>
            <w:tcW w:w="20" w:type="dxa"/>
            <w:vAlign w:val="bottom"/>
            <w:tcBorders>
              <w:bottom w:val="single" w:sz="8" w:color="9A9A9A"/>
            </w:tcBorders>
          </w:tcPr>
          <w:p>
            <w:pPr>
              <w:spacing w:after="0"/>
              <w:rPr>
                <w:sz w:val="7"/>
                <w:szCs w:val="7"/>
                <w:color w:val="auto"/>
              </w:rPr>
            </w:pPr>
          </w:p>
        </w:tc>
        <w:tc>
          <w:tcPr>
            <w:tcW w:w="18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56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340" w:type="dxa"/>
            <w:vAlign w:val="bottom"/>
            <w:tcBorders>
              <w:bottom w:val="single" w:sz="8" w:color="9A9A9A"/>
            </w:tcBorders>
          </w:tcPr>
          <w:p>
            <w:pPr>
              <w:spacing w:after="0"/>
              <w:rPr>
                <w:sz w:val="7"/>
                <w:szCs w:val="7"/>
                <w:color w:val="auto"/>
              </w:rPr>
            </w:pPr>
          </w:p>
        </w:tc>
        <w:tc>
          <w:tcPr>
            <w:tcW w:w="150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16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42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108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440" w:type="dxa"/>
            <w:vAlign w:val="bottom"/>
            <w:tcBorders>
              <w:bottom w:val="single" w:sz="8" w:color="9A9A9A"/>
            </w:tcBorders>
          </w:tcPr>
          <w:p>
            <w:pPr>
              <w:spacing w:after="0"/>
              <w:rPr>
                <w:sz w:val="7"/>
                <w:szCs w:val="7"/>
                <w:color w:val="auto"/>
              </w:rPr>
            </w:pPr>
          </w:p>
        </w:tc>
        <w:tc>
          <w:tcPr>
            <w:tcW w:w="340" w:type="dxa"/>
            <w:vAlign w:val="bottom"/>
            <w:tcBorders>
              <w:bottom w:val="single" w:sz="8" w:color="9A9A9A"/>
            </w:tcBorders>
          </w:tcPr>
          <w:p>
            <w:pPr>
              <w:spacing w:after="0"/>
              <w:rPr>
                <w:sz w:val="7"/>
                <w:szCs w:val="7"/>
                <w:color w:val="auto"/>
              </w:rPr>
            </w:pPr>
          </w:p>
        </w:tc>
        <w:tc>
          <w:tcPr>
            <w:tcW w:w="160" w:type="dxa"/>
            <w:vAlign w:val="bottom"/>
            <w:tcBorders>
              <w:bottom w:val="single" w:sz="8" w:color="9A9A9A"/>
            </w:tcBorders>
          </w:tcPr>
          <w:p>
            <w:pPr>
              <w:spacing w:after="0"/>
              <w:rPr>
                <w:sz w:val="7"/>
                <w:szCs w:val="7"/>
                <w:color w:val="auto"/>
              </w:rPr>
            </w:pPr>
          </w:p>
        </w:tc>
        <w:tc>
          <w:tcPr>
            <w:tcW w:w="418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13">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14">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79" w:name="page80"/>
    <w:bookmarkEnd w:id="79"/>
    <w:tbl>
      <w:tblPr>
        <w:tblLayout w:type="fixed"/>
        <w:tblInd w:w="0" w:type="dxa"/>
        <w:tblCellMar>
          <w:top w:w="0" w:type="dxa"/>
          <w:left w:w="0" w:type="dxa"/>
          <w:bottom w:w="0" w:type="dxa"/>
          <w:right w:w="0" w:type="dxa"/>
        </w:tblCellMar>
      </w:tblPr>
      <w:tr>
        <w:trPr>
          <w:trHeight w:val="161"/>
        </w:trPr>
        <w:tc>
          <w:tcPr>
            <w:tcW w:w="1020" w:type="dxa"/>
            <w:vAlign w:val="bottom"/>
            <w:gridSpan w:val="5"/>
          </w:tcPr>
          <w:p>
            <w:pPr>
              <w:spacing w:after="0"/>
              <w:rPr>
                <w:sz w:val="20"/>
                <w:szCs w:val="20"/>
                <w:color w:val="auto"/>
              </w:rPr>
            </w:pPr>
            <w:r>
              <w:rPr>
                <w:rFonts w:ascii="Times New Roman" w:cs="Times New Roman" w:eastAsia="Times New Roman" w:hAnsi="Times New Roman"/>
                <w:sz w:val="14"/>
                <w:szCs w:val="14"/>
                <w:color w:val="0000FF"/>
                <w:w w:val="97"/>
              </w:rPr>
              <w:t>Table of Contents</w:t>
            </w:r>
          </w:p>
        </w:tc>
        <w:tc>
          <w:tcPr>
            <w:tcW w:w="8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8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617"/>
        </w:trPr>
        <w:tc>
          <w:tcPr>
            <w:tcW w:w="20" w:type="dxa"/>
            <w:vAlign w:val="bottom"/>
            <w:tcBorders>
              <w:top w:val="single" w:sz="8" w:color="0000FF"/>
            </w:tcBorders>
          </w:tcPr>
          <w:p>
            <w:pPr>
              <w:spacing w:after="0"/>
              <w:rPr>
                <w:sz w:val="24"/>
                <w:szCs w:val="24"/>
                <w:color w:val="auto"/>
              </w:rPr>
            </w:pPr>
          </w:p>
        </w:tc>
        <w:tc>
          <w:tcPr>
            <w:tcW w:w="400" w:type="dxa"/>
            <w:vAlign w:val="bottom"/>
            <w:tcBorders>
              <w:top w:val="single" w:sz="8" w:color="0000FF"/>
              <w:bottom w:val="single" w:sz="8" w:color="0000FF"/>
            </w:tcBorders>
            <w:gridSpan w:val="2"/>
          </w:tcPr>
          <w:p>
            <w:pPr>
              <w:spacing w:after="0"/>
              <w:rPr>
                <w:rFonts w:ascii="Times New Roman" w:cs="Times New Roman" w:eastAsia="Times New Roman" w:hAnsi="Times New Roman"/>
                <w:sz w:val="14"/>
                <w:szCs w:val="14"/>
                <w:color w:val="0000FF"/>
                <w:w w:val="98"/>
              </w:rPr>
            </w:pPr>
            <w:hyperlink r:id="rId115">
              <w:r>
                <w:rPr>
                  <w:rFonts w:ascii="Times New Roman" w:cs="Times New Roman" w:eastAsia="Times New Roman" w:hAnsi="Times New Roman"/>
                  <w:sz w:val="14"/>
                  <w:szCs w:val="14"/>
                  <w:color w:val="0000FF"/>
                  <w:w w:val="98"/>
                </w:rPr>
                <w:t>10.</w:t>
              </w:r>
              <w:r>
                <w:rPr>
                  <w:rFonts w:ascii="Times New Roman" w:cs="Times New Roman" w:eastAsia="Times New Roman" w:hAnsi="Times New Roman"/>
                  <w:sz w:val="14"/>
                  <w:szCs w:val="14"/>
                  <w:u w:val="single" w:color="auto"/>
                  <w:color w:val="0000FF"/>
                  <w:w w:val="98"/>
                </w:rPr>
                <w:t>14*</w:t>
              </w:r>
            </w:hyperlink>
          </w:p>
        </w:tc>
        <w:tc>
          <w:tcPr>
            <w:tcW w:w="160" w:type="dxa"/>
            <w:vAlign w:val="bottom"/>
            <w:tcBorders>
              <w:top w:val="single" w:sz="8" w:color="0000FF"/>
            </w:tcBorders>
          </w:tcPr>
          <w:p>
            <w:pPr>
              <w:spacing w:after="0"/>
              <w:rPr>
                <w:sz w:val="24"/>
                <w:szCs w:val="24"/>
                <w:color w:val="auto"/>
              </w:rPr>
            </w:pPr>
          </w:p>
        </w:tc>
        <w:tc>
          <w:tcPr>
            <w:tcW w:w="440" w:type="dxa"/>
            <w:vAlign w:val="bottom"/>
            <w:tcBorders>
              <w:top w:val="single" w:sz="8" w:color="0000FF"/>
            </w:tcBorders>
          </w:tcPr>
          <w:p>
            <w:pPr>
              <w:spacing w:after="0"/>
              <w:rPr>
                <w:sz w:val="24"/>
                <w:szCs w:val="24"/>
                <w:color w:val="auto"/>
              </w:rPr>
            </w:pPr>
          </w:p>
        </w:tc>
        <w:tc>
          <w:tcPr>
            <w:tcW w:w="9500" w:type="dxa"/>
            <w:vAlign w:val="bottom"/>
            <w:tcBorders>
              <w:bottom w:val="single" w:sz="8" w:color="0000FF"/>
            </w:tcBorders>
            <w:gridSpan w:val="17"/>
          </w:tcPr>
          <w:p>
            <w:pPr>
              <w:spacing w:after="0"/>
              <w:rPr>
                <w:rFonts w:ascii="Times New Roman" w:cs="Times New Roman" w:eastAsia="Times New Roman" w:hAnsi="Times New Roman"/>
                <w:sz w:val="14"/>
                <w:szCs w:val="14"/>
                <w:color w:val="0000FF"/>
              </w:rPr>
            </w:pPr>
            <w:hyperlink r:id="rId115">
              <w:r>
                <w:rPr>
                  <w:rFonts w:ascii="Times New Roman" w:cs="Times New Roman" w:eastAsia="Times New Roman" w:hAnsi="Times New Roman"/>
                  <w:sz w:val="14"/>
                  <w:szCs w:val="14"/>
                  <w:color w:val="0000FF"/>
                </w:rPr>
                <w:t>2017 Non-Employee Directors Equity Plan (incorporated by reference to Dycom Industries, Inc.’s Definitive Proxy Statement filed with the SEC on October 12, 2017).</w:t>
              </w:r>
            </w:hyperlink>
          </w:p>
        </w:tc>
        <w:tc>
          <w:tcPr>
            <w:tcW w:w="820" w:type="dxa"/>
            <w:vAlign w:val="bottom"/>
            <w:gridSpan w:val="22"/>
          </w:tcPr>
          <w:p>
            <w:pPr>
              <w:spacing w:after="0"/>
              <w:rPr>
                <w:sz w:val="24"/>
                <w:szCs w:val="24"/>
                <w:color w:val="auto"/>
              </w:rPr>
            </w:pPr>
          </w:p>
        </w:tc>
      </w:tr>
      <w:tr>
        <w:trPr>
          <w:trHeight w:val="160"/>
        </w:trPr>
        <w:tc>
          <w:tcPr>
            <w:tcW w:w="420" w:type="dxa"/>
            <w:vAlign w:val="bottom"/>
            <w:gridSpan w:val="3"/>
          </w:tcPr>
          <w:p>
            <w:pPr>
              <w:ind w:left="20"/>
              <w:spacing w:after="0"/>
              <w:rPr>
                <w:rFonts w:ascii="Times New Roman" w:cs="Times New Roman" w:eastAsia="Times New Roman" w:hAnsi="Times New Roman"/>
                <w:sz w:val="14"/>
                <w:szCs w:val="14"/>
                <w:color w:val="0000FF"/>
                <w:w w:val="98"/>
              </w:rPr>
            </w:pPr>
            <w:hyperlink r:id="rId116">
              <w:r>
                <w:rPr>
                  <w:rFonts w:ascii="Times New Roman" w:cs="Times New Roman" w:eastAsia="Times New Roman" w:hAnsi="Times New Roman"/>
                  <w:sz w:val="14"/>
                  <w:szCs w:val="14"/>
                  <w:color w:val="0000FF"/>
                  <w:w w:val="98"/>
                </w:rPr>
                <w:t>10.</w:t>
              </w:r>
              <w:r>
                <w:rPr>
                  <w:rFonts w:ascii="Times New Roman" w:cs="Times New Roman" w:eastAsia="Times New Roman" w:hAnsi="Times New Roman"/>
                  <w:sz w:val="14"/>
                  <w:szCs w:val="14"/>
                  <w:u w:val="single" w:color="auto"/>
                  <w:color w:val="0000FF"/>
                  <w:w w:val="98"/>
                </w:rPr>
                <w:t>15*</w:t>
              </w:r>
            </w:hyperlink>
          </w:p>
        </w:tc>
        <w:tc>
          <w:tcPr>
            <w:tcW w:w="1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320" w:type="dxa"/>
            <w:vAlign w:val="bottom"/>
            <w:gridSpan w:val="39"/>
          </w:tcPr>
          <w:p>
            <w:pPr>
              <w:spacing w:after="0"/>
              <w:rPr>
                <w:rFonts w:ascii="Times New Roman" w:cs="Times New Roman" w:eastAsia="Times New Roman" w:hAnsi="Times New Roman"/>
                <w:sz w:val="14"/>
                <w:szCs w:val="14"/>
                <w:color w:val="0000FF"/>
              </w:rPr>
            </w:pPr>
            <w:hyperlink r:id="rId116">
              <w:r>
                <w:rPr>
                  <w:rFonts w:ascii="Times New Roman" w:cs="Times New Roman" w:eastAsia="Times New Roman" w:hAnsi="Times New Roman"/>
                  <w:sz w:val="14"/>
                  <w:szCs w:val="14"/>
                  <w:color w:val="0000FF"/>
                </w:rPr>
                <w:t>Dycom Industries, Inc. 2017 Non-Employee Directors Equity Plan, as Amended and Restated as of May 25, 2023 (incorporated herein by reference to Appendix A of the</w:t>
              </w:r>
            </w:hyperlink>
          </w:p>
        </w:tc>
      </w:tr>
      <w:tr>
        <w:trPr>
          <w:trHeight w:val="118"/>
        </w:trPr>
        <w:tc>
          <w:tcPr>
            <w:tcW w:w="20" w:type="dxa"/>
            <w:vAlign w:val="bottom"/>
          </w:tcPr>
          <w:p>
            <w:pPr>
              <w:spacing w:after="0"/>
              <w:rPr>
                <w:sz w:val="10"/>
                <w:szCs w:val="10"/>
                <w:color w:val="auto"/>
              </w:rPr>
            </w:pPr>
          </w:p>
        </w:tc>
        <w:tc>
          <w:tcPr>
            <w:tcW w:w="320" w:type="dxa"/>
            <w:vAlign w:val="bottom"/>
            <w:tcBorders>
              <w:top w:val="single" w:sz="8" w:color="0000FF"/>
            </w:tcBorders>
          </w:tcPr>
          <w:p>
            <w:pPr>
              <w:spacing w:after="0"/>
              <w:rPr>
                <w:sz w:val="10"/>
                <w:szCs w:val="10"/>
                <w:color w:val="auto"/>
              </w:rPr>
            </w:pPr>
          </w:p>
        </w:tc>
        <w:tc>
          <w:tcPr>
            <w:tcW w:w="80" w:type="dxa"/>
            <w:vAlign w:val="bottom"/>
            <w:tcBorders>
              <w:top w:val="single" w:sz="8" w:color="0000FF"/>
            </w:tcBorders>
          </w:tcPr>
          <w:p>
            <w:pPr>
              <w:spacing w:after="0"/>
              <w:rPr>
                <w:sz w:val="10"/>
                <w:szCs w:val="10"/>
                <w:color w:val="auto"/>
              </w:rPr>
            </w:pPr>
          </w:p>
        </w:tc>
        <w:tc>
          <w:tcPr>
            <w:tcW w:w="1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9600" w:type="dxa"/>
            <w:vAlign w:val="bottom"/>
            <w:tcBorders>
              <w:top w:val="single" w:sz="8" w:color="0000FF"/>
            </w:tcBorders>
            <w:gridSpan w:val="18"/>
          </w:tcPr>
          <w:p>
            <w:pPr>
              <w:spacing w:after="0" w:line="118" w:lineRule="exact"/>
              <w:rPr>
                <w:rFonts w:ascii="Times New Roman" w:cs="Times New Roman" w:eastAsia="Times New Roman" w:hAnsi="Times New Roman"/>
                <w:sz w:val="13"/>
                <w:szCs w:val="13"/>
                <w:color w:val="0000FF"/>
              </w:rPr>
            </w:pPr>
            <w:hyperlink r:id="rId116">
              <w:r>
                <w:rPr>
                  <w:rFonts w:ascii="Times New Roman" w:cs="Times New Roman" w:eastAsia="Times New Roman" w:hAnsi="Times New Roman"/>
                  <w:sz w:val="13"/>
                  <w:szCs w:val="13"/>
                  <w:color w:val="0000FF"/>
                </w:rPr>
                <w:t>Company’s Definitive Proxy Statement, filed with the SEC on April 14, 2023).</w:t>
              </w:r>
            </w:hyperlink>
          </w:p>
        </w:tc>
        <w:tc>
          <w:tcPr>
            <w:tcW w:w="2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20"/>
        </w:trPr>
        <w:tc>
          <w:tcPr>
            <w:tcW w:w="3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Borders>
              <w:right w:val="single" w:sz="8" w:color="0000FF"/>
            </w:tcBorders>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12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1"/>
        </w:trPr>
        <w:tc>
          <w:tcPr>
            <w:tcW w:w="420" w:type="dxa"/>
            <w:vAlign w:val="bottom"/>
            <w:gridSpan w:val="3"/>
          </w:tcPr>
          <w:p>
            <w:pPr>
              <w:ind w:left="20"/>
              <w:spacing w:after="0"/>
              <w:rPr>
                <w:rFonts w:ascii="Times New Roman" w:cs="Times New Roman" w:eastAsia="Times New Roman" w:hAnsi="Times New Roman"/>
                <w:sz w:val="14"/>
                <w:szCs w:val="14"/>
                <w:color w:val="0000FF"/>
                <w:w w:val="98"/>
              </w:rPr>
            </w:pPr>
            <w:hyperlink r:id="rId117">
              <w:r>
                <w:rPr>
                  <w:rFonts w:ascii="Times New Roman" w:cs="Times New Roman" w:eastAsia="Times New Roman" w:hAnsi="Times New Roman"/>
                  <w:sz w:val="14"/>
                  <w:szCs w:val="14"/>
                  <w:color w:val="0000FF"/>
                  <w:w w:val="98"/>
                </w:rPr>
                <w:t>10.</w:t>
              </w:r>
              <w:r>
                <w:rPr>
                  <w:rFonts w:ascii="Times New Roman" w:cs="Times New Roman" w:eastAsia="Times New Roman" w:hAnsi="Times New Roman"/>
                  <w:sz w:val="14"/>
                  <w:szCs w:val="14"/>
                  <w:u w:val="single" w:color="auto"/>
                  <w:color w:val="0000FF"/>
                  <w:w w:val="98"/>
                </w:rPr>
                <w:t>16*</w:t>
              </w:r>
            </w:hyperlink>
          </w:p>
        </w:tc>
        <w:tc>
          <w:tcPr>
            <w:tcW w:w="1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320" w:type="dxa"/>
            <w:vAlign w:val="bottom"/>
            <w:gridSpan w:val="39"/>
          </w:tcPr>
          <w:p>
            <w:pPr>
              <w:spacing w:after="0"/>
              <w:rPr>
                <w:rFonts w:ascii="Times New Roman" w:cs="Times New Roman" w:eastAsia="Times New Roman" w:hAnsi="Times New Roman"/>
                <w:sz w:val="14"/>
                <w:szCs w:val="14"/>
                <w:color w:val="0000FF"/>
              </w:rPr>
            </w:pPr>
            <w:hyperlink r:id="rId117">
              <w:r>
                <w:rPr>
                  <w:rFonts w:ascii="Times New Roman" w:cs="Times New Roman" w:eastAsia="Times New Roman" w:hAnsi="Times New Roman"/>
                  <w:sz w:val="14"/>
                  <w:szCs w:val="14"/>
                  <w:color w:val="0000FF"/>
                </w:rPr>
                <w:t>Form of Non-Employee Director Restricted Stock Unit Agreement under the 2017 Non-Employee Directors Equity Plan (incorporated by reference to Dycom Industries, Inc.’s</w:t>
              </w:r>
            </w:hyperlink>
          </w:p>
        </w:tc>
      </w:tr>
      <w:tr>
        <w:trPr>
          <w:trHeight w:val="118"/>
        </w:trPr>
        <w:tc>
          <w:tcPr>
            <w:tcW w:w="20" w:type="dxa"/>
            <w:vAlign w:val="bottom"/>
          </w:tcPr>
          <w:p>
            <w:pPr>
              <w:spacing w:after="0"/>
              <w:rPr>
                <w:sz w:val="10"/>
                <w:szCs w:val="10"/>
                <w:color w:val="auto"/>
              </w:rPr>
            </w:pPr>
          </w:p>
        </w:tc>
        <w:tc>
          <w:tcPr>
            <w:tcW w:w="320" w:type="dxa"/>
            <w:vAlign w:val="bottom"/>
            <w:tcBorders>
              <w:top w:val="single" w:sz="8" w:color="0000FF"/>
            </w:tcBorders>
          </w:tcPr>
          <w:p>
            <w:pPr>
              <w:spacing w:after="0"/>
              <w:rPr>
                <w:sz w:val="10"/>
                <w:szCs w:val="10"/>
                <w:color w:val="auto"/>
              </w:rPr>
            </w:pPr>
          </w:p>
        </w:tc>
        <w:tc>
          <w:tcPr>
            <w:tcW w:w="80" w:type="dxa"/>
            <w:vAlign w:val="bottom"/>
            <w:tcBorders>
              <w:top w:val="single" w:sz="8" w:color="0000FF"/>
            </w:tcBorders>
          </w:tcPr>
          <w:p>
            <w:pPr>
              <w:spacing w:after="0"/>
              <w:rPr>
                <w:sz w:val="10"/>
                <w:szCs w:val="10"/>
                <w:color w:val="auto"/>
              </w:rPr>
            </w:pPr>
          </w:p>
        </w:tc>
        <w:tc>
          <w:tcPr>
            <w:tcW w:w="1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9940" w:type="dxa"/>
            <w:vAlign w:val="bottom"/>
            <w:tcBorders>
              <w:top w:val="single" w:sz="8" w:color="0000FF"/>
            </w:tcBorders>
            <w:gridSpan w:val="22"/>
          </w:tcPr>
          <w:p>
            <w:pPr>
              <w:spacing w:after="0" w:line="118" w:lineRule="exact"/>
              <w:rPr>
                <w:rFonts w:ascii="Times New Roman" w:cs="Times New Roman" w:eastAsia="Times New Roman" w:hAnsi="Times New Roman"/>
                <w:sz w:val="13"/>
                <w:szCs w:val="13"/>
                <w:color w:val="0000FF"/>
              </w:rPr>
            </w:pPr>
            <w:hyperlink r:id="rId117">
              <w:r>
                <w:rPr>
                  <w:rFonts w:ascii="Times New Roman" w:cs="Times New Roman" w:eastAsia="Times New Roman" w:hAnsi="Times New Roman"/>
                  <w:sz w:val="13"/>
                  <w:szCs w:val="13"/>
                  <w:color w:val="0000FF"/>
                </w:rPr>
                <w:t>Transition Report on Form 10-K filed with the SEC on March 2, 2018).</w:t>
              </w:r>
            </w:hyperlink>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20"/>
        </w:trPr>
        <w:tc>
          <w:tcPr>
            <w:tcW w:w="3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Borders>
              <w:right w:val="single" w:sz="8" w:color="0000FF"/>
            </w:tcBorders>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12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1"/>
        </w:trPr>
        <w:tc>
          <w:tcPr>
            <w:tcW w:w="20" w:type="dxa"/>
            <w:vAlign w:val="bottom"/>
          </w:tcPr>
          <w:p>
            <w:pPr>
              <w:spacing w:after="0"/>
              <w:rPr>
                <w:sz w:val="14"/>
                <w:szCs w:val="14"/>
                <w:color w:val="auto"/>
              </w:rPr>
            </w:pPr>
          </w:p>
        </w:tc>
        <w:tc>
          <w:tcPr>
            <w:tcW w:w="400" w:type="dxa"/>
            <w:vAlign w:val="bottom"/>
            <w:tcBorders>
              <w:bottom w:val="single" w:sz="8" w:color="0000FF"/>
            </w:tcBorders>
            <w:gridSpan w:val="2"/>
          </w:tcPr>
          <w:p>
            <w:pPr>
              <w:spacing w:after="0"/>
              <w:rPr>
                <w:rFonts w:ascii="Times New Roman" w:cs="Times New Roman" w:eastAsia="Times New Roman" w:hAnsi="Times New Roman"/>
                <w:sz w:val="14"/>
                <w:szCs w:val="14"/>
                <w:color w:val="0000FF"/>
                <w:w w:val="98"/>
              </w:rPr>
            </w:pPr>
            <w:hyperlink r:id="rId118">
              <w:r>
                <w:rPr>
                  <w:rFonts w:ascii="Times New Roman" w:cs="Times New Roman" w:eastAsia="Times New Roman" w:hAnsi="Times New Roman"/>
                  <w:sz w:val="14"/>
                  <w:szCs w:val="14"/>
                  <w:color w:val="0000FF"/>
                  <w:w w:val="98"/>
                </w:rPr>
                <w:t>10.</w:t>
              </w:r>
              <w:r>
                <w:rPr>
                  <w:rFonts w:ascii="Times New Roman" w:cs="Times New Roman" w:eastAsia="Times New Roman" w:hAnsi="Times New Roman"/>
                  <w:sz w:val="14"/>
                  <w:szCs w:val="14"/>
                  <w:u w:val="single" w:color="auto"/>
                  <w:color w:val="0000FF"/>
                  <w:w w:val="98"/>
                </w:rPr>
                <w:t>17*</w:t>
              </w:r>
            </w:hyperlink>
          </w:p>
        </w:tc>
        <w:tc>
          <w:tcPr>
            <w:tcW w:w="1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980" w:type="dxa"/>
            <w:vAlign w:val="bottom"/>
            <w:tcBorders>
              <w:bottom w:val="single" w:sz="8" w:color="0000FF"/>
            </w:tcBorders>
            <w:gridSpan w:val="24"/>
          </w:tcPr>
          <w:p>
            <w:pPr>
              <w:spacing w:after="0"/>
              <w:rPr>
                <w:rFonts w:ascii="Times New Roman" w:cs="Times New Roman" w:eastAsia="Times New Roman" w:hAnsi="Times New Roman"/>
                <w:sz w:val="14"/>
                <w:szCs w:val="14"/>
                <w:color w:val="0000FF"/>
              </w:rPr>
            </w:pPr>
            <w:hyperlink r:id="rId118">
              <w:r>
                <w:rPr>
                  <w:rFonts w:ascii="Times New Roman" w:cs="Times New Roman" w:eastAsia="Times New Roman" w:hAnsi="Times New Roman"/>
                  <w:sz w:val="14"/>
                  <w:szCs w:val="14"/>
                  <w:color w:val="0000FF"/>
                </w:rPr>
                <w:t>Employment Agreement for Steven E. Nielsen dated as of May 21, 2020 (incorporated by reference to Dycom Industries, Inc.’s Form 8-K filed with the SEC on May 21, 2020).</w:t>
              </w:r>
            </w:hyperlink>
          </w:p>
        </w:tc>
        <w:tc>
          <w:tcPr>
            <w:tcW w:w="340" w:type="dxa"/>
            <w:vAlign w:val="bottom"/>
            <w:gridSpan w:val="15"/>
          </w:tcPr>
          <w:p>
            <w:pPr>
              <w:spacing w:after="0"/>
              <w:rPr>
                <w:sz w:val="14"/>
                <w:szCs w:val="14"/>
                <w:color w:val="auto"/>
              </w:rPr>
            </w:pPr>
          </w:p>
        </w:tc>
      </w:tr>
      <w:tr>
        <w:trPr>
          <w:trHeight w:val="160"/>
        </w:trPr>
        <w:tc>
          <w:tcPr>
            <w:tcW w:w="20" w:type="dxa"/>
            <w:vAlign w:val="bottom"/>
          </w:tcPr>
          <w:p>
            <w:pPr>
              <w:spacing w:after="0"/>
              <w:rPr>
                <w:sz w:val="13"/>
                <w:szCs w:val="13"/>
                <w:color w:val="auto"/>
              </w:rPr>
            </w:pPr>
          </w:p>
        </w:tc>
        <w:tc>
          <w:tcPr>
            <w:tcW w:w="1000" w:type="dxa"/>
            <w:vAlign w:val="bottom"/>
            <w:gridSpan w:val="4"/>
          </w:tcPr>
          <w:p>
            <w:pPr>
              <w:spacing w:after="0"/>
              <w:rPr>
                <w:rFonts w:ascii="Times New Roman" w:cs="Times New Roman" w:eastAsia="Times New Roman" w:hAnsi="Times New Roman"/>
                <w:sz w:val="14"/>
                <w:szCs w:val="14"/>
                <w:color w:val="0000FF"/>
              </w:rPr>
            </w:pPr>
            <w:hyperlink r:id="rId119">
              <w:r>
                <w:rPr>
                  <w:rFonts w:ascii="Times New Roman" w:cs="Times New Roman" w:eastAsia="Times New Roman" w:hAnsi="Times New Roman"/>
                  <w:sz w:val="14"/>
                  <w:szCs w:val="14"/>
                  <w:color w:val="0000FF"/>
                </w:rPr>
                <w:t>10.</w:t>
              </w:r>
              <w:r>
                <w:rPr>
                  <w:rFonts w:ascii="Times New Roman" w:cs="Times New Roman" w:eastAsia="Times New Roman" w:hAnsi="Times New Roman"/>
                  <w:sz w:val="14"/>
                  <w:szCs w:val="14"/>
                  <w:u w:val="single" w:color="auto"/>
                  <w:color w:val="0000FF"/>
                </w:rPr>
                <w:t>17(a)*</w:t>
              </w:r>
            </w:hyperlink>
          </w:p>
        </w:tc>
        <w:tc>
          <w:tcPr>
            <w:tcW w:w="10320" w:type="dxa"/>
            <w:vAlign w:val="bottom"/>
            <w:gridSpan w:val="39"/>
          </w:tcPr>
          <w:p>
            <w:pPr>
              <w:spacing w:after="0"/>
              <w:rPr>
                <w:rFonts w:ascii="Times New Roman" w:cs="Times New Roman" w:eastAsia="Times New Roman" w:hAnsi="Times New Roman"/>
                <w:sz w:val="14"/>
                <w:szCs w:val="14"/>
                <w:color w:val="0000FF"/>
              </w:rPr>
            </w:pPr>
            <w:hyperlink r:id="rId119">
              <w:r>
                <w:rPr>
                  <w:rFonts w:ascii="Times New Roman" w:cs="Times New Roman" w:eastAsia="Times New Roman" w:hAnsi="Times New Roman"/>
                  <w:sz w:val="14"/>
                  <w:szCs w:val="14"/>
                  <w:color w:val="0000FF"/>
                </w:rPr>
                <w:t>Amended and Restated Employment Agreement for Steven E. Nielsen dated as of June 14, 2024 (incorporated by reference to Dycom Industries, Inc.’s Current Report on Form 8-K</w:t>
              </w:r>
            </w:hyperlink>
          </w:p>
        </w:tc>
      </w:tr>
      <w:tr>
        <w:trPr>
          <w:trHeight w:val="118"/>
        </w:trPr>
        <w:tc>
          <w:tcPr>
            <w:tcW w:w="20" w:type="dxa"/>
            <w:vAlign w:val="bottom"/>
          </w:tcPr>
          <w:p>
            <w:pPr>
              <w:spacing w:after="0"/>
              <w:rPr>
                <w:sz w:val="10"/>
                <w:szCs w:val="10"/>
                <w:color w:val="auto"/>
              </w:rPr>
            </w:pPr>
          </w:p>
        </w:tc>
        <w:tc>
          <w:tcPr>
            <w:tcW w:w="320" w:type="dxa"/>
            <w:vAlign w:val="bottom"/>
            <w:tcBorders>
              <w:top w:val="single" w:sz="8" w:color="0000FF"/>
            </w:tcBorders>
          </w:tcPr>
          <w:p>
            <w:pPr>
              <w:spacing w:after="0"/>
              <w:rPr>
                <w:sz w:val="10"/>
                <w:szCs w:val="10"/>
                <w:color w:val="auto"/>
              </w:rPr>
            </w:pPr>
          </w:p>
        </w:tc>
        <w:tc>
          <w:tcPr>
            <w:tcW w:w="80" w:type="dxa"/>
            <w:vAlign w:val="bottom"/>
            <w:tcBorders>
              <w:top w:val="single" w:sz="8" w:color="0000FF"/>
            </w:tcBorders>
          </w:tcPr>
          <w:p>
            <w:pPr>
              <w:spacing w:after="0"/>
              <w:rPr>
                <w:sz w:val="10"/>
                <w:szCs w:val="10"/>
                <w:color w:val="auto"/>
              </w:rPr>
            </w:pPr>
          </w:p>
        </w:tc>
        <w:tc>
          <w:tcPr>
            <w:tcW w:w="160" w:type="dxa"/>
            <w:vAlign w:val="bottom"/>
            <w:tcBorders>
              <w:top w:val="single" w:sz="8" w:color="0000FF"/>
            </w:tcBorders>
          </w:tcPr>
          <w:p>
            <w:pPr>
              <w:spacing w:after="0"/>
              <w:rPr>
                <w:sz w:val="10"/>
                <w:szCs w:val="10"/>
                <w:color w:val="auto"/>
              </w:rPr>
            </w:pPr>
          </w:p>
        </w:tc>
        <w:tc>
          <w:tcPr>
            <w:tcW w:w="440" w:type="dxa"/>
            <w:vAlign w:val="bottom"/>
          </w:tcPr>
          <w:p>
            <w:pPr>
              <w:spacing w:after="0"/>
              <w:rPr>
                <w:sz w:val="10"/>
                <w:szCs w:val="10"/>
                <w:color w:val="auto"/>
              </w:rPr>
            </w:pPr>
          </w:p>
        </w:tc>
        <w:tc>
          <w:tcPr>
            <w:tcW w:w="10300" w:type="dxa"/>
            <w:vAlign w:val="bottom"/>
            <w:tcBorders>
              <w:top w:val="single" w:sz="8" w:color="0000FF"/>
            </w:tcBorders>
            <w:gridSpan w:val="38"/>
          </w:tcPr>
          <w:p>
            <w:pPr>
              <w:spacing w:after="0" w:line="118" w:lineRule="exact"/>
              <w:rPr>
                <w:rFonts w:ascii="Times New Roman" w:cs="Times New Roman" w:eastAsia="Times New Roman" w:hAnsi="Times New Roman"/>
                <w:sz w:val="13"/>
                <w:szCs w:val="13"/>
                <w:color w:val="0000FF"/>
              </w:rPr>
            </w:pPr>
            <w:hyperlink r:id="rId119">
              <w:r>
                <w:rPr>
                  <w:rFonts w:ascii="Times New Roman" w:cs="Times New Roman" w:eastAsia="Times New Roman" w:hAnsi="Times New Roman"/>
                  <w:sz w:val="13"/>
                  <w:szCs w:val="13"/>
                  <w:color w:val="0000FF"/>
                </w:rPr>
                <w:t>filed with the SEC on June 17, 2024).</w:t>
              </w:r>
            </w:hyperlink>
          </w:p>
        </w:tc>
        <w:tc>
          <w:tcPr>
            <w:tcW w:w="20" w:type="dxa"/>
            <w:vAlign w:val="bottom"/>
          </w:tcPr>
          <w:p>
            <w:pPr>
              <w:spacing w:after="0"/>
              <w:rPr>
                <w:sz w:val="10"/>
                <w:szCs w:val="10"/>
                <w:color w:val="auto"/>
              </w:rPr>
            </w:pPr>
          </w:p>
        </w:tc>
      </w:tr>
      <w:tr>
        <w:trPr>
          <w:trHeight w:val="20"/>
        </w:trPr>
        <w:tc>
          <w:tcPr>
            <w:tcW w:w="3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Borders>
              <w:right w:val="single" w:sz="8" w:color="0000FF"/>
            </w:tcBorders>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520" w:type="dxa"/>
            <w:vAlign w:val="bottom"/>
            <w:gridSpan w:val="3"/>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12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171"/>
        </w:trPr>
        <w:tc>
          <w:tcPr>
            <w:tcW w:w="420" w:type="dxa"/>
            <w:vAlign w:val="bottom"/>
            <w:gridSpan w:val="3"/>
          </w:tcPr>
          <w:p>
            <w:pPr>
              <w:ind w:left="20"/>
              <w:spacing w:after="0"/>
              <w:rPr>
                <w:rFonts w:ascii="Times New Roman" w:cs="Times New Roman" w:eastAsia="Times New Roman" w:hAnsi="Times New Roman"/>
                <w:sz w:val="14"/>
                <w:szCs w:val="14"/>
                <w:color w:val="0000FF"/>
                <w:w w:val="98"/>
              </w:rPr>
            </w:pPr>
            <w:hyperlink r:id="rId119">
              <w:r>
                <w:rPr>
                  <w:rFonts w:ascii="Times New Roman" w:cs="Times New Roman" w:eastAsia="Times New Roman" w:hAnsi="Times New Roman"/>
                  <w:sz w:val="14"/>
                  <w:szCs w:val="14"/>
                  <w:color w:val="0000FF"/>
                  <w:w w:val="98"/>
                </w:rPr>
                <w:t>10.</w:t>
              </w:r>
              <w:r>
                <w:rPr>
                  <w:rFonts w:ascii="Times New Roman" w:cs="Times New Roman" w:eastAsia="Times New Roman" w:hAnsi="Times New Roman"/>
                  <w:sz w:val="14"/>
                  <w:szCs w:val="14"/>
                  <w:u w:val="single" w:color="auto"/>
                  <w:color w:val="0000FF"/>
                  <w:w w:val="98"/>
                </w:rPr>
                <w:t>18*</w:t>
              </w:r>
            </w:hyperlink>
          </w:p>
        </w:tc>
        <w:tc>
          <w:tcPr>
            <w:tcW w:w="1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320" w:type="dxa"/>
            <w:vAlign w:val="bottom"/>
            <w:gridSpan w:val="39"/>
          </w:tcPr>
          <w:p>
            <w:pPr>
              <w:spacing w:after="0"/>
              <w:rPr>
                <w:rFonts w:ascii="Times New Roman" w:cs="Times New Roman" w:eastAsia="Times New Roman" w:hAnsi="Times New Roman"/>
                <w:sz w:val="14"/>
                <w:szCs w:val="14"/>
                <w:color w:val="0000FF"/>
              </w:rPr>
            </w:pPr>
            <w:hyperlink r:id="rId119">
              <w:r>
                <w:rPr>
                  <w:rFonts w:ascii="Times New Roman" w:cs="Times New Roman" w:eastAsia="Times New Roman" w:hAnsi="Times New Roman"/>
                  <w:sz w:val="14"/>
                  <w:szCs w:val="14"/>
                  <w:color w:val="0000FF"/>
                </w:rPr>
                <w:t>Employment Agreement for Daniel S. Peyovich dated as of June 14, 2024 (incorporated by reference to Dycom Industries, Inc.’s Current Report on Form 8-K filed with the SEC on</w:t>
              </w:r>
            </w:hyperlink>
          </w:p>
        </w:tc>
      </w:tr>
      <w:tr>
        <w:trPr>
          <w:trHeight w:val="118"/>
        </w:trPr>
        <w:tc>
          <w:tcPr>
            <w:tcW w:w="20" w:type="dxa"/>
            <w:vAlign w:val="bottom"/>
          </w:tcPr>
          <w:p>
            <w:pPr>
              <w:spacing w:after="0"/>
              <w:rPr>
                <w:sz w:val="10"/>
                <w:szCs w:val="10"/>
                <w:color w:val="auto"/>
              </w:rPr>
            </w:pPr>
          </w:p>
        </w:tc>
        <w:tc>
          <w:tcPr>
            <w:tcW w:w="320" w:type="dxa"/>
            <w:vAlign w:val="bottom"/>
            <w:tcBorders>
              <w:top w:val="single" w:sz="8" w:color="0000FF"/>
            </w:tcBorders>
          </w:tcPr>
          <w:p>
            <w:pPr>
              <w:spacing w:after="0"/>
              <w:rPr>
                <w:sz w:val="10"/>
                <w:szCs w:val="10"/>
                <w:color w:val="auto"/>
              </w:rPr>
            </w:pPr>
          </w:p>
        </w:tc>
        <w:tc>
          <w:tcPr>
            <w:tcW w:w="80" w:type="dxa"/>
            <w:vAlign w:val="bottom"/>
            <w:tcBorders>
              <w:top w:val="single" w:sz="8" w:color="0000FF"/>
            </w:tcBorders>
          </w:tcPr>
          <w:p>
            <w:pPr>
              <w:spacing w:after="0"/>
              <w:rPr>
                <w:sz w:val="10"/>
                <w:szCs w:val="10"/>
                <w:color w:val="auto"/>
              </w:rPr>
            </w:pPr>
          </w:p>
        </w:tc>
        <w:tc>
          <w:tcPr>
            <w:tcW w:w="1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280" w:type="dxa"/>
            <w:vAlign w:val="bottom"/>
            <w:tcBorders>
              <w:top w:val="single" w:sz="8" w:color="0000FF"/>
            </w:tcBorders>
            <w:gridSpan w:val="37"/>
          </w:tcPr>
          <w:p>
            <w:pPr>
              <w:spacing w:after="0" w:line="118" w:lineRule="exact"/>
              <w:rPr>
                <w:rFonts w:ascii="Times New Roman" w:cs="Times New Roman" w:eastAsia="Times New Roman" w:hAnsi="Times New Roman"/>
                <w:sz w:val="13"/>
                <w:szCs w:val="13"/>
                <w:color w:val="0000FF"/>
              </w:rPr>
            </w:pPr>
            <w:hyperlink r:id="rId119">
              <w:r>
                <w:rPr>
                  <w:rFonts w:ascii="Times New Roman" w:cs="Times New Roman" w:eastAsia="Times New Roman" w:hAnsi="Times New Roman"/>
                  <w:sz w:val="13"/>
                  <w:szCs w:val="13"/>
                  <w:color w:val="0000FF"/>
                </w:rPr>
                <w:t>June 17, 2024).</w:t>
              </w:r>
            </w:hyperlink>
          </w:p>
        </w:tc>
        <w:tc>
          <w:tcPr>
            <w:tcW w:w="40" w:type="dxa"/>
            <w:vAlign w:val="bottom"/>
            <w:gridSpan w:val="2"/>
          </w:tcPr>
          <w:p>
            <w:pPr>
              <w:spacing w:after="0"/>
              <w:rPr>
                <w:sz w:val="10"/>
                <w:szCs w:val="10"/>
                <w:color w:val="auto"/>
              </w:rPr>
            </w:pPr>
          </w:p>
        </w:tc>
      </w:tr>
      <w:tr>
        <w:trPr>
          <w:trHeight w:val="20"/>
        </w:trPr>
        <w:tc>
          <w:tcPr>
            <w:tcW w:w="3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Borders>
              <w:right w:val="single" w:sz="8" w:color="0000FF"/>
            </w:tcBorders>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520" w:type="dxa"/>
            <w:vAlign w:val="bottom"/>
            <w:gridSpan w:val="3"/>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12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r>
      <w:tr>
        <w:trPr>
          <w:trHeight w:val="171"/>
        </w:trPr>
        <w:tc>
          <w:tcPr>
            <w:tcW w:w="420" w:type="dxa"/>
            <w:vAlign w:val="bottom"/>
            <w:gridSpan w:val="3"/>
          </w:tcPr>
          <w:p>
            <w:pPr>
              <w:ind w:left="20"/>
              <w:spacing w:after="0"/>
              <w:rPr>
                <w:rFonts w:ascii="Times New Roman" w:cs="Times New Roman" w:eastAsia="Times New Roman" w:hAnsi="Times New Roman"/>
                <w:sz w:val="14"/>
                <w:szCs w:val="14"/>
                <w:color w:val="0000FF"/>
                <w:w w:val="98"/>
              </w:rPr>
            </w:pPr>
            <w:hyperlink r:id="rId120">
              <w:r>
                <w:rPr>
                  <w:rFonts w:ascii="Times New Roman" w:cs="Times New Roman" w:eastAsia="Times New Roman" w:hAnsi="Times New Roman"/>
                  <w:sz w:val="14"/>
                  <w:szCs w:val="14"/>
                  <w:color w:val="0000FF"/>
                  <w:w w:val="98"/>
                </w:rPr>
                <w:t>10.</w:t>
              </w:r>
              <w:r>
                <w:rPr>
                  <w:rFonts w:ascii="Times New Roman" w:cs="Times New Roman" w:eastAsia="Times New Roman" w:hAnsi="Times New Roman"/>
                  <w:sz w:val="14"/>
                  <w:szCs w:val="14"/>
                  <w:u w:val="single" w:color="auto"/>
                  <w:color w:val="0000FF"/>
                  <w:w w:val="98"/>
                </w:rPr>
                <w:t>19*</w:t>
              </w:r>
            </w:hyperlink>
          </w:p>
        </w:tc>
        <w:tc>
          <w:tcPr>
            <w:tcW w:w="1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320" w:type="dxa"/>
            <w:vAlign w:val="bottom"/>
            <w:gridSpan w:val="39"/>
          </w:tcPr>
          <w:p>
            <w:pPr>
              <w:spacing w:after="0"/>
              <w:rPr>
                <w:rFonts w:ascii="Times New Roman" w:cs="Times New Roman" w:eastAsia="Times New Roman" w:hAnsi="Times New Roman"/>
                <w:sz w:val="14"/>
                <w:szCs w:val="14"/>
                <w:color w:val="0000FF"/>
              </w:rPr>
            </w:pPr>
            <w:hyperlink r:id="rId120">
              <w:r>
                <w:rPr>
                  <w:rFonts w:ascii="Times New Roman" w:cs="Times New Roman" w:eastAsia="Times New Roman" w:hAnsi="Times New Roman"/>
                  <w:sz w:val="14"/>
                  <w:szCs w:val="14"/>
                  <w:color w:val="0000FF"/>
                </w:rPr>
                <w:t>Employment Agreement for H. Andrew DeFerrari dated as of July 23, 2015 (incorporated by reference to Dycom Industries, Inc.’s Current Report on Form 8-K filed with the SEC</w:t>
              </w:r>
            </w:hyperlink>
          </w:p>
        </w:tc>
      </w:tr>
      <w:tr>
        <w:trPr>
          <w:trHeight w:val="118"/>
        </w:trPr>
        <w:tc>
          <w:tcPr>
            <w:tcW w:w="20" w:type="dxa"/>
            <w:vAlign w:val="bottom"/>
          </w:tcPr>
          <w:p>
            <w:pPr>
              <w:spacing w:after="0"/>
              <w:rPr>
                <w:sz w:val="10"/>
                <w:szCs w:val="10"/>
                <w:color w:val="auto"/>
              </w:rPr>
            </w:pPr>
          </w:p>
        </w:tc>
        <w:tc>
          <w:tcPr>
            <w:tcW w:w="320" w:type="dxa"/>
            <w:vAlign w:val="bottom"/>
            <w:tcBorders>
              <w:top w:val="single" w:sz="8" w:color="0000FF"/>
            </w:tcBorders>
          </w:tcPr>
          <w:p>
            <w:pPr>
              <w:spacing w:after="0"/>
              <w:rPr>
                <w:sz w:val="10"/>
                <w:szCs w:val="10"/>
                <w:color w:val="auto"/>
              </w:rPr>
            </w:pPr>
          </w:p>
        </w:tc>
        <w:tc>
          <w:tcPr>
            <w:tcW w:w="80" w:type="dxa"/>
            <w:vAlign w:val="bottom"/>
            <w:tcBorders>
              <w:top w:val="single" w:sz="8" w:color="0000FF"/>
            </w:tcBorders>
          </w:tcPr>
          <w:p>
            <w:pPr>
              <w:spacing w:after="0"/>
              <w:rPr>
                <w:sz w:val="10"/>
                <w:szCs w:val="10"/>
                <w:color w:val="auto"/>
              </w:rPr>
            </w:pPr>
          </w:p>
        </w:tc>
        <w:tc>
          <w:tcPr>
            <w:tcW w:w="1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220" w:type="dxa"/>
            <w:vAlign w:val="bottom"/>
            <w:tcBorders>
              <w:top w:val="single" w:sz="8" w:color="0000FF"/>
            </w:tcBorders>
            <w:gridSpan w:val="34"/>
          </w:tcPr>
          <w:p>
            <w:pPr>
              <w:spacing w:after="0" w:line="118" w:lineRule="exact"/>
              <w:rPr>
                <w:rFonts w:ascii="Times New Roman" w:cs="Times New Roman" w:eastAsia="Times New Roman" w:hAnsi="Times New Roman"/>
                <w:sz w:val="13"/>
                <w:szCs w:val="13"/>
                <w:color w:val="0000FF"/>
              </w:rPr>
            </w:pPr>
            <w:hyperlink r:id="rId120">
              <w:r>
                <w:rPr>
                  <w:rFonts w:ascii="Times New Roman" w:cs="Times New Roman" w:eastAsia="Times New Roman" w:hAnsi="Times New Roman"/>
                  <w:sz w:val="13"/>
                  <w:szCs w:val="13"/>
                  <w:color w:val="0000FF"/>
                </w:rPr>
                <w:t>on July 24, 2015).</w:t>
              </w:r>
            </w:hyperlink>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gridSpan w:val="3"/>
          </w:tcPr>
          <w:p>
            <w:pPr>
              <w:spacing w:after="0"/>
              <w:rPr>
                <w:sz w:val="10"/>
                <w:szCs w:val="10"/>
                <w:color w:val="auto"/>
              </w:rPr>
            </w:pPr>
          </w:p>
        </w:tc>
      </w:tr>
      <w:tr>
        <w:trPr>
          <w:trHeight w:val="20"/>
        </w:trPr>
        <w:tc>
          <w:tcPr>
            <w:tcW w:w="3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Borders>
              <w:right w:val="single" w:sz="8" w:color="0000FF"/>
            </w:tcBorders>
          </w:tcPr>
          <w:p>
            <w:pPr>
              <w:spacing w:after="0" w:line="20" w:lineRule="exact"/>
              <w:rPr>
                <w:sz w:val="1"/>
                <w:szCs w:val="1"/>
                <w:color w:val="auto"/>
              </w:rPr>
            </w:pPr>
          </w:p>
        </w:tc>
        <w:tc>
          <w:tcPr>
            <w:tcW w:w="1020" w:type="dxa"/>
            <w:vAlign w:val="bottom"/>
            <w:gridSpan w:val="2"/>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520" w:type="dxa"/>
            <w:vAlign w:val="bottom"/>
            <w:gridSpan w:val="3"/>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12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r>
      <w:tr>
        <w:trPr>
          <w:trHeight w:val="171"/>
        </w:trPr>
        <w:tc>
          <w:tcPr>
            <w:tcW w:w="420" w:type="dxa"/>
            <w:vAlign w:val="bottom"/>
            <w:gridSpan w:val="3"/>
          </w:tcPr>
          <w:p>
            <w:pPr>
              <w:ind w:left="20"/>
              <w:spacing w:after="0"/>
              <w:rPr>
                <w:rFonts w:ascii="Times New Roman" w:cs="Times New Roman" w:eastAsia="Times New Roman" w:hAnsi="Times New Roman"/>
                <w:sz w:val="14"/>
                <w:szCs w:val="14"/>
                <w:color w:val="0000FF"/>
                <w:w w:val="98"/>
              </w:rPr>
            </w:pPr>
            <w:hyperlink r:id="rId121">
              <w:r>
                <w:rPr>
                  <w:rFonts w:ascii="Times New Roman" w:cs="Times New Roman" w:eastAsia="Times New Roman" w:hAnsi="Times New Roman"/>
                  <w:sz w:val="14"/>
                  <w:szCs w:val="14"/>
                  <w:color w:val="0000FF"/>
                  <w:w w:val="98"/>
                </w:rPr>
                <w:t>10.</w:t>
              </w:r>
              <w:r>
                <w:rPr>
                  <w:rFonts w:ascii="Times New Roman" w:cs="Times New Roman" w:eastAsia="Times New Roman" w:hAnsi="Times New Roman"/>
                  <w:sz w:val="14"/>
                  <w:szCs w:val="14"/>
                  <w:u w:val="single" w:color="auto"/>
                  <w:color w:val="0000FF"/>
                  <w:w w:val="98"/>
                </w:rPr>
                <w:t>20*</w:t>
              </w:r>
            </w:hyperlink>
          </w:p>
        </w:tc>
        <w:tc>
          <w:tcPr>
            <w:tcW w:w="1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320" w:type="dxa"/>
            <w:vAlign w:val="bottom"/>
            <w:gridSpan w:val="39"/>
          </w:tcPr>
          <w:p>
            <w:pPr>
              <w:spacing w:after="0"/>
              <w:rPr>
                <w:rFonts w:ascii="Times New Roman" w:cs="Times New Roman" w:eastAsia="Times New Roman" w:hAnsi="Times New Roman"/>
                <w:sz w:val="14"/>
                <w:szCs w:val="14"/>
                <w:color w:val="0000FF"/>
              </w:rPr>
            </w:pPr>
            <w:hyperlink r:id="rId121">
              <w:r>
                <w:rPr>
                  <w:rFonts w:ascii="Times New Roman" w:cs="Times New Roman" w:eastAsia="Times New Roman" w:hAnsi="Times New Roman"/>
                  <w:sz w:val="14"/>
                  <w:szCs w:val="14"/>
                  <w:color w:val="0000FF"/>
                </w:rPr>
                <w:t>Employment Agreement for Heather M. Floyd dated as of March 25, 2024 (incorporated by reference to Dycom Industries, Inc.’s Current Report on Form 8-K filed with the SEC</w:t>
              </w:r>
            </w:hyperlink>
          </w:p>
        </w:tc>
      </w:tr>
      <w:tr>
        <w:trPr>
          <w:trHeight w:val="118"/>
        </w:trPr>
        <w:tc>
          <w:tcPr>
            <w:tcW w:w="20" w:type="dxa"/>
            <w:vAlign w:val="bottom"/>
          </w:tcPr>
          <w:p>
            <w:pPr>
              <w:spacing w:after="0"/>
              <w:rPr>
                <w:sz w:val="10"/>
                <w:szCs w:val="10"/>
                <w:color w:val="auto"/>
              </w:rPr>
            </w:pPr>
          </w:p>
        </w:tc>
        <w:tc>
          <w:tcPr>
            <w:tcW w:w="320" w:type="dxa"/>
            <w:vAlign w:val="bottom"/>
            <w:tcBorders>
              <w:top w:val="single" w:sz="8" w:color="0000FF"/>
            </w:tcBorders>
          </w:tcPr>
          <w:p>
            <w:pPr>
              <w:spacing w:after="0"/>
              <w:rPr>
                <w:sz w:val="10"/>
                <w:szCs w:val="10"/>
                <w:color w:val="auto"/>
              </w:rPr>
            </w:pPr>
          </w:p>
        </w:tc>
        <w:tc>
          <w:tcPr>
            <w:tcW w:w="80" w:type="dxa"/>
            <w:vAlign w:val="bottom"/>
            <w:tcBorders>
              <w:top w:val="single" w:sz="8" w:color="0000FF"/>
            </w:tcBorders>
          </w:tcPr>
          <w:p>
            <w:pPr>
              <w:spacing w:after="0"/>
              <w:rPr>
                <w:sz w:val="10"/>
                <w:szCs w:val="10"/>
                <w:color w:val="auto"/>
              </w:rPr>
            </w:pPr>
          </w:p>
        </w:tc>
        <w:tc>
          <w:tcPr>
            <w:tcW w:w="1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160" w:type="dxa"/>
            <w:vAlign w:val="bottom"/>
            <w:tcBorders>
              <w:top w:val="single" w:sz="8" w:color="0000FF"/>
              <w:bottom w:val="single" w:sz="8" w:color="0000FF"/>
            </w:tcBorders>
            <w:gridSpan w:val="3"/>
          </w:tcPr>
          <w:p>
            <w:pPr>
              <w:spacing w:after="0" w:line="118" w:lineRule="exact"/>
              <w:rPr>
                <w:rFonts w:ascii="Times New Roman" w:cs="Times New Roman" w:eastAsia="Times New Roman" w:hAnsi="Times New Roman"/>
                <w:sz w:val="13"/>
                <w:szCs w:val="13"/>
                <w:color w:val="0000FF"/>
              </w:rPr>
            </w:pPr>
            <w:hyperlink r:id="rId121">
              <w:r>
                <w:rPr>
                  <w:rFonts w:ascii="Times New Roman" w:cs="Times New Roman" w:eastAsia="Times New Roman" w:hAnsi="Times New Roman"/>
                  <w:sz w:val="13"/>
                  <w:szCs w:val="13"/>
                  <w:color w:val="0000FF"/>
                </w:rPr>
                <w:t>on March 26, 2024).</w:t>
              </w:r>
            </w:hyperlink>
          </w:p>
        </w:tc>
        <w:tc>
          <w:tcPr>
            <w:tcW w:w="8920" w:type="dxa"/>
            <w:vAlign w:val="bottom"/>
            <w:tcBorders>
              <w:top w:val="single" w:sz="8" w:color="0000FF"/>
            </w:tcBorders>
            <w:gridSpan w:val="24"/>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gridSpan w:val="3"/>
          </w:tcPr>
          <w:p>
            <w:pPr>
              <w:spacing w:after="0"/>
              <w:rPr>
                <w:sz w:val="10"/>
                <w:szCs w:val="10"/>
                <w:color w:val="auto"/>
              </w:rPr>
            </w:pPr>
          </w:p>
        </w:tc>
      </w:tr>
      <w:tr>
        <w:trPr>
          <w:trHeight w:val="171"/>
        </w:trPr>
        <w:tc>
          <w:tcPr>
            <w:tcW w:w="420" w:type="dxa"/>
            <w:vAlign w:val="bottom"/>
            <w:gridSpan w:val="3"/>
          </w:tcPr>
          <w:p>
            <w:pPr>
              <w:ind w:left="20"/>
              <w:spacing w:after="0"/>
              <w:rPr>
                <w:rFonts w:ascii="Times New Roman" w:cs="Times New Roman" w:eastAsia="Times New Roman" w:hAnsi="Times New Roman"/>
                <w:sz w:val="14"/>
                <w:szCs w:val="14"/>
                <w:color w:val="0000FF"/>
                <w:w w:val="98"/>
              </w:rPr>
            </w:pPr>
            <w:hyperlink r:id="rId122">
              <w:r>
                <w:rPr>
                  <w:rFonts w:ascii="Times New Roman" w:cs="Times New Roman" w:eastAsia="Times New Roman" w:hAnsi="Times New Roman"/>
                  <w:sz w:val="14"/>
                  <w:szCs w:val="14"/>
                  <w:color w:val="0000FF"/>
                  <w:w w:val="98"/>
                </w:rPr>
                <w:t>10.</w:t>
              </w:r>
            </w:hyperlink>
            <w:r>
              <w:rPr>
                <w:rFonts w:ascii="Times New Roman" w:cs="Times New Roman" w:eastAsia="Times New Roman" w:hAnsi="Times New Roman"/>
                <w:sz w:val="14"/>
                <w:szCs w:val="14"/>
                <w:u w:val="single" w:color="auto"/>
                <w:color w:val="0000FF"/>
                <w:w w:val="98"/>
              </w:rPr>
              <w:t>21*</w:t>
            </w:r>
          </w:p>
        </w:tc>
        <w:tc>
          <w:tcPr>
            <w:tcW w:w="1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320" w:type="dxa"/>
            <w:vAlign w:val="bottom"/>
            <w:gridSpan w:val="39"/>
          </w:tcPr>
          <w:p>
            <w:pPr>
              <w:spacing w:after="0"/>
              <w:rPr>
                <w:rFonts w:ascii="Times New Roman" w:cs="Times New Roman" w:eastAsia="Times New Roman" w:hAnsi="Times New Roman"/>
                <w:sz w:val="14"/>
                <w:szCs w:val="14"/>
                <w:color w:val="0000FF"/>
              </w:rPr>
            </w:pPr>
            <w:hyperlink r:id="rId122">
              <w:r>
                <w:rPr>
                  <w:rFonts w:ascii="Times New Roman" w:cs="Times New Roman" w:eastAsia="Times New Roman" w:hAnsi="Times New Roman"/>
                  <w:sz w:val="14"/>
                  <w:szCs w:val="14"/>
                  <w:color w:val="0000FF"/>
                </w:rPr>
                <w:t>Employment Agreement for Jason T. Lawson dated as of October 10, 2022. (incorporated by reference to Dycom Industries, Inc.’s Current Report on Form 8-K filed with the SEC</w:t>
              </w:r>
            </w:hyperlink>
          </w:p>
        </w:tc>
      </w:tr>
      <w:tr>
        <w:trPr>
          <w:trHeight w:val="118"/>
        </w:trPr>
        <w:tc>
          <w:tcPr>
            <w:tcW w:w="20" w:type="dxa"/>
            <w:vAlign w:val="bottom"/>
          </w:tcPr>
          <w:p>
            <w:pPr>
              <w:spacing w:after="0"/>
              <w:rPr>
                <w:sz w:val="10"/>
                <w:szCs w:val="10"/>
                <w:color w:val="auto"/>
              </w:rPr>
            </w:pPr>
          </w:p>
        </w:tc>
        <w:tc>
          <w:tcPr>
            <w:tcW w:w="320" w:type="dxa"/>
            <w:vAlign w:val="bottom"/>
            <w:tcBorders>
              <w:top w:val="single" w:sz="8" w:color="0000FF"/>
            </w:tcBorders>
          </w:tcPr>
          <w:p>
            <w:pPr>
              <w:spacing w:after="0"/>
              <w:rPr>
                <w:sz w:val="10"/>
                <w:szCs w:val="10"/>
                <w:color w:val="auto"/>
              </w:rPr>
            </w:pPr>
          </w:p>
        </w:tc>
        <w:tc>
          <w:tcPr>
            <w:tcW w:w="80" w:type="dxa"/>
            <w:vAlign w:val="bottom"/>
            <w:tcBorders>
              <w:top w:val="single" w:sz="8" w:color="0000FF"/>
            </w:tcBorders>
          </w:tcPr>
          <w:p>
            <w:pPr>
              <w:spacing w:after="0"/>
              <w:rPr>
                <w:sz w:val="10"/>
                <w:szCs w:val="10"/>
                <w:color w:val="auto"/>
              </w:rPr>
            </w:pPr>
          </w:p>
        </w:tc>
        <w:tc>
          <w:tcPr>
            <w:tcW w:w="1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240" w:type="dxa"/>
            <w:vAlign w:val="bottom"/>
            <w:tcBorders>
              <w:top w:val="single" w:sz="8" w:color="0000FF"/>
              <w:bottom w:val="single" w:sz="8" w:color="0000FF"/>
            </w:tcBorders>
            <w:gridSpan w:val="5"/>
          </w:tcPr>
          <w:p>
            <w:pPr>
              <w:spacing w:after="0" w:line="118" w:lineRule="exact"/>
              <w:rPr>
                <w:rFonts w:ascii="Times New Roman" w:cs="Times New Roman" w:eastAsia="Times New Roman" w:hAnsi="Times New Roman"/>
                <w:sz w:val="13"/>
                <w:szCs w:val="13"/>
                <w:color w:val="0000FF"/>
              </w:rPr>
            </w:pPr>
            <w:hyperlink r:id="rId122">
              <w:r>
                <w:rPr>
                  <w:rFonts w:ascii="Times New Roman" w:cs="Times New Roman" w:eastAsia="Times New Roman" w:hAnsi="Times New Roman"/>
                  <w:sz w:val="13"/>
                  <w:szCs w:val="13"/>
                  <w:color w:val="0000FF"/>
                </w:rPr>
                <w:t>on October 11, 2022).</w:t>
              </w:r>
            </w:hyperlink>
          </w:p>
        </w:tc>
        <w:tc>
          <w:tcPr>
            <w:tcW w:w="8900" w:type="dxa"/>
            <w:vAlign w:val="bottom"/>
            <w:tcBorders>
              <w:top w:val="single" w:sz="8" w:color="0000FF"/>
            </w:tcBorders>
            <w:gridSpan w:val="25"/>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gridSpan w:val="3"/>
          </w:tcPr>
          <w:p>
            <w:pPr>
              <w:spacing w:after="0"/>
              <w:rPr>
                <w:sz w:val="10"/>
                <w:szCs w:val="10"/>
                <w:color w:val="auto"/>
              </w:rPr>
            </w:pPr>
          </w:p>
        </w:tc>
      </w:tr>
      <w:tr>
        <w:trPr>
          <w:trHeight w:val="171"/>
        </w:trPr>
        <w:tc>
          <w:tcPr>
            <w:tcW w:w="420" w:type="dxa"/>
            <w:vAlign w:val="bottom"/>
            <w:gridSpan w:val="3"/>
          </w:tcPr>
          <w:p>
            <w:pPr>
              <w:ind w:left="20"/>
              <w:spacing w:after="0"/>
              <w:rPr>
                <w:rFonts w:ascii="Times New Roman" w:cs="Times New Roman" w:eastAsia="Times New Roman" w:hAnsi="Times New Roman"/>
                <w:sz w:val="14"/>
                <w:szCs w:val="14"/>
                <w:color w:val="0000FF"/>
                <w:w w:val="98"/>
              </w:rPr>
            </w:pPr>
            <w:hyperlink r:id="rId123">
              <w:r>
                <w:rPr>
                  <w:rFonts w:ascii="Times New Roman" w:cs="Times New Roman" w:eastAsia="Times New Roman" w:hAnsi="Times New Roman"/>
                  <w:sz w:val="14"/>
                  <w:szCs w:val="14"/>
                  <w:color w:val="0000FF"/>
                  <w:w w:val="98"/>
                </w:rPr>
                <w:t>10.</w:t>
              </w:r>
            </w:hyperlink>
            <w:r>
              <w:rPr>
                <w:rFonts w:ascii="Times New Roman" w:cs="Times New Roman" w:eastAsia="Times New Roman" w:hAnsi="Times New Roman"/>
                <w:sz w:val="14"/>
                <w:szCs w:val="14"/>
                <w:u w:val="single" w:color="auto"/>
                <w:color w:val="0000FF"/>
                <w:w w:val="98"/>
              </w:rPr>
              <w:t>22*</w:t>
            </w:r>
          </w:p>
        </w:tc>
        <w:tc>
          <w:tcPr>
            <w:tcW w:w="1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320" w:type="dxa"/>
            <w:vAlign w:val="bottom"/>
            <w:gridSpan w:val="39"/>
          </w:tcPr>
          <w:p>
            <w:pPr>
              <w:spacing w:after="0"/>
              <w:rPr>
                <w:rFonts w:ascii="Times New Roman" w:cs="Times New Roman" w:eastAsia="Times New Roman" w:hAnsi="Times New Roman"/>
                <w:sz w:val="14"/>
                <w:szCs w:val="14"/>
                <w:color w:val="0000FF"/>
              </w:rPr>
            </w:pPr>
            <w:hyperlink r:id="rId123">
              <w:r>
                <w:rPr>
                  <w:rFonts w:ascii="Times New Roman" w:cs="Times New Roman" w:eastAsia="Times New Roman" w:hAnsi="Times New Roman"/>
                  <w:sz w:val="14"/>
                  <w:szCs w:val="14"/>
                  <w:color w:val="0000FF"/>
                </w:rPr>
                <w:t>Employment Agreement for Jill L. Ramshaw dated as of February 17, 2025 (incorporated by reference to Dycom Industries, Inc.’s Current Report on Form 8-K filed with the SEC</w:t>
              </w:r>
            </w:hyperlink>
          </w:p>
        </w:tc>
      </w:tr>
      <w:tr>
        <w:trPr>
          <w:trHeight w:val="118"/>
        </w:trPr>
        <w:tc>
          <w:tcPr>
            <w:tcW w:w="20" w:type="dxa"/>
            <w:vAlign w:val="bottom"/>
          </w:tcPr>
          <w:p>
            <w:pPr>
              <w:spacing w:after="0"/>
              <w:rPr>
                <w:sz w:val="10"/>
                <w:szCs w:val="10"/>
                <w:color w:val="auto"/>
              </w:rPr>
            </w:pPr>
          </w:p>
        </w:tc>
        <w:tc>
          <w:tcPr>
            <w:tcW w:w="320" w:type="dxa"/>
            <w:vAlign w:val="bottom"/>
            <w:tcBorders>
              <w:top w:val="single" w:sz="8" w:color="0000FF"/>
            </w:tcBorders>
          </w:tcPr>
          <w:p>
            <w:pPr>
              <w:spacing w:after="0"/>
              <w:rPr>
                <w:sz w:val="10"/>
                <w:szCs w:val="10"/>
                <w:color w:val="auto"/>
              </w:rPr>
            </w:pPr>
          </w:p>
        </w:tc>
        <w:tc>
          <w:tcPr>
            <w:tcW w:w="80" w:type="dxa"/>
            <w:vAlign w:val="bottom"/>
            <w:tcBorders>
              <w:top w:val="single" w:sz="8" w:color="0000FF"/>
            </w:tcBorders>
          </w:tcPr>
          <w:p>
            <w:pPr>
              <w:spacing w:after="0"/>
              <w:rPr>
                <w:sz w:val="10"/>
                <w:szCs w:val="10"/>
                <w:color w:val="auto"/>
              </w:rPr>
            </w:pPr>
          </w:p>
        </w:tc>
        <w:tc>
          <w:tcPr>
            <w:tcW w:w="1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300" w:type="dxa"/>
            <w:vAlign w:val="bottom"/>
            <w:tcBorders>
              <w:top w:val="single" w:sz="8" w:color="0000FF"/>
              <w:bottom w:val="single" w:sz="8" w:color="0000FF"/>
            </w:tcBorders>
            <w:gridSpan w:val="6"/>
          </w:tcPr>
          <w:p>
            <w:pPr>
              <w:spacing w:after="0" w:line="118" w:lineRule="exact"/>
              <w:rPr>
                <w:rFonts w:ascii="Times New Roman" w:cs="Times New Roman" w:eastAsia="Times New Roman" w:hAnsi="Times New Roman"/>
                <w:sz w:val="13"/>
                <w:szCs w:val="13"/>
                <w:color w:val="0000FF"/>
              </w:rPr>
            </w:pPr>
            <w:hyperlink r:id="rId123">
              <w:r>
                <w:rPr>
                  <w:rFonts w:ascii="Times New Roman" w:cs="Times New Roman" w:eastAsia="Times New Roman" w:hAnsi="Times New Roman"/>
                  <w:sz w:val="13"/>
                  <w:szCs w:val="13"/>
                  <w:color w:val="0000FF"/>
                </w:rPr>
                <w:t>on February 18, 2025).</w:t>
              </w:r>
            </w:hyperlink>
          </w:p>
        </w:tc>
        <w:tc>
          <w:tcPr>
            <w:tcW w:w="8820" w:type="dxa"/>
            <w:vAlign w:val="bottom"/>
            <w:tcBorders>
              <w:top w:val="single" w:sz="8" w:color="0000FF"/>
            </w:tcBorders>
            <w:gridSpan w:val="23"/>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gridSpan w:val="3"/>
          </w:tcPr>
          <w:p>
            <w:pPr>
              <w:spacing w:after="0"/>
              <w:rPr>
                <w:sz w:val="10"/>
                <w:szCs w:val="10"/>
                <w:color w:val="auto"/>
              </w:rPr>
            </w:pPr>
          </w:p>
        </w:tc>
      </w:tr>
      <w:tr>
        <w:trPr>
          <w:trHeight w:val="171"/>
        </w:trPr>
        <w:tc>
          <w:tcPr>
            <w:tcW w:w="420" w:type="dxa"/>
            <w:vAlign w:val="bottom"/>
            <w:gridSpan w:val="3"/>
          </w:tcPr>
          <w:p>
            <w:pPr>
              <w:ind w:left="20"/>
              <w:spacing w:after="0"/>
              <w:rPr>
                <w:rFonts w:ascii="Times New Roman" w:cs="Times New Roman" w:eastAsia="Times New Roman" w:hAnsi="Times New Roman"/>
                <w:sz w:val="14"/>
                <w:szCs w:val="14"/>
                <w:color w:val="0000FF"/>
                <w:w w:val="98"/>
              </w:rPr>
            </w:pPr>
            <w:hyperlink r:id="rId124">
              <w:r>
                <w:rPr>
                  <w:rFonts w:ascii="Times New Roman" w:cs="Times New Roman" w:eastAsia="Times New Roman" w:hAnsi="Times New Roman"/>
                  <w:sz w:val="14"/>
                  <w:szCs w:val="14"/>
                  <w:color w:val="0000FF"/>
                  <w:w w:val="98"/>
                </w:rPr>
                <w:t>10.</w:t>
              </w:r>
            </w:hyperlink>
            <w:r>
              <w:rPr>
                <w:rFonts w:ascii="Times New Roman" w:cs="Times New Roman" w:eastAsia="Times New Roman" w:hAnsi="Times New Roman"/>
                <w:sz w:val="14"/>
                <w:szCs w:val="14"/>
                <w:u w:val="single" w:color="auto"/>
                <w:color w:val="0000FF"/>
                <w:w w:val="98"/>
              </w:rPr>
              <w:t>23*</w:t>
            </w:r>
          </w:p>
        </w:tc>
        <w:tc>
          <w:tcPr>
            <w:tcW w:w="1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320" w:type="dxa"/>
            <w:vAlign w:val="bottom"/>
            <w:gridSpan w:val="39"/>
          </w:tcPr>
          <w:p>
            <w:pPr>
              <w:spacing w:after="0"/>
              <w:rPr>
                <w:rFonts w:ascii="Times New Roman" w:cs="Times New Roman" w:eastAsia="Times New Roman" w:hAnsi="Times New Roman"/>
                <w:sz w:val="14"/>
                <w:szCs w:val="14"/>
                <w:color w:val="0000FF"/>
              </w:rPr>
            </w:pPr>
            <w:hyperlink r:id="rId124">
              <w:r>
                <w:rPr>
                  <w:rFonts w:ascii="Times New Roman" w:cs="Times New Roman" w:eastAsia="Times New Roman" w:hAnsi="Times New Roman"/>
                  <w:sz w:val="14"/>
                  <w:szCs w:val="14"/>
                  <w:color w:val="0000FF"/>
                </w:rPr>
                <w:t>Employment Agreement for Ryan F. Urness dated as of October 31, 2018 (incorporated by reference to Dycom Industries, Inc.’s Quarterly Report on Form 10-Q filed with the SEC</w:t>
              </w:r>
            </w:hyperlink>
          </w:p>
        </w:tc>
      </w:tr>
      <w:tr>
        <w:trPr>
          <w:trHeight w:val="118"/>
        </w:trPr>
        <w:tc>
          <w:tcPr>
            <w:tcW w:w="20" w:type="dxa"/>
            <w:vAlign w:val="bottom"/>
          </w:tcPr>
          <w:p>
            <w:pPr>
              <w:spacing w:after="0"/>
              <w:rPr>
                <w:sz w:val="10"/>
                <w:szCs w:val="10"/>
                <w:color w:val="auto"/>
              </w:rPr>
            </w:pPr>
          </w:p>
        </w:tc>
        <w:tc>
          <w:tcPr>
            <w:tcW w:w="320" w:type="dxa"/>
            <w:vAlign w:val="bottom"/>
            <w:tcBorders>
              <w:top w:val="single" w:sz="8" w:color="0000FF"/>
            </w:tcBorders>
          </w:tcPr>
          <w:p>
            <w:pPr>
              <w:spacing w:after="0"/>
              <w:rPr>
                <w:sz w:val="10"/>
                <w:szCs w:val="10"/>
                <w:color w:val="auto"/>
              </w:rPr>
            </w:pPr>
          </w:p>
        </w:tc>
        <w:tc>
          <w:tcPr>
            <w:tcW w:w="80" w:type="dxa"/>
            <w:vAlign w:val="bottom"/>
            <w:tcBorders>
              <w:top w:val="single" w:sz="8" w:color="0000FF"/>
            </w:tcBorders>
          </w:tcPr>
          <w:p>
            <w:pPr>
              <w:spacing w:after="0"/>
              <w:rPr>
                <w:sz w:val="10"/>
                <w:szCs w:val="10"/>
                <w:color w:val="auto"/>
              </w:rPr>
            </w:pPr>
          </w:p>
        </w:tc>
        <w:tc>
          <w:tcPr>
            <w:tcW w:w="1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200" w:type="dxa"/>
            <w:vAlign w:val="bottom"/>
            <w:tcBorders>
              <w:top w:val="single" w:sz="8" w:color="0000FF"/>
              <w:bottom w:val="single" w:sz="8" w:color="0000FF"/>
            </w:tcBorders>
            <w:gridSpan w:val="4"/>
          </w:tcPr>
          <w:p>
            <w:pPr>
              <w:spacing w:after="0" w:line="118" w:lineRule="exact"/>
              <w:rPr>
                <w:rFonts w:ascii="Times New Roman" w:cs="Times New Roman" w:eastAsia="Times New Roman" w:hAnsi="Times New Roman"/>
                <w:sz w:val="13"/>
                <w:szCs w:val="13"/>
                <w:color w:val="0000FF"/>
              </w:rPr>
            </w:pPr>
            <w:hyperlink r:id="rId124">
              <w:r>
                <w:rPr>
                  <w:rFonts w:ascii="Times New Roman" w:cs="Times New Roman" w:eastAsia="Times New Roman" w:hAnsi="Times New Roman"/>
                  <w:sz w:val="13"/>
                  <w:szCs w:val="13"/>
                  <w:color w:val="0000FF"/>
                </w:rPr>
                <w:t>on August 29, 2019).</w:t>
              </w:r>
            </w:hyperlink>
          </w:p>
        </w:tc>
        <w:tc>
          <w:tcPr>
            <w:tcW w:w="9040" w:type="dxa"/>
            <w:vAlign w:val="bottom"/>
            <w:tcBorders>
              <w:top w:val="single" w:sz="8" w:color="0000FF"/>
            </w:tcBorders>
            <w:gridSpan w:val="31"/>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gridSpan w:val="3"/>
          </w:tcPr>
          <w:p>
            <w:pPr>
              <w:spacing w:after="0"/>
              <w:rPr>
                <w:sz w:val="10"/>
                <w:szCs w:val="10"/>
                <w:color w:val="auto"/>
              </w:rPr>
            </w:pPr>
          </w:p>
        </w:tc>
      </w:tr>
      <w:tr>
        <w:trPr>
          <w:trHeight w:val="171"/>
        </w:trPr>
        <w:tc>
          <w:tcPr>
            <w:tcW w:w="420" w:type="dxa"/>
            <w:vAlign w:val="bottom"/>
            <w:gridSpan w:val="3"/>
          </w:tcPr>
          <w:p>
            <w:pPr>
              <w:ind w:left="20"/>
              <w:spacing w:after="0"/>
              <w:rPr>
                <w:rFonts w:ascii="Times New Roman" w:cs="Times New Roman" w:eastAsia="Times New Roman" w:hAnsi="Times New Roman"/>
                <w:sz w:val="14"/>
                <w:szCs w:val="14"/>
                <w:color w:val="0000FF"/>
                <w:w w:val="98"/>
              </w:rPr>
            </w:pPr>
            <w:hyperlink r:id="rId125">
              <w:r>
                <w:rPr>
                  <w:rFonts w:ascii="Times New Roman" w:cs="Times New Roman" w:eastAsia="Times New Roman" w:hAnsi="Times New Roman"/>
                  <w:sz w:val="14"/>
                  <w:szCs w:val="14"/>
                  <w:color w:val="0000FF"/>
                  <w:w w:val="98"/>
                </w:rPr>
                <w:t>10.</w:t>
              </w:r>
            </w:hyperlink>
            <w:r>
              <w:rPr>
                <w:rFonts w:ascii="Times New Roman" w:cs="Times New Roman" w:eastAsia="Times New Roman" w:hAnsi="Times New Roman"/>
                <w:sz w:val="14"/>
                <w:szCs w:val="14"/>
                <w:u w:val="single" w:color="auto"/>
                <w:color w:val="0000FF"/>
                <w:w w:val="98"/>
              </w:rPr>
              <w:t>24*</w:t>
            </w:r>
          </w:p>
        </w:tc>
        <w:tc>
          <w:tcPr>
            <w:tcW w:w="1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320" w:type="dxa"/>
            <w:vAlign w:val="bottom"/>
            <w:gridSpan w:val="39"/>
          </w:tcPr>
          <w:p>
            <w:pPr>
              <w:spacing w:after="0"/>
              <w:rPr>
                <w:rFonts w:ascii="Times New Roman" w:cs="Times New Roman" w:eastAsia="Times New Roman" w:hAnsi="Times New Roman"/>
                <w:sz w:val="14"/>
                <w:szCs w:val="14"/>
                <w:color w:val="0000FF"/>
              </w:rPr>
            </w:pPr>
            <w:hyperlink r:id="rId125">
              <w:r>
                <w:rPr>
                  <w:rFonts w:ascii="Times New Roman" w:cs="Times New Roman" w:eastAsia="Times New Roman" w:hAnsi="Times New Roman"/>
                  <w:sz w:val="14"/>
                  <w:szCs w:val="14"/>
                  <w:color w:val="0000FF"/>
                </w:rPr>
                <w:t>Employment Agreement for Kevin M. Wetherington dated as of October 7, 2024 (incorporated by reference to Dycom Industries, Inc.’s Current Report on Form 8-K filed with the</w:t>
              </w:r>
            </w:hyperlink>
          </w:p>
        </w:tc>
      </w:tr>
      <w:tr>
        <w:trPr>
          <w:trHeight w:val="118"/>
        </w:trPr>
        <w:tc>
          <w:tcPr>
            <w:tcW w:w="20" w:type="dxa"/>
            <w:vAlign w:val="bottom"/>
          </w:tcPr>
          <w:p>
            <w:pPr>
              <w:spacing w:after="0"/>
              <w:rPr>
                <w:sz w:val="10"/>
                <w:szCs w:val="10"/>
                <w:color w:val="auto"/>
              </w:rPr>
            </w:pPr>
          </w:p>
        </w:tc>
        <w:tc>
          <w:tcPr>
            <w:tcW w:w="320" w:type="dxa"/>
            <w:vAlign w:val="bottom"/>
            <w:tcBorders>
              <w:top w:val="single" w:sz="8" w:color="0000FF"/>
            </w:tcBorders>
          </w:tcPr>
          <w:p>
            <w:pPr>
              <w:spacing w:after="0"/>
              <w:rPr>
                <w:sz w:val="10"/>
                <w:szCs w:val="10"/>
                <w:color w:val="auto"/>
              </w:rPr>
            </w:pPr>
          </w:p>
        </w:tc>
        <w:tc>
          <w:tcPr>
            <w:tcW w:w="80" w:type="dxa"/>
            <w:vAlign w:val="bottom"/>
            <w:tcBorders>
              <w:top w:val="single" w:sz="8" w:color="0000FF"/>
            </w:tcBorders>
          </w:tcPr>
          <w:p>
            <w:pPr>
              <w:spacing w:after="0"/>
              <w:rPr>
                <w:sz w:val="10"/>
                <w:szCs w:val="10"/>
                <w:color w:val="auto"/>
              </w:rPr>
            </w:pPr>
          </w:p>
        </w:tc>
        <w:tc>
          <w:tcPr>
            <w:tcW w:w="1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200" w:type="dxa"/>
            <w:vAlign w:val="bottom"/>
            <w:tcBorders>
              <w:top w:val="single" w:sz="8" w:color="0000FF"/>
            </w:tcBorders>
            <w:gridSpan w:val="33"/>
          </w:tcPr>
          <w:p>
            <w:pPr>
              <w:spacing w:after="0" w:line="118" w:lineRule="exact"/>
              <w:rPr>
                <w:rFonts w:ascii="Times New Roman" w:cs="Times New Roman" w:eastAsia="Times New Roman" w:hAnsi="Times New Roman"/>
                <w:sz w:val="13"/>
                <w:szCs w:val="13"/>
                <w:color w:val="0000FF"/>
              </w:rPr>
            </w:pPr>
            <w:hyperlink r:id="rId125">
              <w:r>
                <w:rPr>
                  <w:rFonts w:ascii="Times New Roman" w:cs="Times New Roman" w:eastAsia="Times New Roman" w:hAnsi="Times New Roman"/>
                  <w:sz w:val="13"/>
                  <w:szCs w:val="13"/>
                  <w:color w:val="0000FF"/>
                </w:rPr>
                <w:t>SEC on October 7, 2024).</w:t>
              </w:r>
            </w:hyperlink>
          </w:p>
        </w:tc>
        <w:tc>
          <w:tcPr>
            <w:tcW w:w="60" w:type="dxa"/>
            <w:vAlign w:val="bottom"/>
            <w:gridSpan w:val="3"/>
          </w:tcPr>
          <w:p>
            <w:pPr>
              <w:spacing w:after="0"/>
              <w:rPr>
                <w:sz w:val="10"/>
                <w:szCs w:val="10"/>
                <w:color w:val="auto"/>
              </w:rPr>
            </w:pPr>
          </w:p>
        </w:tc>
        <w:tc>
          <w:tcPr>
            <w:tcW w:w="60" w:type="dxa"/>
            <w:vAlign w:val="bottom"/>
            <w:gridSpan w:val="3"/>
          </w:tcPr>
          <w:p>
            <w:pPr>
              <w:spacing w:after="0"/>
              <w:rPr>
                <w:sz w:val="10"/>
                <w:szCs w:val="10"/>
                <w:color w:val="auto"/>
              </w:rPr>
            </w:pPr>
          </w:p>
        </w:tc>
      </w:tr>
      <w:tr>
        <w:trPr>
          <w:trHeight w:val="20"/>
        </w:trPr>
        <w:tc>
          <w:tcPr>
            <w:tcW w:w="3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Borders>
              <w:right w:val="single" w:sz="8" w:color="0000FF"/>
            </w:tcBorders>
          </w:tcPr>
          <w:p>
            <w:pPr>
              <w:spacing w:after="0" w:line="20" w:lineRule="exact"/>
              <w:rPr>
                <w:sz w:val="1"/>
                <w:szCs w:val="1"/>
                <w:color w:val="auto"/>
              </w:rPr>
            </w:pPr>
          </w:p>
        </w:tc>
        <w:tc>
          <w:tcPr>
            <w:tcW w:w="1460" w:type="dxa"/>
            <w:vAlign w:val="bottom"/>
            <w:gridSpan w:val="7"/>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520" w:type="dxa"/>
            <w:vAlign w:val="bottom"/>
            <w:gridSpan w:val="3"/>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12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r>
      <w:tr>
        <w:trPr>
          <w:trHeight w:val="171"/>
        </w:trPr>
        <w:tc>
          <w:tcPr>
            <w:tcW w:w="20" w:type="dxa"/>
            <w:vAlign w:val="bottom"/>
          </w:tcPr>
          <w:p>
            <w:pPr>
              <w:spacing w:after="0"/>
              <w:rPr>
                <w:sz w:val="14"/>
                <w:szCs w:val="14"/>
                <w:color w:val="auto"/>
              </w:rPr>
            </w:pPr>
          </w:p>
        </w:tc>
        <w:tc>
          <w:tcPr>
            <w:tcW w:w="400" w:type="dxa"/>
            <w:vAlign w:val="bottom"/>
            <w:tcBorders>
              <w:bottom w:val="single" w:sz="8" w:color="0000FF"/>
            </w:tcBorders>
            <w:gridSpan w:val="2"/>
          </w:tcPr>
          <w:p>
            <w:pPr>
              <w:spacing w:after="0"/>
              <w:rPr>
                <w:rFonts w:ascii="Times New Roman" w:cs="Times New Roman" w:eastAsia="Times New Roman" w:hAnsi="Times New Roman"/>
                <w:sz w:val="14"/>
                <w:szCs w:val="14"/>
                <w:color w:val="0000FF"/>
                <w:w w:val="98"/>
              </w:rPr>
            </w:pPr>
            <w:hyperlink r:id="rId126">
              <w:r>
                <w:rPr>
                  <w:rFonts w:ascii="Times New Roman" w:cs="Times New Roman" w:eastAsia="Times New Roman" w:hAnsi="Times New Roman"/>
                  <w:sz w:val="14"/>
                  <w:szCs w:val="14"/>
                  <w:color w:val="0000FF"/>
                  <w:w w:val="98"/>
                </w:rPr>
                <w:t>10.</w:t>
              </w:r>
            </w:hyperlink>
            <w:r>
              <w:rPr>
                <w:rFonts w:ascii="Times New Roman" w:cs="Times New Roman" w:eastAsia="Times New Roman" w:hAnsi="Times New Roman"/>
                <w:sz w:val="14"/>
                <w:szCs w:val="14"/>
                <w:u w:val="single" w:color="auto"/>
                <w:color w:val="0000FF"/>
                <w:w w:val="98"/>
              </w:rPr>
              <w:t>25*</w:t>
            </w:r>
          </w:p>
        </w:tc>
        <w:tc>
          <w:tcPr>
            <w:tcW w:w="1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640" w:type="dxa"/>
            <w:vAlign w:val="bottom"/>
            <w:tcBorders>
              <w:bottom w:val="single" w:sz="8" w:color="0000FF"/>
            </w:tcBorders>
            <w:gridSpan w:val="16"/>
          </w:tcPr>
          <w:p>
            <w:pPr>
              <w:spacing w:after="0"/>
              <w:rPr>
                <w:rFonts w:ascii="Times New Roman" w:cs="Times New Roman" w:eastAsia="Times New Roman" w:hAnsi="Times New Roman"/>
                <w:sz w:val="14"/>
                <w:szCs w:val="14"/>
                <w:color w:val="0000FF"/>
              </w:rPr>
            </w:pPr>
            <w:hyperlink r:id="rId126">
              <w:r>
                <w:rPr>
                  <w:rFonts w:ascii="Times New Roman" w:cs="Times New Roman" w:eastAsia="Times New Roman" w:hAnsi="Times New Roman"/>
                  <w:sz w:val="14"/>
                  <w:szCs w:val="14"/>
                  <w:color w:val="0000FF"/>
                </w:rPr>
                <w:t>2009 Annual Incentive Plan (incorporated by reference to Dycom Industries, Inc.’s Definitive Proxy Statement filed with the SEC on October 17, 2013).</w:t>
              </w:r>
            </w:hyperlink>
          </w:p>
        </w:tc>
        <w:tc>
          <w:tcPr>
            <w:tcW w:w="1680" w:type="dxa"/>
            <w:vAlign w:val="bottom"/>
            <w:gridSpan w:val="23"/>
          </w:tcPr>
          <w:p>
            <w:pPr>
              <w:spacing w:after="0"/>
              <w:rPr>
                <w:sz w:val="14"/>
                <w:szCs w:val="14"/>
                <w:color w:val="auto"/>
              </w:rPr>
            </w:pPr>
          </w:p>
        </w:tc>
      </w:tr>
      <w:tr>
        <w:trPr>
          <w:trHeight w:val="160"/>
        </w:trPr>
        <w:tc>
          <w:tcPr>
            <w:tcW w:w="420" w:type="dxa"/>
            <w:vAlign w:val="bottom"/>
            <w:gridSpan w:val="3"/>
          </w:tcPr>
          <w:p>
            <w:pPr>
              <w:ind w:left="20"/>
              <w:spacing w:after="0"/>
              <w:rPr>
                <w:rFonts w:ascii="Times New Roman" w:cs="Times New Roman" w:eastAsia="Times New Roman" w:hAnsi="Times New Roman"/>
                <w:sz w:val="14"/>
                <w:szCs w:val="14"/>
                <w:color w:val="0000FF"/>
                <w:w w:val="98"/>
              </w:rPr>
            </w:pPr>
            <w:hyperlink r:id="rId127">
              <w:r>
                <w:rPr>
                  <w:rFonts w:ascii="Times New Roman" w:cs="Times New Roman" w:eastAsia="Times New Roman" w:hAnsi="Times New Roman"/>
                  <w:sz w:val="14"/>
                  <w:szCs w:val="14"/>
                  <w:color w:val="0000FF"/>
                  <w:w w:val="98"/>
                </w:rPr>
                <w:t>10.</w:t>
              </w:r>
            </w:hyperlink>
            <w:r>
              <w:rPr>
                <w:rFonts w:ascii="Times New Roman" w:cs="Times New Roman" w:eastAsia="Times New Roman" w:hAnsi="Times New Roman"/>
                <w:sz w:val="14"/>
                <w:szCs w:val="14"/>
                <w:u w:val="single" w:color="auto"/>
                <w:color w:val="0000FF"/>
                <w:w w:val="98"/>
              </w:rPr>
              <w:t>26*</w:t>
            </w:r>
          </w:p>
        </w:tc>
        <w:tc>
          <w:tcPr>
            <w:tcW w:w="1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320" w:type="dxa"/>
            <w:vAlign w:val="bottom"/>
            <w:gridSpan w:val="39"/>
          </w:tcPr>
          <w:p>
            <w:pPr>
              <w:spacing w:after="0"/>
              <w:rPr>
                <w:rFonts w:ascii="Times New Roman" w:cs="Times New Roman" w:eastAsia="Times New Roman" w:hAnsi="Times New Roman"/>
                <w:sz w:val="14"/>
                <w:szCs w:val="14"/>
                <w:color w:val="0000FF"/>
              </w:rPr>
            </w:pPr>
            <w:hyperlink r:id="rId127">
              <w:r>
                <w:rPr>
                  <w:rFonts w:ascii="Times New Roman" w:cs="Times New Roman" w:eastAsia="Times New Roman" w:hAnsi="Times New Roman"/>
                  <w:sz w:val="14"/>
                  <w:szCs w:val="14"/>
                  <w:color w:val="0000FF"/>
                </w:rPr>
                <w:t>Form of Indemnification Agreement for directors and executive officers of Dycom Industries, Inc. (incorporated by reference to Dycom Industries, Inc.’s Annual Report on Form</w:t>
              </w:r>
            </w:hyperlink>
          </w:p>
        </w:tc>
      </w:tr>
      <w:tr>
        <w:trPr>
          <w:trHeight w:val="118"/>
        </w:trPr>
        <w:tc>
          <w:tcPr>
            <w:tcW w:w="20" w:type="dxa"/>
            <w:vAlign w:val="bottom"/>
          </w:tcPr>
          <w:p>
            <w:pPr>
              <w:spacing w:after="0"/>
              <w:rPr>
                <w:sz w:val="10"/>
                <w:szCs w:val="10"/>
                <w:color w:val="auto"/>
              </w:rPr>
            </w:pPr>
          </w:p>
        </w:tc>
        <w:tc>
          <w:tcPr>
            <w:tcW w:w="320" w:type="dxa"/>
            <w:vAlign w:val="bottom"/>
            <w:tcBorders>
              <w:top w:val="single" w:sz="8" w:color="0000FF"/>
            </w:tcBorders>
          </w:tcPr>
          <w:p>
            <w:pPr>
              <w:spacing w:after="0"/>
              <w:rPr>
                <w:sz w:val="10"/>
                <w:szCs w:val="10"/>
                <w:color w:val="auto"/>
              </w:rPr>
            </w:pPr>
          </w:p>
        </w:tc>
        <w:tc>
          <w:tcPr>
            <w:tcW w:w="80" w:type="dxa"/>
            <w:vAlign w:val="bottom"/>
            <w:tcBorders>
              <w:top w:val="single" w:sz="8" w:color="0000FF"/>
            </w:tcBorders>
          </w:tcPr>
          <w:p>
            <w:pPr>
              <w:spacing w:after="0"/>
              <w:rPr>
                <w:sz w:val="10"/>
                <w:szCs w:val="10"/>
                <w:color w:val="auto"/>
              </w:rPr>
            </w:pPr>
          </w:p>
        </w:tc>
        <w:tc>
          <w:tcPr>
            <w:tcW w:w="1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60" w:type="dxa"/>
            <w:vAlign w:val="bottom"/>
            <w:tcBorders>
              <w:top w:val="single" w:sz="8" w:color="0000FF"/>
            </w:tcBorders>
            <w:gridSpan w:val="26"/>
          </w:tcPr>
          <w:p>
            <w:pPr>
              <w:spacing w:after="0" w:line="118" w:lineRule="exact"/>
              <w:rPr>
                <w:rFonts w:ascii="Times New Roman" w:cs="Times New Roman" w:eastAsia="Times New Roman" w:hAnsi="Times New Roman"/>
                <w:sz w:val="13"/>
                <w:szCs w:val="13"/>
                <w:color w:val="0000FF"/>
              </w:rPr>
            </w:pPr>
            <w:hyperlink r:id="rId127">
              <w:r>
                <w:rPr>
                  <w:rFonts w:ascii="Times New Roman" w:cs="Times New Roman" w:eastAsia="Times New Roman" w:hAnsi="Times New Roman"/>
                  <w:sz w:val="13"/>
                  <w:szCs w:val="13"/>
                  <w:color w:val="0000FF"/>
                </w:rPr>
                <w:t>10-K filed with the SEC on September 3, 2009).</w:t>
              </w:r>
            </w:hyperlink>
          </w:p>
        </w:tc>
        <w:tc>
          <w:tcPr>
            <w:tcW w:w="40" w:type="dxa"/>
            <w:vAlign w:val="bottom"/>
            <w:gridSpan w:val="2"/>
          </w:tcPr>
          <w:p>
            <w:pPr>
              <w:spacing w:after="0"/>
              <w:rPr>
                <w:sz w:val="10"/>
                <w:szCs w:val="10"/>
                <w:color w:val="auto"/>
              </w:rPr>
            </w:pPr>
          </w:p>
        </w:tc>
        <w:tc>
          <w:tcPr>
            <w:tcW w:w="60" w:type="dxa"/>
            <w:vAlign w:val="bottom"/>
            <w:gridSpan w:val="3"/>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gridSpan w:val="4"/>
          </w:tcPr>
          <w:p>
            <w:pPr>
              <w:spacing w:after="0"/>
              <w:rPr>
                <w:sz w:val="10"/>
                <w:szCs w:val="10"/>
                <w:color w:val="auto"/>
              </w:rPr>
            </w:pPr>
          </w:p>
        </w:tc>
        <w:tc>
          <w:tcPr>
            <w:tcW w:w="60" w:type="dxa"/>
            <w:vAlign w:val="bottom"/>
            <w:gridSpan w:val="3"/>
          </w:tcPr>
          <w:p>
            <w:pPr>
              <w:spacing w:after="0"/>
              <w:rPr>
                <w:sz w:val="10"/>
                <w:szCs w:val="10"/>
                <w:color w:val="auto"/>
              </w:rPr>
            </w:pPr>
          </w:p>
        </w:tc>
      </w:tr>
      <w:tr>
        <w:trPr>
          <w:trHeight w:val="20"/>
        </w:trPr>
        <w:tc>
          <w:tcPr>
            <w:tcW w:w="3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Borders>
              <w:right w:val="single" w:sz="8" w:color="0000FF"/>
            </w:tcBorders>
          </w:tcPr>
          <w:p>
            <w:pPr>
              <w:spacing w:after="0" w:line="20" w:lineRule="exact"/>
              <w:rPr>
                <w:sz w:val="1"/>
                <w:szCs w:val="1"/>
                <w:color w:val="auto"/>
              </w:rPr>
            </w:pPr>
          </w:p>
        </w:tc>
        <w:tc>
          <w:tcPr>
            <w:tcW w:w="1580" w:type="dxa"/>
            <w:vAlign w:val="bottom"/>
            <w:gridSpan w:val="8"/>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920" w:type="dxa"/>
            <w:vAlign w:val="bottom"/>
            <w:gridSpan w:val="2"/>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520" w:type="dxa"/>
            <w:vAlign w:val="bottom"/>
            <w:gridSpan w:val="3"/>
          </w:tcPr>
          <w:p>
            <w:pPr>
              <w:spacing w:after="0" w:line="20" w:lineRule="exact"/>
              <w:rPr>
                <w:sz w:val="1"/>
                <w:szCs w:val="1"/>
                <w:color w:val="auto"/>
              </w:rPr>
            </w:pPr>
          </w:p>
        </w:tc>
        <w:tc>
          <w:tcPr>
            <w:tcW w:w="510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r>
      <w:tr>
        <w:trPr>
          <w:trHeight w:val="171"/>
        </w:trPr>
        <w:tc>
          <w:tcPr>
            <w:tcW w:w="20" w:type="dxa"/>
            <w:vAlign w:val="bottom"/>
          </w:tcPr>
          <w:p>
            <w:pPr>
              <w:spacing w:after="0"/>
              <w:rPr>
                <w:sz w:val="14"/>
                <w:szCs w:val="14"/>
                <w:color w:val="auto"/>
              </w:rPr>
            </w:pPr>
          </w:p>
        </w:tc>
        <w:tc>
          <w:tcPr>
            <w:tcW w:w="320" w:type="dxa"/>
            <w:vAlign w:val="bottom"/>
          </w:tcPr>
          <w:p>
            <w:pPr>
              <w:spacing w:after="0"/>
              <w:rPr>
                <w:rFonts w:ascii="Times New Roman" w:cs="Times New Roman" w:eastAsia="Times New Roman" w:hAnsi="Times New Roman"/>
                <w:sz w:val="14"/>
                <w:szCs w:val="14"/>
                <w:color w:val="0000FF"/>
                <w:w w:val="95"/>
              </w:rPr>
            </w:pPr>
            <w:hyperlink r:id="rId128">
              <w:r>
                <w:rPr>
                  <w:rFonts w:ascii="Times New Roman" w:cs="Times New Roman" w:eastAsia="Times New Roman" w:hAnsi="Times New Roman"/>
                  <w:sz w:val="14"/>
                  <w:szCs w:val="14"/>
                  <w:color w:val="0000FF"/>
                  <w:w w:val="95"/>
                </w:rPr>
                <w:t>10.</w:t>
              </w:r>
            </w:hyperlink>
            <w:r>
              <w:rPr>
                <w:rFonts w:ascii="Times New Roman" w:cs="Times New Roman" w:eastAsia="Times New Roman" w:hAnsi="Times New Roman"/>
                <w:sz w:val="14"/>
                <w:szCs w:val="14"/>
                <w:u w:val="single" w:color="auto"/>
                <w:color w:val="0000FF"/>
                <w:w w:val="95"/>
              </w:rPr>
              <w:t>27</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320" w:type="dxa"/>
            <w:vAlign w:val="bottom"/>
            <w:gridSpan w:val="39"/>
          </w:tcPr>
          <w:p>
            <w:pPr>
              <w:spacing w:after="0"/>
              <w:rPr>
                <w:rFonts w:ascii="Times New Roman" w:cs="Times New Roman" w:eastAsia="Times New Roman" w:hAnsi="Times New Roman"/>
                <w:sz w:val="14"/>
                <w:szCs w:val="14"/>
                <w:color w:val="0000FF"/>
              </w:rPr>
            </w:pPr>
            <w:hyperlink r:id="rId128">
              <w:r>
                <w:rPr>
                  <w:rFonts w:ascii="Times New Roman" w:cs="Times New Roman" w:eastAsia="Times New Roman" w:hAnsi="Times New Roman"/>
                  <w:sz w:val="14"/>
                  <w:szCs w:val="14"/>
                  <w:color w:val="0000FF"/>
                </w:rPr>
                <w:t>Credit Agreement, dated as of December 3, 2012, among Dycom Industries, Inc., as the Borrower, the subsidiaries of Dycom Industries, Inc. identified therein, certain lenders</w:t>
              </w:r>
            </w:hyperlink>
          </w:p>
        </w:tc>
      </w:tr>
      <w:tr>
        <w:trPr>
          <w:trHeight w:val="20"/>
        </w:trPr>
        <w:tc>
          <w:tcPr>
            <w:tcW w:w="2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580" w:type="dxa"/>
            <w:vAlign w:val="bottom"/>
            <w:gridSpan w:val="8"/>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440" w:type="dxa"/>
            <w:vAlign w:val="bottom"/>
            <w:gridSpan w:val="3"/>
            <w:shd w:val="clear" w:color="auto" w:fill="0000FF"/>
          </w:tcPr>
          <w:p>
            <w:pPr>
              <w:spacing w:after="0" w:line="20" w:lineRule="exact"/>
              <w:rPr>
                <w:sz w:val="1"/>
                <w:szCs w:val="1"/>
                <w:color w:val="auto"/>
              </w:rPr>
            </w:pPr>
          </w:p>
        </w:tc>
        <w:tc>
          <w:tcPr>
            <w:tcW w:w="1520" w:type="dxa"/>
            <w:vAlign w:val="bottom"/>
            <w:gridSpan w:val="3"/>
            <w:shd w:val="clear" w:color="auto" w:fill="0000FF"/>
          </w:tcPr>
          <w:p>
            <w:pPr>
              <w:spacing w:after="0" w:line="20" w:lineRule="exact"/>
              <w:rPr>
                <w:sz w:val="1"/>
                <w:szCs w:val="1"/>
                <w:color w:val="auto"/>
              </w:rPr>
            </w:pPr>
          </w:p>
        </w:tc>
        <w:tc>
          <w:tcPr>
            <w:tcW w:w="5100" w:type="dxa"/>
            <w:vAlign w:val="bottom"/>
            <w:tcBorders>
              <w:right w:val="single" w:sz="8" w:color="0000FF"/>
            </w:tcBorders>
            <w:gridSpan w:val="4"/>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r>
      <w:tr>
        <w:trPr>
          <w:trHeight w:val="118"/>
        </w:trPr>
        <w:tc>
          <w:tcPr>
            <w:tcW w:w="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320" w:type="dxa"/>
            <w:vAlign w:val="bottom"/>
            <w:gridSpan w:val="39"/>
          </w:tcPr>
          <w:p>
            <w:pPr>
              <w:spacing w:after="0" w:line="118" w:lineRule="exact"/>
              <w:rPr>
                <w:rFonts w:ascii="Times New Roman" w:cs="Times New Roman" w:eastAsia="Times New Roman" w:hAnsi="Times New Roman"/>
                <w:sz w:val="13"/>
                <w:szCs w:val="13"/>
                <w:color w:val="0000FF"/>
              </w:rPr>
            </w:pPr>
            <w:hyperlink r:id="rId128">
              <w:r>
                <w:rPr>
                  <w:rFonts w:ascii="Times New Roman" w:cs="Times New Roman" w:eastAsia="Times New Roman" w:hAnsi="Times New Roman"/>
                  <w:sz w:val="13"/>
                  <w:szCs w:val="13"/>
                  <w:color w:val="0000FF"/>
                </w:rPr>
                <w:t>named therein, Bank of America, N.A., as Administrative Agent, Swingline Lender and L/C Issuer, Merrill Lynch, Pierce, Fenner &amp; Smith Incorporated and Wells Fargo Securities,</w:t>
              </w:r>
            </w:hyperlink>
          </w:p>
        </w:tc>
      </w:tr>
      <w:tr>
        <w:trPr>
          <w:trHeight w:val="129"/>
        </w:trPr>
        <w:tc>
          <w:tcPr>
            <w:tcW w:w="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260" w:type="dxa"/>
            <w:vAlign w:val="bottom"/>
            <w:tcBorders>
              <w:top w:val="single" w:sz="8" w:color="0000FF"/>
            </w:tcBorders>
            <w:gridSpan w:val="36"/>
          </w:tcPr>
          <w:p>
            <w:pPr>
              <w:spacing w:after="0" w:line="129" w:lineRule="exact"/>
              <w:rPr>
                <w:rFonts w:ascii="Times New Roman" w:cs="Times New Roman" w:eastAsia="Times New Roman" w:hAnsi="Times New Roman"/>
                <w:sz w:val="14"/>
                <w:szCs w:val="14"/>
                <w:color w:val="0000FF"/>
              </w:rPr>
            </w:pPr>
            <w:hyperlink r:id="rId128">
              <w:r>
                <w:rPr>
                  <w:rFonts w:ascii="Times New Roman" w:cs="Times New Roman" w:eastAsia="Times New Roman" w:hAnsi="Times New Roman"/>
                  <w:sz w:val="14"/>
                  <w:szCs w:val="14"/>
                  <w:color w:val="0000FF"/>
                </w:rPr>
                <w:t>LLC, as Joint Lead Arrangers and Joint Book Managers, Wells Fargo Bank, National Association, as Syndication Agent, and SunTrust Bank, PNC Bank, National Association and</w:t>
              </w:r>
            </w:hyperlink>
          </w:p>
        </w:tc>
        <w:tc>
          <w:tcPr>
            <w:tcW w:w="60" w:type="dxa"/>
            <w:vAlign w:val="bottom"/>
            <w:gridSpan w:val="3"/>
          </w:tcPr>
          <w:p>
            <w:pPr>
              <w:spacing w:after="0"/>
              <w:rPr>
                <w:sz w:val="11"/>
                <w:szCs w:val="11"/>
                <w:color w:val="auto"/>
              </w:rPr>
            </w:pPr>
          </w:p>
        </w:tc>
      </w:tr>
      <w:tr>
        <w:trPr>
          <w:trHeight w:val="118"/>
        </w:trPr>
        <w:tc>
          <w:tcPr>
            <w:tcW w:w="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160" w:type="dxa"/>
            <w:vAlign w:val="bottom"/>
            <w:tcBorders>
              <w:top w:val="single" w:sz="8" w:color="0000FF"/>
            </w:tcBorders>
            <w:gridSpan w:val="31"/>
          </w:tcPr>
          <w:p>
            <w:pPr>
              <w:spacing w:after="0" w:line="118" w:lineRule="exact"/>
              <w:rPr>
                <w:rFonts w:ascii="Times New Roman" w:cs="Times New Roman" w:eastAsia="Times New Roman" w:hAnsi="Times New Roman"/>
                <w:sz w:val="13"/>
                <w:szCs w:val="13"/>
                <w:color w:val="0000FF"/>
              </w:rPr>
            </w:pPr>
            <w:hyperlink r:id="rId128">
              <w:r>
                <w:rPr>
                  <w:rFonts w:ascii="Times New Roman" w:cs="Times New Roman" w:eastAsia="Times New Roman" w:hAnsi="Times New Roman"/>
                  <w:sz w:val="13"/>
                  <w:szCs w:val="13"/>
                  <w:color w:val="0000FF"/>
                </w:rPr>
                <w:t>Branch Banking and Trust Company, as Co-Documentation Agents (incorporated by reference to Exhibit 10.1 to Dycom Industries, Inc.’s Current Report on Form 8-K filed with</w:t>
              </w:r>
            </w:hyperlink>
          </w:p>
        </w:tc>
        <w:tc>
          <w:tcPr>
            <w:tcW w:w="20" w:type="dxa"/>
            <w:vAlign w:val="bottom"/>
          </w:tcPr>
          <w:p>
            <w:pPr>
              <w:spacing w:after="0"/>
              <w:rPr>
                <w:sz w:val="10"/>
                <w:szCs w:val="10"/>
                <w:color w:val="auto"/>
              </w:rPr>
            </w:pPr>
          </w:p>
        </w:tc>
        <w:tc>
          <w:tcPr>
            <w:tcW w:w="140" w:type="dxa"/>
            <w:vAlign w:val="bottom"/>
            <w:gridSpan w:val="7"/>
          </w:tcPr>
          <w:p>
            <w:pPr>
              <w:spacing w:after="0"/>
              <w:rPr>
                <w:sz w:val="10"/>
                <w:szCs w:val="10"/>
                <w:color w:val="auto"/>
              </w:rPr>
            </w:pPr>
          </w:p>
        </w:tc>
      </w:tr>
      <w:tr>
        <w:trPr>
          <w:trHeight w:val="118"/>
        </w:trPr>
        <w:tc>
          <w:tcPr>
            <w:tcW w:w="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800" w:type="dxa"/>
            <w:vAlign w:val="bottom"/>
            <w:tcBorders>
              <w:top w:val="single" w:sz="8" w:color="0000FF"/>
              <w:bottom w:val="single" w:sz="8" w:color="0000FF"/>
            </w:tcBorders>
            <w:gridSpan w:val="9"/>
          </w:tcPr>
          <w:p>
            <w:pPr>
              <w:spacing w:after="0" w:line="118" w:lineRule="exact"/>
              <w:rPr>
                <w:rFonts w:ascii="Times New Roman" w:cs="Times New Roman" w:eastAsia="Times New Roman" w:hAnsi="Times New Roman"/>
                <w:sz w:val="13"/>
                <w:szCs w:val="13"/>
                <w:color w:val="0000FF"/>
              </w:rPr>
            </w:pPr>
            <w:hyperlink r:id="rId128">
              <w:r>
                <w:rPr>
                  <w:rFonts w:ascii="Times New Roman" w:cs="Times New Roman" w:eastAsia="Times New Roman" w:hAnsi="Times New Roman"/>
                  <w:sz w:val="13"/>
                  <w:szCs w:val="13"/>
                  <w:color w:val="0000FF"/>
                </w:rPr>
                <w:t>the SEC on December 5, 2012).</w:t>
              </w:r>
            </w:hyperlink>
          </w:p>
        </w:tc>
        <w:tc>
          <w:tcPr>
            <w:tcW w:w="8240" w:type="dxa"/>
            <w:vAlign w:val="bottom"/>
            <w:tcBorders>
              <w:top w:val="single" w:sz="8" w:color="0000FF"/>
            </w:tcBorders>
            <w:gridSpan w:val="16"/>
          </w:tcPr>
          <w:p>
            <w:pPr>
              <w:spacing w:after="0"/>
              <w:rPr>
                <w:sz w:val="10"/>
                <w:szCs w:val="10"/>
                <w:color w:val="auto"/>
              </w:rPr>
            </w:pPr>
          </w:p>
        </w:tc>
        <w:tc>
          <w:tcPr>
            <w:tcW w:w="60" w:type="dxa"/>
            <w:vAlign w:val="bottom"/>
            <w:gridSpan w:val="3"/>
          </w:tcPr>
          <w:p>
            <w:pPr>
              <w:spacing w:after="0"/>
              <w:rPr>
                <w:sz w:val="10"/>
                <w:szCs w:val="10"/>
                <w:color w:val="auto"/>
              </w:rPr>
            </w:pPr>
          </w:p>
        </w:tc>
        <w:tc>
          <w:tcPr>
            <w:tcW w:w="80" w:type="dxa"/>
            <w:vAlign w:val="bottom"/>
            <w:gridSpan w:val="4"/>
          </w:tcPr>
          <w:p>
            <w:pPr>
              <w:spacing w:after="0"/>
              <w:rPr>
                <w:sz w:val="10"/>
                <w:szCs w:val="10"/>
                <w:color w:val="auto"/>
              </w:rPr>
            </w:pPr>
          </w:p>
        </w:tc>
        <w:tc>
          <w:tcPr>
            <w:tcW w:w="140" w:type="dxa"/>
            <w:vAlign w:val="bottom"/>
            <w:gridSpan w:val="7"/>
          </w:tcPr>
          <w:p>
            <w:pPr>
              <w:spacing w:after="0"/>
              <w:rPr>
                <w:sz w:val="10"/>
                <w:szCs w:val="10"/>
                <w:color w:val="auto"/>
              </w:rPr>
            </w:pPr>
          </w:p>
        </w:tc>
      </w:tr>
      <w:tr>
        <w:trPr>
          <w:trHeight w:val="171"/>
        </w:trPr>
        <w:tc>
          <w:tcPr>
            <w:tcW w:w="340" w:type="dxa"/>
            <w:vAlign w:val="bottom"/>
            <w:gridSpan w:val="2"/>
          </w:tcPr>
          <w:p>
            <w:pPr>
              <w:ind w:left="20"/>
              <w:spacing w:after="0"/>
              <w:rPr>
                <w:rFonts w:ascii="Times New Roman" w:cs="Times New Roman" w:eastAsia="Times New Roman" w:hAnsi="Times New Roman"/>
                <w:sz w:val="14"/>
                <w:szCs w:val="14"/>
                <w:color w:val="0000FF"/>
                <w:w w:val="95"/>
              </w:rPr>
            </w:pPr>
            <w:hyperlink r:id="rId129">
              <w:r>
                <w:rPr>
                  <w:rFonts w:ascii="Times New Roman" w:cs="Times New Roman" w:eastAsia="Times New Roman" w:hAnsi="Times New Roman"/>
                  <w:sz w:val="14"/>
                  <w:szCs w:val="14"/>
                  <w:color w:val="0000FF"/>
                  <w:w w:val="95"/>
                </w:rPr>
                <w:t>10.</w:t>
              </w:r>
            </w:hyperlink>
            <w:r>
              <w:rPr>
                <w:rFonts w:ascii="Times New Roman" w:cs="Times New Roman" w:eastAsia="Times New Roman" w:hAnsi="Times New Roman"/>
                <w:sz w:val="14"/>
                <w:szCs w:val="14"/>
                <w:u w:val="single" w:color="auto"/>
                <w:color w:val="0000FF"/>
                <w:w w:val="95"/>
              </w:rPr>
              <w:t>28</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320" w:type="dxa"/>
            <w:vAlign w:val="bottom"/>
            <w:gridSpan w:val="39"/>
          </w:tcPr>
          <w:p>
            <w:pPr>
              <w:spacing w:after="0"/>
              <w:rPr>
                <w:rFonts w:ascii="Times New Roman" w:cs="Times New Roman" w:eastAsia="Times New Roman" w:hAnsi="Times New Roman"/>
                <w:sz w:val="14"/>
                <w:szCs w:val="14"/>
                <w:color w:val="0000FF"/>
              </w:rPr>
            </w:pPr>
            <w:hyperlink r:id="rId129">
              <w:r>
                <w:rPr>
                  <w:rFonts w:ascii="Times New Roman" w:cs="Times New Roman" w:eastAsia="Times New Roman" w:hAnsi="Times New Roman"/>
                  <w:sz w:val="14"/>
                  <w:szCs w:val="14"/>
                  <w:color w:val="0000FF"/>
                </w:rPr>
                <w:t>First Amendment to Credit Agreement, dated as of April 24, 2015, among Dycom Industries, Inc., as the Borrower, the subsidiaries of Dycom Industries, Inc. identified therein,</w:t>
              </w:r>
            </w:hyperlink>
          </w:p>
        </w:tc>
      </w:tr>
      <w:tr>
        <w:trPr>
          <w:trHeight w:val="118"/>
        </w:trPr>
        <w:tc>
          <w:tcPr>
            <w:tcW w:w="20" w:type="dxa"/>
            <w:vAlign w:val="bottom"/>
          </w:tcPr>
          <w:p>
            <w:pPr>
              <w:spacing w:after="0"/>
              <w:rPr>
                <w:sz w:val="10"/>
                <w:szCs w:val="10"/>
                <w:color w:val="auto"/>
              </w:rPr>
            </w:pPr>
          </w:p>
        </w:tc>
        <w:tc>
          <w:tcPr>
            <w:tcW w:w="320" w:type="dxa"/>
            <w:vAlign w:val="bottom"/>
            <w:tcBorders>
              <w:top w:val="single" w:sz="8" w:color="0000FF"/>
            </w:tcBorders>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9960" w:type="dxa"/>
            <w:vAlign w:val="bottom"/>
            <w:tcBorders>
              <w:top w:val="single" w:sz="8" w:color="0000FF"/>
            </w:tcBorders>
            <w:gridSpan w:val="23"/>
          </w:tcPr>
          <w:p>
            <w:pPr>
              <w:spacing w:after="0" w:line="118" w:lineRule="exact"/>
              <w:rPr>
                <w:rFonts w:ascii="Times New Roman" w:cs="Times New Roman" w:eastAsia="Times New Roman" w:hAnsi="Times New Roman"/>
                <w:sz w:val="13"/>
                <w:szCs w:val="13"/>
                <w:color w:val="0000FF"/>
              </w:rPr>
            </w:pPr>
            <w:hyperlink r:id="rId129">
              <w:r>
                <w:rPr>
                  <w:rFonts w:ascii="Times New Roman" w:cs="Times New Roman" w:eastAsia="Times New Roman" w:hAnsi="Times New Roman"/>
                  <w:sz w:val="13"/>
                  <w:szCs w:val="13"/>
                  <w:color w:val="0000FF"/>
                </w:rPr>
                <w:t>certain lenders named therein, Bank of America, N.A., as Administrative Agent, Swingline Lender and L/C Issuer, Bank of America Merrill Lynch and Wells Fargo Securities,</w:t>
              </w:r>
            </w:hyperlink>
          </w:p>
        </w:tc>
        <w:tc>
          <w:tcPr>
            <w:tcW w:w="140" w:type="dxa"/>
            <w:vAlign w:val="bottom"/>
            <w:gridSpan w:val="5"/>
          </w:tcPr>
          <w:p>
            <w:pPr>
              <w:spacing w:after="0"/>
              <w:rPr>
                <w:sz w:val="10"/>
                <w:szCs w:val="10"/>
                <w:color w:val="auto"/>
              </w:rPr>
            </w:pPr>
          </w:p>
        </w:tc>
        <w:tc>
          <w:tcPr>
            <w:tcW w:w="80" w:type="dxa"/>
            <w:vAlign w:val="bottom"/>
            <w:gridSpan w:val="4"/>
          </w:tcPr>
          <w:p>
            <w:pPr>
              <w:spacing w:after="0"/>
              <w:rPr>
                <w:sz w:val="10"/>
                <w:szCs w:val="10"/>
                <w:color w:val="auto"/>
              </w:rPr>
            </w:pPr>
          </w:p>
        </w:tc>
        <w:tc>
          <w:tcPr>
            <w:tcW w:w="140" w:type="dxa"/>
            <w:vAlign w:val="bottom"/>
            <w:gridSpan w:val="7"/>
          </w:tcPr>
          <w:p>
            <w:pPr>
              <w:spacing w:after="0"/>
              <w:rPr>
                <w:sz w:val="10"/>
                <w:szCs w:val="10"/>
                <w:color w:val="auto"/>
              </w:rPr>
            </w:pPr>
          </w:p>
        </w:tc>
      </w:tr>
      <w:tr>
        <w:trPr>
          <w:trHeight w:val="129"/>
        </w:trPr>
        <w:tc>
          <w:tcPr>
            <w:tcW w:w="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9920" w:type="dxa"/>
            <w:vAlign w:val="bottom"/>
            <w:tcBorders>
              <w:top w:val="single" w:sz="8" w:color="0000FF"/>
            </w:tcBorders>
            <w:gridSpan w:val="21"/>
          </w:tcPr>
          <w:p>
            <w:pPr>
              <w:spacing w:after="0" w:line="129" w:lineRule="exact"/>
              <w:rPr>
                <w:rFonts w:ascii="Times New Roman" w:cs="Times New Roman" w:eastAsia="Times New Roman" w:hAnsi="Times New Roman"/>
                <w:sz w:val="14"/>
                <w:szCs w:val="14"/>
                <w:color w:val="0000FF"/>
              </w:rPr>
            </w:pPr>
            <w:hyperlink r:id="rId129">
              <w:r>
                <w:rPr>
                  <w:rFonts w:ascii="Times New Roman" w:cs="Times New Roman" w:eastAsia="Times New Roman" w:hAnsi="Times New Roman"/>
                  <w:sz w:val="14"/>
                  <w:szCs w:val="14"/>
                  <w:color w:val="0000FF"/>
                </w:rPr>
                <w:t>LLC, as Joint Lead Arrangers and Joint Book Managers, Wells Fargo Bank, National Association, as Syndication Agent, and SunTrust Bank, PNC Bank, National Association</w:t>
              </w:r>
            </w:hyperlink>
          </w:p>
        </w:tc>
        <w:tc>
          <w:tcPr>
            <w:tcW w:w="400" w:type="dxa"/>
            <w:vAlign w:val="bottom"/>
            <w:gridSpan w:val="18"/>
          </w:tcPr>
          <w:p>
            <w:pPr>
              <w:jc w:val="right"/>
              <w:ind w:right="200"/>
              <w:spacing w:after="0" w:line="129" w:lineRule="exact"/>
              <w:rPr>
                <w:rFonts w:ascii="Times New Roman" w:cs="Times New Roman" w:eastAsia="Times New Roman" w:hAnsi="Times New Roman"/>
                <w:sz w:val="14"/>
                <w:szCs w:val="14"/>
                <w:color w:val="0000FF"/>
                <w:w w:val="88"/>
              </w:rPr>
            </w:pPr>
            <w:hyperlink r:id="rId129">
              <w:r>
                <w:rPr>
                  <w:rFonts w:ascii="Times New Roman" w:cs="Times New Roman" w:eastAsia="Times New Roman" w:hAnsi="Times New Roman"/>
                  <w:sz w:val="14"/>
                  <w:szCs w:val="14"/>
                  <w:color w:val="0000FF"/>
                  <w:w w:val="88"/>
                </w:rPr>
                <w:t>and</w:t>
              </w:r>
            </w:hyperlink>
          </w:p>
        </w:tc>
      </w:tr>
      <w:tr>
        <w:trPr>
          <w:trHeight w:val="118"/>
        </w:trPr>
        <w:tc>
          <w:tcPr>
            <w:tcW w:w="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160" w:type="dxa"/>
            <w:vAlign w:val="bottom"/>
            <w:tcBorders>
              <w:top w:val="single" w:sz="8" w:color="0000FF"/>
            </w:tcBorders>
            <w:gridSpan w:val="31"/>
          </w:tcPr>
          <w:p>
            <w:pPr>
              <w:spacing w:after="0" w:line="118" w:lineRule="exact"/>
              <w:rPr>
                <w:rFonts w:ascii="Times New Roman" w:cs="Times New Roman" w:eastAsia="Times New Roman" w:hAnsi="Times New Roman"/>
                <w:sz w:val="13"/>
                <w:szCs w:val="13"/>
                <w:color w:val="0000FF"/>
              </w:rPr>
            </w:pPr>
            <w:hyperlink r:id="rId129">
              <w:r>
                <w:rPr>
                  <w:rFonts w:ascii="Times New Roman" w:cs="Times New Roman" w:eastAsia="Times New Roman" w:hAnsi="Times New Roman"/>
                  <w:sz w:val="13"/>
                  <w:szCs w:val="13"/>
                  <w:color w:val="0000FF"/>
                </w:rPr>
                <w:t>Branch Banking and Trust Company, as Co-Documentation Agents (incorporated by reference to Exhibit 10.1 to Dycom Industries, Inc.’s Current Report on Form 8-K filed with</w:t>
              </w:r>
            </w:hyperlink>
          </w:p>
        </w:tc>
        <w:tc>
          <w:tcPr>
            <w:tcW w:w="20" w:type="dxa"/>
            <w:vAlign w:val="bottom"/>
          </w:tcPr>
          <w:p>
            <w:pPr>
              <w:spacing w:after="0"/>
              <w:rPr>
                <w:sz w:val="10"/>
                <w:szCs w:val="10"/>
                <w:color w:val="auto"/>
              </w:rPr>
            </w:pPr>
          </w:p>
        </w:tc>
        <w:tc>
          <w:tcPr>
            <w:tcW w:w="140" w:type="dxa"/>
            <w:vAlign w:val="bottom"/>
            <w:gridSpan w:val="7"/>
          </w:tcPr>
          <w:p>
            <w:pPr>
              <w:spacing w:after="0"/>
              <w:rPr>
                <w:sz w:val="10"/>
                <w:szCs w:val="10"/>
                <w:color w:val="auto"/>
              </w:rPr>
            </w:pPr>
          </w:p>
        </w:tc>
      </w:tr>
      <w:tr>
        <w:trPr>
          <w:trHeight w:val="118"/>
        </w:trPr>
        <w:tc>
          <w:tcPr>
            <w:tcW w:w="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40" w:type="dxa"/>
            <w:vAlign w:val="bottom"/>
            <w:tcBorders>
              <w:top w:val="single" w:sz="8" w:color="0000FF"/>
            </w:tcBorders>
            <w:gridSpan w:val="25"/>
          </w:tcPr>
          <w:p>
            <w:pPr>
              <w:spacing w:after="0" w:line="118" w:lineRule="exact"/>
              <w:rPr>
                <w:rFonts w:ascii="Times New Roman" w:cs="Times New Roman" w:eastAsia="Times New Roman" w:hAnsi="Times New Roman"/>
                <w:sz w:val="13"/>
                <w:szCs w:val="13"/>
                <w:color w:val="0000FF"/>
              </w:rPr>
            </w:pPr>
            <w:hyperlink r:id="rId129">
              <w:r>
                <w:rPr>
                  <w:rFonts w:ascii="Times New Roman" w:cs="Times New Roman" w:eastAsia="Times New Roman" w:hAnsi="Times New Roman"/>
                  <w:sz w:val="13"/>
                  <w:szCs w:val="13"/>
                  <w:color w:val="0000FF"/>
                </w:rPr>
                <w:t>the SEC on April 27, 2015).</w:t>
              </w:r>
            </w:hyperlink>
          </w:p>
        </w:tc>
        <w:tc>
          <w:tcPr>
            <w:tcW w:w="60" w:type="dxa"/>
            <w:vAlign w:val="bottom"/>
            <w:gridSpan w:val="3"/>
          </w:tcPr>
          <w:p>
            <w:pPr>
              <w:spacing w:after="0"/>
              <w:rPr>
                <w:sz w:val="10"/>
                <w:szCs w:val="10"/>
                <w:color w:val="auto"/>
              </w:rPr>
            </w:pPr>
          </w:p>
        </w:tc>
        <w:tc>
          <w:tcPr>
            <w:tcW w:w="80" w:type="dxa"/>
            <w:vAlign w:val="bottom"/>
            <w:gridSpan w:val="4"/>
          </w:tcPr>
          <w:p>
            <w:pPr>
              <w:spacing w:after="0"/>
              <w:rPr>
                <w:sz w:val="10"/>
                <w:szCs w:val="10"/>
                <w:color w:val="auto"/>
              </w:rPr>
            </w:pPr>
          </w:p>
        </w:tc>
        <w:tc>
          <w:tcPr>
            <w:tcW w:w="140" w:type="dxa"/>
            <w:vAlign w:val="bottom"/>
            <w:gridSpan w:val="7"/>
          </w:tcPr>
          <w:p>
            <w:pPr>
              <w:spacing w:after="0"/>
              <w:rPr>
                <w:sz w:val="10"/>
                <w:szCs w:val="10"/>
                <w:color w:val="auto"/>
              </w:rPr>
            </w:pPr>
          </w:p>
        </w:tc>
      </w:tr>
      <w:tr>
        <w:trPr>
          <w:trHeight w:val="20"/>
        </w:trPr>
        <w:tc>
          <w:tcPr>
            <w:tcW w:w="3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Borders>
              <w:right w:val="single" w:sz="8" w:color="0000FF"/>
            </w:tcBorders>
          </w:tcPr>
          <w:p>
            <w:pPr>
              <w:spacing w:after="0" w:line="20" w:lineRule="exact"/>
              <w:rPr>
                <w:sz w:val="1"/>
                <w:szCs w:val="1"/>
                <w:color w:val="auto"/>
              </w:rPr>
            </w:pPr>
          </w:p>
        </w:tc>
        <w:tc>
          <w:tcPr>
            <w:tcW w:w="1580" w:type="dxa"/>
            <w:vAlign w:val="bottom"/>
            <w:gridSpan w:val="8"/>
            <w:shd w:val="clear" w:color="auto" w:fill="0000FF"/>
          </w:tcPr>
          <w:p>
            <w:pPr>
              <w:spacing w:after="0" w:line="20" w:lineRule="exact"/>
              <w:rPr>
                <w:sz w:val="1"/>
                <w:szCs w:val="1"/>
                <w:color w:val="auto"/>
              </w:rPr>
            </w:pPr>
          </w:p>
        </w:tc>
        <w:tc>
          <w:tcPr>
            <w:tcW w:w="1660" w:type="dxa"/>
            <w:vAlign w:val="bottom"/>
            <w:gridSpan w:val="4"/>
          </w:tcPr>
          <w:p>
            <w:pPr>
              <w:spacing w:after="0" w:line="20" w:lineRule="exact"/>
              <w:rPr>
                <w:sz w:val="1"/>
                <w:szCs w:val="1"/>
                <w:color w:val="auto"/>
              </w:rPr>
            </w:pPr>
          </w:p>
        </w:tc>
        <w:tc>
          <w:tcPr>
            <w:tcW w:w="1520" w:type="dxa"/>
            <w:vAlign w:val="bottom"/>
            <w:gridSpan w:val="3"/>
          </w:tcPr>
          <w:p>
            <w:pPr>
              <w:spacing w:after="0" w:line="20" w:lineRule="exact"/>
              <w:rPr>
                <w:sz w:val="1"/>
                <w:szCs w:val="1"/>
                <w:color w:val="auto"/>
              </w:rPr>
            </w:pPr>
          </w:p>
        </w:tc>
        <w:tc>
          <w:tcPr>
            <w:tcW w:w="510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8"/>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140" w:type="dxa"/>
            <w:vAlign w:val="bottom"/>
            <w:gridSpan w:val="7"/>
          </w:tcPr>
          <w:p>
            <w:pPr>
              <w:spacing w:after="0" w:line="20" w:lineRule="exact"/>
              <w:rPr>
                <w:sz w:val="1"/>
                <w:szCs w:val="1"/>
                <w:color w:val="auto"/>
              </w:rPr>
            </w:pPr>
          </w:p>
        </w:tc>
      </w:tr>
      <w:tr>
        <w:trPr>
          <w:trHeight w:val="171"/>
        </w:trPr>
        <w:tc>
          <w:tcPr>
            <w:tcW w:w="20" w:type="dxa"/>
            <w:vAlign w:val="bottom"/>
          </w:tcPr>
          <w:p>
            <w:pPr>
              <w:spacing w:after="0"/>
              <w:rPr>
                <w:sz w:val="14"/>
                <w:szCs w:val="14"/>
                <w:color w:val="auto"/>
              </w:rPr>
            </w:pPr>
          </w:p>
        </w:tc>
        <w:tc>
          <w:tcPr>
            <w:tcW w:w="320" w:type="dxa"/>
            <w:vAlign w:val="bottom"/>
            <w:tcBorders>
              <w:bottom w:val="single" w:sz="8" w:color="0000FF"/>
            </w:tcBorders>
          </w:tcPr>
          <w:p>
            <w:pPr>
              <w:spacing w:after="0"/>
              <w:rPr>
                <w:rFonts w:ascii="Times New Roman" w:cs="Times New Roman" w:eastAsia="Times New Roman" w:hAnsi="Times New Roman"/>
                <w:sz w:val="14"/>
                <w:szCs w:val="14"/>
                <w:color w:val="0000FF"/>
                <w:w w:val="95"/>
              </w:rPr>
            </w:pPr>
            <w:hyperlink r:id="rId130">
              <w:r>
                <w:rPr>
                  <w:rFonts w:ascii="Times New Roman" w:cs="Times New Roman" w:eastAsia="Times New Roman" w:hAnsi="Times New Roman"/>
                  <w:sz w:val="14"/>
                  <w:szCs w:val="14"/>
                  <w:color w:val="0000FF"/>
                  <w:w w:val="95"/>
                </w:rPr>
                <w:t>10.</w:t>
              </w:r>
            </w:hyperlink>
            <w:r>
              <w:rPr>
                <w:rFonts w:ascii="Times New Roman" w:cs="Times New Roman" w:eastAsia="Times New Roman" w:hAnsi="Times New Roman"/>
                <w:sz w:val="14"/>
                <w:szCs w:val="14"/>
                <w:u w:val="single" w:color="auto"/>
                <w:color w:val="0000FF"/>
                <w:w w:val="95"/>
              </w:rPr>
              <w:t>29</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900" w:type="dxa"/>
            <w:vAlign w:val="bottom"/>
            <w:tcBorders>
              <w:bottom w:val="single" w:sz="8" w:color="0000FF"/>
            </w:tcBorders>
            <w:gridSpan w:val="20"/>
          </w:tcPr>
          <w:p>
            <w:pPr>
              <w:spacing w:after="0"/>
              <w:rPr>
                <w:rFonts w:ascii="Times New Roman" w:cs="Times New Roman" w:eastAsia="Times New Roman" w:hAnsi="Times New Roman"/>
                <w:sz w:val="14"/>
                <w:szCs w:val="14"/>
                <w:color w:val="0000FF"/>
              </w:rPr>
            </w:pPr>
            <w:hyperlink r:id="rId130">
              <w:r>
                <w:rPr>
                  <w:rFonts w:ascii="Times New Roman" w:cs="Times New Roman" w:eastAsia="Times New Roman" w:hAnsi="Times New Roman"/>
                  <w:sz w:val="14"/>
                  <w:szCs w:val="14"/>
                  <w:color w:val="0000FF"/>
                </w:rPr>
                <w:t>Second Amendment to Credit Agreement, dated as of September 9, 2015, among Dycom Industries, Inc., as the Borrower, the subsidiaries of Dycom Industries, Inc. identified</w:t>
              </w:r>
            </w:hyperlink>
          </w:p>
        </w:tc>
        <w:tc>
          <w:tcPr>
            <w:tcW w:w="420" w:type="dxa"/>
            <w:vAlign w:val="bottom"/>
            <w:gridSpan w:val="19"/>
          </w:tcPr>
          <w:p>
            <w:pPr>
              <w:spacing w:after="0"/>
              <w:rPr>
                <w:sz w:val="14"/>
                <w:szCs w:val="14"/>
                <w:color w:val="auto"/>
              </w:rPr>
            </w:pPr>
          </w:p>
        </w:tc>
      </w:tr>
      <w:tr>
        <w:trPr>
          <w:trHeight w:val="118"/>
        </w:trPr>
        <w:tc>
          <w:tcPr>
            <w:tcW w:w="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320" w:type="dxa"/>
            <w:vAlign w:val="bottom"/>
            <w:gridSpan w:val="39"/>
          </w:tcPr>
          <w:p>
            <w:pPr>
              <w:spacing w:after="0" w:line="118" w:lineRule="exact"/>
              <w:rPr>
                <w:rFonts w:ascii="Times New Roman" w:cs="Times New Roman" w:eastAsia="Times New Roman" w:hAnsi="Times New Roman"/>
                <w:sz w:val="13"/>
                <w:szCs w:val="13"/>
                <w:color w:val="0000FF"/>
              </w:rPr>
            </w:pPr>
            <w:hyperlink r:id="rId130">
              <w:r>
                <w:rPr>
                  <w:rFonts w:ascii="Times New Roman" w:cs="Times New Roman" w:eastAsia="Times New Roman" w:hAnsi="Times New Roman"/>
                  <w:sz w:val="13"/>
                  <w:szCs w:val="13"/>
                  <w:color w:val="0000FF"/>
                </w:rPr>
                <w:t>therein, certain lenders named therein, and Bank of America, N.A., as Administrative Agent (incorporated by reference to Exhibit 10.1 to Dycom Industries, Inc.’s Current Report</w:t>
              </w:r>
            </w:hyperlink>
          </w:p>
        </w:tc>
      </w:tr>
      <w:tr>
        <w:trPr>
          <w:trHeight w:val="129"/>
        </w:trPr>
        <w:tc>
          <w:tcPr>
            <w:tcW w:w="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100" w:type="dxa"/>
            <w:vAlign w:val="bottom"/>
            <w:tcBorders>
              <w:top w:val="single" w:sz="8" w:color="0000FF"/>
            </w:tcBorders>
            <w:gridSpan w:val="28"/>
          </w:tcPr>
          <w:p>
            <w:pPr>
              <w:spacing w:after="0" w:line="129" w:lineRule="exact"/>
              <w:rPr>
                <w:rFonts w:ascii="Times New Roman" w:cs="Times New Roman" w:eastAsia="Times New Roman" w:hAnsi="Times New Roman"/>
                <w:sz w:val="14"/>
                <w:szCs w:val="14"/>
                <w:color w:val="0000FF"/>
              </w:rPr>
            </w:pPr>
            <w:hyperlink r:id="rId130">
              <w:r>
                <w:rPr>
                  <w:rFonts w:ascii="Times New Roman" w:cs="Times New Roman" w:eastAsia="Times New Roman" w:hAnsi="Times New Roman"/>
                  <w:sz w:val="14"/>
                  <w:szCs w:val="14"/>
                  <w:color w:val="0000FF"/>
                </w:rPr>
                <w:t>on Form 8-K filed with the SEC on September 10, 2015).</w:t>
              </w:r>
            </w:hyperlink>
          </w:p>
        </w:tc>
        <w:tc>
          <w:tcPr>
            <w:tcW w:w="80" w:type="dxa"/>
            <w:vAlign w:val="bottom"/>
            <w:gridSpan w:val="4"/>
          </w:tcPr>
          <w:p>
            <w:pPr>
              <w:spacing w:after="0"/>
              <w:rPr>
                <w:sz w:val="11"/>
                <w:szCs w:val="11"/>
                <w:color w:val="auto"/>
              </w:rPr>
            </w:pPr>
          </w:p>
        </w:tc>
        <w:tc>
          <w:tcPr>
            <w:tcW w:w="140" w:type="dxa"/>
            <w:vAlign w:val="bottom"/>
            <w:gridSpan w:val="7"/>
          </w:tcPr>
          <w:p>
            <w:pPr>
              <w:spacing w:after="0"/>
              <w:rPr>
                <w:sz w:val="11"/>
                <w:szCs w:val="11"/>
                <w:color w:val="auto"/>
              </w:rPr>
            </w:pPr>
          </w:p>
        </w:tc>
      </w:tr>
      <w:tr>
        <w:trPr>
          <w:trHeight w:val="20"/>
        </w:trPr>
        <w:tc>
          <w:tcPr>
            <w:tcW w:w="3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Borders>
              <w:right w:val="single" w:sz="8" w:color="0000FF"/>
            </w:tcBorders>
          </w:tcPr>
          <w:p>
            <w:pPr>
              <w:spacing w:after="0" w:line="20" w:lineRule="exact"/>
              <w:rPr>
                <w:sz w:val="1"/>
                <w:szCs w:val="1"/>
                <w:color w:val="auto"/>
              </w:rPr>
            </w:pPr>
          </w:p>
        </w:tc>
        <w:tc>
          <w:tcPr>
            <w:tcW w:w="3240" w:type="dxa"/>
            <w:vAlign w:val="bottom"/>
            <w:gridSpan w:val="12"/>
            <w:shd w:val="clear" w:color="auto" w:fill="0000FF"/>
          </w:tcPr>
          <w:p>
            <w:pPr>
              <w:spacing w:after="0" w:line="20" w:lineRule="exact"/>
              <w:rPr>
                <w:sz w:val="1"/>
                <w:szCs w:val="1"/>
                <w:color w:val="auto"/>
              </w:rPr>
            </w:pPr>
          </w:p>
        </w:tc>
        <w:tc>
          <w:tcPr>
            <w:tcW w:w="1520" w:type="dxa"/>
            <w:vAlign w:val="bottom"/>
            <w:gridSpan w:val="3"/>
          </w:tcPr>
          <w:p>
            <w:pPr>
              <w:spacing w:after="0" w:line="20" w:lineRule="exact"/>
              <w:rPr>
                <w:sz w:val="1"/>
                <w:szCs w:val="1"/>
                <w:color w:val="auto"/>
              </w:rPr>
            </w:pPr>
          </w:p>
        </w:tc>
        <w:tc>
          <w:tcPr>
            <w:tcW w:w="5100" w:type="dxa"/>
            <w:vAlign w:val="bottom"/>
            <w:gridSpan w:val="4"/>
          </w:tcPr>
          <w:p>
            <w:pPr>
              <w:spacing w:after="0" w:line="20" w:lineRule="exact"/>
              <w:rPr>
                <w:sz w:val="1"/>
                <w:szCs w:val="1"/>
                <w:color w:val="auto"/>
              </w:rPr>
            </w:pPr>
          </w:p>
        </w:tc>
        <w:tc>
          <w:tcPr>
            <w:tcW w:w="320" w:type="dxa"/>
            <w:vAlign w:val="bottom"/>
            <w:gridSpan w:val="13"/>
          </w:tcPr>
          <w:p>
            <w:pPr>
              <w:spacing w:after="0" w:line="20" w:lineRule="exact"/>
              <w:rPr>
                <w:sz w:val="1"/>
                <w:szCs w:val="1"/>
                <w:color w:val="auto"/>
              </w:rPr>
            </w:pPr>
          </w:p>
        </w:tc>
        <w:tc>
          <w:tcPr>
            <w:tcW w:w="140" w:type="dxa"/>
            <w:vAlign w:val="bottom"/>
            <w:gridSpan w:val="7"/>
          </w:tcPr>
          <w:p>
            <w:pPr>
              <w:spacing w:after="0" w:line="20" w:lineRule="exact"/>
              <w:rPr>
                <w:sz w:val="1"/>
                <w:szCs w:val="1"/>
                <w:color w:val="auto"/>
              </w:rPr>
            </w:pPr>
          </w:p>
        </w:tc>
      </w:tr>
      <w:tr>
        <w:trPr>
          <w:trHeight w:val="160"/>
        </w:trPr>
        <w:tc>
          <w:tcPr>
            <w:tcW w:w="420" w:type="dxa"/>
            <w:vAlign w:val="bottom"/>
            <w:gridSpan w:val="3"/>
          </w:tcPr>
          <w:p>
            <w:pPr>
              <w:ind w:left="20"/>
              <w:spacing w:after="0"/>
              <w:rPr>
                <w:rFonts w:ascii="Times New Roman" w:cs="Times New Roman" w:eastAsia="Times New Roman" w:hAnsi="Times New Roman"/>
                <w:sz w:val="14"/>
                <w:szCs w:val="14"/>
                <w:color w:val="0000FF"/>
              </w:rPr>
            </w:pPr>
            <w:hyperlink r:id="rId131">
              <w:r>
                <w:rPr>
                  <w:rFonts w:ascii="Times New Roman" w:cs="Times New Roman" w:eastAsia="Times New Roman" w:hAnsi="Times New Roman"/>
                  <w:sz w:val="14"/>
                  <w:szCs w:val="14"/>
                  <w:color w:val="0000FF"/>
                </w:rPr>
                <w:t>10.</w:t>
              </w:r>
              <w:r>
                <w:rPr>
                  <w:rFonts w:ascii="Times New Roman" w:cs="Times New Roman" w:eastAsia="Times New Roman" w:hAnsi="Times New Roman"/>
                  <w:sz w:val="14"/>
                  <w:szCs w:val="14"/>
                  <w:u w:val="single" w:color="auto"/>
                  <w:color w:val="0000FF"/>
                </w:rPr>
                <w:t>30</w:t>
              </w:r>
            </w:hyperlink>
          </w:p>
        </w:tc>
        <w:tc>
          <w:tcPr>
            <w:tcW w:w="1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320" w:type="dxa"/>
            <w:vAlign w:val="bottom"/>
            <w:gridSpan w:val="39"/>
          </w:tcPr>
          <w:p>
            <w:pPr>
              <w:spacing w:after="0"/>
              <w:rPr>
                <w:rFonts w:ascii="Times New Roman" w:cs="Times New Roman" w:eastAsia="Times New Roman" w:hAnsi="Times New Roman"/>
                <w:sz w:val="14"/>
                <w:szCs w:val="14"/>
                <w:color w:val="0000FF"/>
              </w:rPr>
            </w:pPr>
            <w:hyperlink r:id="rId131">
              <w:r>
                <w:rPr>
                  <w:rFonts w:ascii="Times New Roman" w:cs="Times New Roman" w:eastAsia="Times New Roman" w:hAnsi="Times New Roman"/>
                  <w:sz w:val="14"/>
                  <w:szCs w:val="14"/>
                  <w:color w:val="0000FF"/>
                </w:rPr>
                <w:t>Third Amendment to Credit Agreement and Additional Term Loan Agreement, dated as of May 20, 2016, among Dycom Industries, Inc., as the Borrower, the subsidiaries of</w:t>
              </w:r>
            </w:hyperlink>
          </w:p>
        </w:tc>
      </w:tr>
      <w:tr>
        <w:trPr>
          <w:trHeight w:val="118"/>
        </w:trPr>
        <w:tc>
          <w:tcPr>
            <w:tcW w:w="20" w:type="dxa"/>
            <w:vAlign w:val="bottom"/>
          </w:tcPr>
          <w:p>
            <w:pPr>
              <w:spacing w:after="0"/>
              <w:rPr>
                <w:sz w:val="10"/>
                <w:szCs w:val="10"/>
                <w:color w:val="auto"/>
              </w:rPr>
            </w:pPr>
          </w:p>
        </w:tc>
        <w:tc>
          <w:tcPr>
            <w:tcW w:w="320" w:type="dxa"/>
            <w:vAlign w:val="bottom"/>
            <w:tcBorders>
              <w:top w:val="single" w:sz="8" w:color="0000FF"/>
            </w:tcBorders>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9860" w:type="dxa"/>
            <w:vAlign w:val="bottom"/>
            <w:tcBorders>
              <w:top w:val="single" w:sz="8" w:color="0000FF"/>
            </w:tcBorders>
            <w:gridSpan w:val="19"/>
          </w:tcPr>
          <w:p>
            <w:pPr>
              <w:spacing w:after="0" w:line="118" w:lineRule="exact"/>
              <w:rPr>
                <w:rFonts w:ascii="Times New Roman" w:cs="Times New Roman" w:eastAsia="Times New Roman" w:hAnsi="Times New Roman"/>
                <w:sz w:val="13"/>
                <w:szCs w:val="13"/>
                <w:color w:val="0000FF"/>
              </w:rPr>
            </w:pPr>
            <w:hyperlink r:id="rId131">
              <w:r>
                <w:rPr>
                  <w:rFonts w:ascii="Times New Roman" w:cs="Times New Roman" w:eastAsia="Times New Roman" w:hAnsi="Times New Roman"/>
                  <w:sz w:val="13"/>
                  <w:szCs w:val="13"/>
                  <w:color w:val="0000FF"/>
                </w:rPr>
                <w:t>Dycom Industries, Inc. identified therein, certain lenders named therein, and Bank of America, N.A., as Administrative Agent (incorporated by reference to Exhibit 10.1 to</w:t>
              </w:r>
            </w:hyperlink>
          </w:p>
        </w:tc>
        <w:tc>
          <w:tcPr>
            <w:tcW w:w="460" w:type="dxa"/>
            <w:vAlign w:val="bottom"/>
            <w:gridSpan w:val="20"/>
          </w:tcPr>
          <w:p>
            <w:pPr>
              <w:jc w:val="right"/>
              <w:ind w:right="180"/>
              <w:spacing w:after="0" w:line="118" w:lineRule="exact"/>
              <w:rPr>
                <w:rFonts w:ascii="Times New Roman" w:cs="Times New Roman" w:eastAsia="Times New Roman" w:hAnsi="Times New Roman"/>
                <w:sz w:val="12"/>
                <w:szCs w:val="12"/>
                <w:color w:val="0000FF"/>
                <w:w w:val="73"/>
              </w:rPr>
            </w:pPr>
            <w:hyperlink r:id="rId131">
              <w:r>
                <w:rPr>
                  <w:rFonts w:ascii="Times New Roman" w:cs="Times New Roman" w:eastAsia="Times New Roman" w:hAnsi="Times New Roman"/>
                  <w:sz w:val="12"/>
                  <w:szCs w:val="12"/>
                  <w:color w:val="0000FF"/>
                  <w:w w:val="73"/>
                </w:rPr>
                <w:t>Dycom</w:t>
              </w:r>
            </w:hyperlink>
          </w:p>
        </w:tc>
      </w:tr>
      <w:tr>
        <w:trPr>
          <w:trHeight w:val="129"/>
        </w:trPr>
        <w:tc>
          <w:tcPr>
            <w:tcW w:w="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180" w:type="dxa"/>
            <w:vAlign w:val="bottom"/>
            <w:tcBorders>
              <w:top w:val="single" w:sz="8" w:color="0000FF"/>
            </w:tcBorders>
            <w:gridSpan w:val="32"/>
          </w:tcPr>
          <w:p>
            <w:pPr>
              <w:spacing w:after="0" w:line="129" w:lineRule="exact"/>
              <w:rPr>
                <w:rFonts w:ascii="Times New Roman" w:cs="Times New Roman" w:eastAsia="Times New Roman" w:hAnsi="Times New Roman"/>
                <w:sz w:val="14"/>
                <w:szCs w:val="14"/>
                <w:color w:val="0000FF"/>
              </w:rPr>
            </w:pPr>
            <w:hyperlink r:id="rId131">
              <w:r>
                <w:rPr>
                  <w:rFonts w:ascii="Times New Roman" w:cs="Times New Roman" w:eastAsia="Times New Roman" w:hAnsi="Times New Roman"/>
                  <w:sz w:val="14"/>
                  <w:szCs w:val="14"/>
                  <w:color w:val="0000FF"/>
                </w:rPr>
                <w:t>Industries, Inc.’s Current Report on Form 8-K filed with the SEC on May 24, 2016).</w:t>
              </w:r>
            </w:hyperlink>
          </w:p>
        </w:tc>
        <w:tc>
          <w:tcPr>
            <w:tcW w:w="140" w:type="dxa"/>
            <w:vAlign w:val="bottom"/>
            <w:gridSpan w:val="7"/>
          </w:tcPr>
          <w:p>
            <w:pPr>
              <w:spacing w:after="0"/>
              <w:rPr>
                <w:sz w:val="11"/>
                <w:szCs w:val="11"/>
                <w:color w:val="auto"/>
              </w:rPr>
            </w:pPr>
          </w:p>
        </w:tc>
      </w:tr>
      <w:tr>
        <w:trPr>
          <w:trHeight w:val="20"/>
        </w:trPr>
        <w:tc>
          <w:tcPr>
            <w:tcW w:w="42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Borders>
              <w:right w:val="single" w:sz="8" w:color="0000FF"/>
            </w:tcBorders>
          </w:tcPr>
          <w:p>
            <w:pPr>
              <w:spacing w:after="0" w:line="20" w:lineRule="exact"/>
              <w:rPr>
                <w:sz w:val="1"/>
                <w:szCs w:val="1"/>
                <w:color w:val="auto"/>
              </w:rPr>
            </w:pPr>
          </w:p>
        </w:tc>
        <w:tc>
          <w:tcPr>
            <w:tcW w:w="4760" w:type="dxa"/>
            <w:vAlign w:val="bottom"/>
            <w:gridSpan w:val="15"/>
            <w:shd w:val="clear" w:color="auto" w:fill="0000FF"/>
          </w:tcPr>
          <w:p>
            <w:pPr>
              <w:spacing w:after="0" w:line="20" w:lineRule="exact"/>
              <w:rPr>
                <w:sz w:val="1"/>
                <w:szCs w:val="1"/>
                <w:color w:val="auto"/>
              </w:rPr>
            </w:pPr>
          </w:p>
        </w:tc>
        <w:tc>
          <w:tcPr>
            <w:tcW w:w="5560" w:type="dxa"/>
            <w:vAlign w:val="bottom"/>
            <w:gridSpan w:val="24"/>
          </w:tcPr>
          <w:p>
            <w:pPr>
              <w:spacing w:after="0" w:line="20" w:lineRule="exact"/>
              <w:rPr>
                <w:sz w:val="1"/>
                <w:szCs w:val="1"/>
                <w:color w:val="auto"/>
              </w:rPr>
            </w:pPr>
          </w:p>
        </w:tc>
      </w:tr>
      <w:tr>
        <w:trPr>
          <w:trHeight w:val="162"/>
        </w:trPr>
        <w:tc>
          <w:tcPr>
            <w:tcW w:w="420" w:type="dxa"/>
            <w:vAlign w:val="bottom"/>
            <w:gridSpan w:val="3"/>
          </w:tcPr>
          <w:p>
            <w:pPr>
              <w:ind w:left="20"/>
              <w:spacing w:after="0"/>
              <w:rPr>
                <w:rFonts w:ascii="Times New Roman" w:cs="Times New Roman" w:eastAsia="Times New Roman" w:hAnsi="Times New Roman"/>
                <w:sz w:val="14"/>
                <w:szCs w:val="14"/>
                <w:u w:val="single" w:color="auto"/>
                <w:color w:val="0000FF"/>
              </w:rPr>
            </w:pPr>
            <w:hyperlink r:id="rId132">
              <w:r>
                <w:rPr>
                  <w:rFonts w:ascii="Times New Roman" w:cs="Times New Roman" w:eastAsia="Times New Roman" w:hAnsi="Times New Roman"/>
                  <w:sz w:val="14"/>
                  <w:szCs w:val="14"/>
                  <w:u w:val="single" w:color="auto"/>
                  <w:color w:val="0000FF"/>
                </w:rPr>
                <w:t>10.31</w:t>
              </w:r>
            </w:hyperlink>
          </w:p>
        </w:tc>
        <w:tc>
          <w:tcPr>
            <w:tcW w:w="1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320" w:type="dxa"/>
            <w:vAlign w:val="bottom"/>
            <w:gridSpan w:val="39"/>
          </w:tcPr>
          <w:p>
            <w:pPr>
              <w:spacing w:after="0"/>
              <w:rPr>
                <w:rFonts w:ascii="Times New Roman" w:cs="Times New Roman" w:eastAsia="Times New Roman" w:hAnsi="Times New Roman"/>
                <w:sz w:val="14"/>
                <w:szCs w:val="14"/>
                <w:u w:val="single" w:color="auto"/>
                <w:color w:val="0000FF"/>
              </w:rPr>
            </w:pPr>
            <w:hyperlink r:id="rId132">
              <w:r>
                <w:rPr>
                  <w:rFonts w:ascii="Times New Roman" w:cs="Times New Roman" w:eastAsia="Times New Roman" w:hAnsi="Times New Roman"/>
                  <w:sz w:val="14"/>
                  <w:szCs w:val="14"/>
                  <w:u w:val="single" w:color="auto"/>
                  <w:color w:val="0000FF"/>
                </w:rPr>
                <w:t>Fourth Amendment to Credit Agreement, dated as of June 17, 2016, among Dycom Industries, Inc., as the Borrower, the subsidiaries of Dycom Industries, Inc. identified therein,</w:t>
              </w:r>
            </w:hyperlink>
          </w:p>
        </w:tc>
      </w:tr>
    </w:tbl>
    <w:p>
      <w:pPr>
        <w:ind w:left="1020" w:right="80"/>
        <w:spacing w:after="0" w:line="235" w:lineRule="auto"/>
        <w:rPr>
          <w:rFonts w:ascii="Times New Roman" w:cs="Times New Roman" w:eastAsia="Times New Roman" w:hAnsi="Times New Roman"/>
          <w:sz w:val="14"/>
          <w:szCs w:val="14"/>
          <w:u w:val="single" w:color="auto"/>
          <w:color w:val="0000FF"/>
        </w:rPr>
      </w:pPr>
      <w:hyperlink r:id="rId132">
        <w:r>
          <w:rPr>
            <w:rFonts w:ascii="Times New Roman" w:cs="Times New Roman" w:eastAsia="Times New Roman" w:hAnsi="Times New Roman"/>
            <w:sz w:val="14"/>
            <w:szCs w:val="14"/>
            <w:u w:val="single" w:color="auto"/>
            <w:color w:val="0000FF"/>
          </w:rPr>
          <w:t>certain lenders named therein, and Bank of America, N.A., as Administrative Agent (incorporated by reference to Exhibit 10.1 to Dycom Industries, Inc.’s Current Report on Form</w:t>
        </w:r>
      </w:hyperlink>
      <w:r>
        <w:rPr>
          <w:rFonts w:ascii="Times New Roman" w:cs="Times New Roman" w:eastAsia="Times New Roman" w:hAnsi="Times New Roman"/>
          <w:sz w:val="14"/>
          <w:szCs w:val="14"/>
          <w:u w:val="single" w:color="auto"/>
          <w:color w:val="0000FF"/>
        </w:rPr>
        <w:t xml:space="preserve"> </w:t>
      </w:r>
      <w:hyperlink r:id="rId132">
        <w:r>
          <w:rPr>
            <w:rFonts w:ascii="Times New Roman" w:cs="Times New Roman" w:eastAsia="Times New Roman" w:hAnsi="Times New Roman"/>
            <w:sz w:val="14"/>
            <w:szCs w:val="14"/>
            <w:u w:val="single" w:color="auto"/>
            <w:color w:val="0000FF"/>
          </w:rPr>
          <w:t>8-K filed with the SEC on June 22, 2016).</w:t>
        </w:r>
      </w:hyperlink>
    </w:p>
    <w:p>
      <w:pPr>
        <w:spacing w:after="0" w:line="200" w:lineRule="exact"/>
        <w:rPr>
          <w:sz w:val="20"/>
          <w:szCs w:val="20"/>
          <w:color w:val="auto"/>
        </w:rPr>
      </w:pPr>
    </w:p>
    <w:p>
      <w:pPr>
        <w:spacing w:after="0" w:line="30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3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116" w:right="359" w:bottom="1440" w:gutter="0" w:footer="0" w:header="0"/>
        </w:sectPr>
      </w:pPr>
    </w:p>
    <w:bookmarkStart w:id="80" w:name="page81"/>
    <w:bookmarkEnd w:id="80"/>
    <w:tbl>
      <w:tblPr>
        <w:tblLayout w:type="fixed"/>
        <w:tblInd w:w="0" w:type="dxa"/>
        <w:tblCellMar>
          <w:top w:w="0" w:type="dxa"/>
          <w:left w:w="0" w:type="dxa"/>
          <w:bottom w:w="0" w:type="dxa"/>
          <w:right w:w="0" w:type="dxa"/>
        </w:tblCellMar>
      </w:tblPr>
      <w:tr>
        <w:trPr>
          <w:trHeight w:val="161"/>
        </w:trPr>
        <w:tc>
          <w:tcPr>
            <w:tcW w:w="1020" w:type="dxa"/>
            <w:vAlign w:val="bottom"/>
            <w:gridSpan w:val="8"/>
          </w:tcPr>
          <w:p>
            <w:pPr>
              <w:spacing w:after="0"/>
              <w:rPr>
                <w:sz w:val="20"/>
                <w:szCs w:val="20"/>
                <w:color w:val="auto"/>
              </w:rPr>
            </w:pPr>
            <w:r>
              <w:rPr>
                <w:rFonts w:ascii="Times New Roman" w:cs="Times New Roman" w:eastAsia="Times New Roman" w:hAnsi="Times New Roman"/>
                <w:sz w:val="14"/>
                <w:szCs w:val="14"/>
                <w:color w:val="0000FF"/>
                <w:w w:val="99"/>
              </w:rPr>
              <w:t>Table of Contents</w:t>
            </w:r>
          </w:p>
        </w:tc>
        <w:tc>
          <w:tcPr>
            <w:tcW w:w="20" w:type="dxa"/>
            <w:vAlign w:val="bottom"/>
          </w:tcPr>
          <w:p>
            <w:pPr>
              <w:spacing w:after="0"/>
              <w:rPr>
                <w:sz w:val="13"/>
                <w:szCs w:val="13"/>
                <w:color w:val="auto"/>
              </w:rPr>
            </w:pPr>
          </w:p>
        </w:tc>
        <w:tc>
          <w:tcPr>
            <w:tcW w:w="2680" w:type="dxa"/>
            <w:vAlign w:val="bottom"/>
          </w:tcPr>
          <w:p>
            <w:pPr>
              <w:spacing w:after="0"/>
              <w:rPr>
                <w:sz w:val="13"/>
                <w:szCs w:val="13"/>
                <w:color w:val="auto"/>
              </w:rPr>
            </w:pPr>
          </w:p>
        </w:tc>
        <w:tc>
          <w:tcPr>
            <w:tcW w:w="23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17"/>
        </w:trPr>
        <w:tc>
          <w:tcPr>
            <w:tcW w:w="400" w:type="dxa"/>
            <w:vAlign w:val="bottom"/>
            <w:tcBorders>
              <w:top w:val="single" w:sz="8" w:color="0000FF"/>
            </w:tcBorders>
            <w:gridSpan w:val="4"/>
          </w:tcPr>
          <w:p>
            <w:pPr>
              <w:ind w:left="20"/>
              <w:spacing w:after="0"/>
              <w:rPr>
                <w:rFonts w:ascii="Times New Roman" w:cs="Times New Roman" w:eastAsia="Times New Roman" w:hAnsi="Times New Roman"/>
                <w:sz w:val="14"/>
                <w:szCs w:val="14"/>
                <w:color w:val="0000FF"/>
              </w:rPr>
            </w:pPr>
            <w:hyperlink r:id="rId134">
              <w:r>
                <w:rPr>
                  <w:rFonts w:ascii="Times New Roman" w:cs="Times New Roman" w:eastAsia="Times New Roman" w:hAnsi="Times New Roman"/>
                  <w:sz w:val="14"/>
                  <w:szCs w:val="14"/>
                  <w:color w:val="0000FF"/>
                </w:rPr>
                <w:t>10.</w:t>
              </w:r>
            </w:hyperlink>
            <w:r>
              <w:rPr>
                <w:rFonts w:ascii="Times New Roman" w:cs="Times New Roman" w:eastAsia="Times New Roman" w:hAnsi="Times New Roman"/>
                <w:sz w:val="14"/>
                <w:szCs w:val="14"/>
                <w:u w:val="single" w:color="auto"/>
                <w:color w:val="0000FF"/>
              </w:rPr>
              <w:t>32</w:t>
            </w:r>
          </w:p>
        </w:tc>
        <w:tc>
          <w:tcPr>
            <w:tcW w:w="8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48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10060" w:type="dxa"/>
            <w:vAlign w:val="bottom"/>
            <w:gridSpan w:val="19"/>
          </w:tcPr>
          <w:p>
            <w:pPr>
              <w:spacing w:after="0"/>
              <w:rPr>
                <w:rFonts w:ascii="Times New Roman" w:cs="Times New Roman" w:eastAsia="Times New Roman" w:hAnsi="Times New Roman"/>
                <w:sz w:val="14"/>
                <w:szCs w:val="14"/>
                <w:color w:val="0000FF"/>
              </w:rPr>
            </w:pPr>
            <w:hyperlink r:id="rId134">
              <w:r>
                <w:rPr>
                  <w:rFonts w:ascii="Times New Roman" w:cs="Times New Roman" w:eastAsia="Times New Roman" w:hAnsi="Times New Roman"/>
                  <w:sz w:val="14"/>
                  <w:szCs w:val="14"/>
                  <w:color w:val="0000FF"/>
                </w:rPr>
                <w:t>Lender Joinder Agreement, dated as of January 26, 2017, to the Credit Agreement dated as of December 3, 2012, by and among MUFG Union Bank N.A., as the New Lender,</w:t>
              </w:r>
            </w:hyperlink>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280" w:type="dxa"/>
            <w:vAlign w:val="bottom"/>
            <w:tcBorders>
              <w:top w:val="single" w:sz="8" w:color="0000FF"/>
            </w:tcBorders>
          </w:tcPr>
          <w:p>
            <w:pPr>
              <w:spacing w:after="0"/>
              <w:rPr>
                <w:sz w:val="10"/>
                <w:szCs w:val="10"/>
                <w:color w:val="auto"/>
              </w:rPr>
            </w:pPr>
          </w:p>
        </w:tc>
        <w:tc>
          <w:tcPr>
            <w:tcW w:w="40" w:type="dxa"/>
            <w:vAlign w:val="bottom"/>
            <w:tcBorders>
              <w:top w:val="single" w:sz="8" w:color="0000FF"/>
            </w:tcBorders>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860" w:type="dxa"/>
            <w:vAlign w:val="bottom"/>
            <w:tcBorders>
              <w:top w:val="single" w:sz="8" w:color="0000FF"/>
            </w:tcBorders>
            <w:gridSpan w:val="15"/>
          </w:tcPr>
          <w:p>
            <w:pPr>
              <w:spacing w:after="0" w:line="118" w:lineRule="exact"/>
              <w:rPr>
                <w:rFonts w:ascii="Times New Roman" w:cs="Times New Roman" w:eastAsia="Times New Roman" w:hAnsi="Times New Roman"/>
                <w:sz w:val="13"/>
                <w:szCs w:val="13"/>
                <w:color w:val="0000FF"/>
              </w:rPr>
            </w:pPr>
            <w:hyperlink r:id="rId134">
              <w:r>
                <w:rPr>
                  <w:rFonts w:ascii="Times New Roman" w:cs="Times New Roman" w:eastAsia="Times New Roman" w:hAnsi="Times New Roman"/>
                  <w:sz w:val="13"/>
                  <w:szCs w:val="13"/>
                  <w:color w:val="0000FF"/>
                </w:rPr>
                <w:t>Dycom Industries, Inc., as the Borrower, the subsidiaries of Dycom Industries, Inc. identified therein, and Bank of America, N.A., as Administrative Agent (incorporated by</w:t>
              </w:r>
            </w:hyperlink>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760" w:type="dxa"/>
            <w:vAlign w:val="bottom"/>
            <w:tcBorders>
              <w:top w:val="single" w:sz="8" w:color="0000FF"/>
            </w:tcBorders>
            <w:gridSpan w:val="11"/>
          </w:tcPr>
          <w:p>
            <w:pPr>
              <w:spacing w:after="0" w:line="129" w:lineRule="exact"/>
              <w:rPr>
                <w:rFonts w:ascii="Times New Roman" w:cs="Times New Roman" w:eastAsia="Times New Roman" w:hAnsi="Times New Roman"/>
                <w:sz w:val="14"/>
                <w:szCs w:val="14"/>
                <w:color w:val="0000FF"/>
              </w:rPr>
            </w:pPr>
            <w:hyperlink r:id="rId134">
              <w:r>
                <w:rPr>
                  <w:rFonts w:ascii="Times New Roman" w:cs="Times New Roman" w:eastAsia="Times New Roman" w:hAnsi="Times New Roman"/>
                  <w:sz w:val="14"/>
                  <w:szCs w:val="14"/>
                  <w:color w:val="0000FF"/>
                </w:rPr>
                <w:t>reference to Exhibit 10.1 to Dycom Industries, Inc.’s Quarterly Report on Form 10-Q filed with the SEC on March 3, 2017).</w:t>
              </w:r>
            </w:hyperlink>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30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700" w:type="dxa"/>
            <w:vAlign w:val="bottom"/>
            <w:gridSpan w:val="2"/>
            <w:shd w:val="clear" w:color="auto" w:fill="0000FF"/>
          </w:tcPr>
          <w:p>
            <w:pPr>
              <w:spacing w:after="0" w:line="20" w:lineRule="exact"/>
              <w:rPr>
                <w:sz w:val="1"/>
                <w:szCs w:val="1"/>
                <w:color w:val="auto"/>
              </w:rPr>
            </w:pPr>
          </w:p>
        </w:tc>
        <w:tc>
          <w:tcPr>
            <w:tcW w:w="234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520" w:type="dxa"/>
            <w:vAlign w:val="bottom"/>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400" w:type="dxa"/>
            <w:vAlign w:val="bottom"/>
            <w:gridSpan w:val="4"/>
          </w:tcPr>
          <w:p>
            <w:pPr>
              <w:ind w:left="20"/>
              <w:spacing w:after="0"/>
              <w:rPr>
                <w:rFonts w:ascii="Times New Roman" w:cs="Times New Roman" w:eastAsia="Times New Roman" w:hAnsi="Times New Roman"/>
                <w:sz w:val="14"/>
                <w:szCs w:val="14"/>
                <w:color w:val="0000FF"/>
              </w:rPr>
            </w:pPr>
            <w:hyperlink r:id="rId135">
              <w:r>
                <w:rPr>
                  <w:rFonts w:ascii="Times New Roman" w:cs="Times New Roman" w:eastAsia="Times New Roman" w:hAnsi="Times New Roman"/>
                  <w:sz w:val="14"/>
                  <w:szCs w:val="14"/>
                  <w:color w:val="0000FF"/>
                </w:rPr>
                <w:t>10.</w:t>
              </w:r>
            </w:hyperlink>
            <w:r>
              <w:rPr>
                <w:rFonts w:ascii="Times New Roman" w:cs="Times New Roman" w:eastAsia="Times New Roman" w:hAnsi="Times New Roman"/>
                <w:sz w:val="14"/>
                <w:szCs w:val="14"/>
                <w:u w:val="single" w:color="auto"/>
                <w:color w:val="0000FF"/>
              </w:rPr>
              <w:t>33</w:t>
            </w: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60" w:type="dxa"/>
            <w:vAlign w:val="bottom"/>
            <w:gridSpan w:val="19"/>
          </w:tcPr>
          <w:p>
            <w:pPr>
              <w:spacing w:after="0"/>
              <w:rPr>
                <w:rFonts w:ascii="Times New Roman" w:cs="Times New Roman" w:eastAsia="Times New Roman" w:hAnsi="Times New Roman"/>
                <w:sz w:val="14"/>
                <w:szCs w:val="14"/>
                <w:color w:val="0000FF"/>
              </w:rPr>
            </w:pPr>
            <w:hyperlink r:id="rId135">
              <w:r>
                <w:rPr>
                  <w:rFonts w:ascii="Times New Roman" w:cs="Times New Roman" w:eastAsia="Times New Roman" w:hAnsi="Times New Roman"/>
                  <w:sz w:val="14"/>
                  <w:szCs w:val="14"/>
                  <w:color w:val="0000FF"/>
                </w:rPr>
                <w:t>Amended and Restated Credit Agreement, dated as of October 19, 2018, among Dycom Industries, Inc. as the Borrower, the subsidiaries of Dycom Industries, Inc. identified</w:t>
              </w:r>
            </w:hyperlink>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280" w:type="dxa"/>
            <w:vAlign w:val="bottom"/>
            <w:tcBorders>
              <w:top w:val="single" w:sz="8" w:color="0000FF"/>
            </w:tcBorders>
          </w:tcPr>
          <w:p>
            <w:pPr>
              <w:spacing w:after="0"/>
              <w:rPr>
                <w:sz w:val="10"/>
                <w:szCs w:val="10"/>
                <w:color w:val="auto"/>
              </w:rPr>
            </w:pPr>
          </w:p>
        </w:tc>
        <w:tc>
          <w:tcPr>
            <w:tcW w:w="40" w:type="dxa"/>
            <w:vAlign w:val="bottom"/>
            <w:tcBorders>
              <w:top w:val="single" w:sz="8" w:color="0000FF"/>
            </w:tcBorders>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780" w:type="dxa"/>
            <w:vAlign w:val="bottom"/>
            <w:tcBorders>
              <w:top w:val="single" w:sz="8" w:color="0000FF"/>
            </w:tcBorders>
            <w:gridSpan w:val="12"/>
          </w:tcPr>
          <w:p>
            <w:pPr>
              <w:spacing w:after="0" w:line="118" w:lineRule="exact"/>
              <w:rPr>
                <w:rFonts w:ascii="Times New Roman" w:cs="Times New Roman" w:eastAsia="Times New Roman" w:hAnsi="Times New Roman"/>
                <w:sz w:val="13"/>
                <w:szCs w:val="13"/>
                <w:color w:val="0000FF"/>
              </w:rPr>
            </w:pPr>
            <w:hyperlink r:id="rId135">
              <w:r>
                <w:rPr>
                  <w:rFonts w:ascii="Times New Roman" w:cs="Times New Roman" w:eastAsia="Times New Roman" w:hAnsi="Times New Roman"/>
                  <w:sz w:val="13"/>
                  <w:szCs w:val="13"/>
                  <w:color w:val="0000FF"/>
                </w:rPr>
                <w:t>therein, certain lenders named therein, Bank of America, N.A., as Administrative Agent, Swingline Lender and L/C Issuer, and other parties named therein (incorporated by</w:t>
              </w:r>
            </w:hyperlink>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8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020" w:type="dxa"/>
            <w:vAlign w:val="bottom"/>
            <w:tcBorders>
              <w:top w:val="single" w:sz="8" w:color="0000FF"/>
              <w:bottom w:val="single" w:sz="8" w:color="0000FF"/>
            </w:tcBorders>
            <w:gridSpan w:val="6"/>
          </w:tcPr>
          <w:p>
            <w:pPr>
              <w:spacing w:after="0" w:line="129" w:lineRule="exact"/>
              <w:rPr>
                <w:rFonts w:ascii="Times New Roman" w:cs="Times New Roman" w:eastAsia="Times New Roman" w:hAnsi="Times New Roman"/>
                <w:sz w:val="14"/>
                <w:szCs w:val="14"/>
                <w:color w:val="0000FF"/>
              </w:rPr>
            </w:pPr>
            <w:hyperlink r:id="rId135">
              <w:r>
                <w:rPr>
                  <w:rFonts w:ascii="Times New Roman" w:cs="Times New Roman" w:eastAsia="Times New Roman" w:hAnsi="Times New Roman"/>
                  <w:sz w:val="14"/>
                  <w:szCs w:val="14"/>
                  <w:color w:val="0000FF"/>
                </w:rPr>
                <w:t>reference to Exhibit 10.1 to Dycom Industries, Inc.’s Current Report on Form 8-K filed with the SEC on October 22, 2018).</w:t>
              </w:r>
            </w:hyperlink>
          </w:p>
        </w:tc>
        <w:tc>
          <w:tcPr>
            <w:tcW w:w="2720" w:type="dxa"/>
            <w:vAlign w:val="bottom"/>
            <w:tcBorders>
              <w:top w:val="single" w:sz="8" w:color="0000FF"/>
            </w:tcBorders>
            <w:gridSpan w:val="4"/>
          </w:tcPr>
          <w:p>
            <w:pPr>
              <w:spacing w:after="0"/>
              <w:rPr>
                <w:sz w:val="11"/>
                <w:szCs w:val="11"/>
                <w:color w:val="auto"/>
              </w:rPr>
            </w:pPr>
          </w:p>
        </w:tc>
        <w:tc>
          <w:tcPr>
            <w:tcW w:w="40" w:type="dxa"/>
            <w:vAlign w:val="bottom"/>
            <w:gridSpan w:val="2"/>
          </w:tcPr>
          <w:p>
            <w:pPr>
              <w:spacing w:after="0"/>
              <w:rPr>
                <w:sz w:val="11"/>
                <w:szCs w:val="11"/>
                <w:color w:val="auto"/>
              </w:rPr>
            </w:pPr>
          </w:p>
        </w:tc>
        <w:tc>
          <w:tcPr>
            <w:tcW w:w="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0" w:type="dxa"/>
            <w:vAlign w:val="bottom"/>
            <w:gridSpan w:val="7"/>
          </w:tcPr>
          <w:p>
            <w:pPr>
              <w:spacing w:after="0"/>
              <w:rPr>
                <w:rFonts w:ascii="Times New Roman" w:cs="Times New Roman" w:eastAsia="Times New Roman" w:hAnsi="Times New Roman"/>
                <w:sz w:val="14"/>
                <w:szCs w:val="14"/>
                <w:color w:val="0000FF"/>
              </w:rPr>
            </w:pPr>
            <w:hyperlink r:id="rId136">
              <w:r>
                <w:rPr>
                  <w:rFonts w:ascii="Times New Roman" w:cs="Times New Roman" w:eastAsia="Times New Roman" w:hAnsi="Times New Roman"/>
                  <w:sz w:val="14"/>
                  <w:szCs w:val="14"/>
                  <w:color w:val="0000FF"/>
                </w:rPr>
                <w:t>10.</w:t>
              </w:r>
            </w:hyperlink>
            <w:r>
              <w:rPr>
                <w:rFonts w:ascii="Times New Roman" w:cs="Times New Roman" w:eastAsia="Times New Roman" w:hAnsi="Times New Roman"/>
                <w:sz w:val="14"/>
                <w:szCs w:val="14"/>
                <w:u w:val="single" w:color="auto"/>
                <w:color w:val="0000FF"/>
              </w:rPr>
              <w:t>33(a)</w:t>
            </w:r>
          </w:p>
        </w:tc>
        <w:tc>
          <w:tcPr>
            <w:tcW w:w="10060" w:type="dxa"/>
            <w:vAlign w:val="bottom"/>
            <w:gridSpan w:val="19"/>
          </w:tcPr>
          <w:p>
            <w:pPr>
              <w:spacing w:after="0"/>
              <w:rPr>
                <w:rFonts w:ascii="Times New Roman" w:cs="Times New Roman" w:eastAsia="Times New Roman" w:hAnsi="Times New Roman"/>
                <w:sz w:val="14"/>
                <w:szCs w:val="14"/>
                <w:color w:val="0000FF"/>
              </w:rPr>
            </w:pPr>
            <w:hyperlink r:id="rId136">
              <w:r>
                <w:rPr>
                  <w:rFonts w:ascii="Times New Roman" w:cs="Times New Roman" w:eastAsia="Times New Roman" w:hAnsi="Times New Roman"/>
                  <w:sz w:val="14"/>
                  <w:szCs w:val="14"/>
                  <w:color w:val="0000FF"/>
                </w:rPr>
                <w:t>First Amendment to Amended and Restated Credit Agreement and First Amendment to Amended and Restated Pledge Agreement, dated as of April 1, 2021, among Dycom</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Borders>
              <w:left w:val="single" w:sz="8" w:color="0000FF"/>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680" w:type="dxa"/>
            <w:vAlign w:val="bottom"/>
            <w:shd w:val="clear" w:color="auto" w:fill="0000FF"/>
          </w:tcPr>
          <w:p>
            <w:pPr>
              <w:spacing w:after="0" w:line="20" w:lineRule="exact"/>
              <w:rPr>
                <w:sz w:val="1"/>
                <w:szCs w:val="1"/>
                <w:color w:val="auto"/>
              </w:rPr>
            </w:pPr>
          </w:p>
        </w:tc>
        <w:tc>
          <w:tcPr>
            <w:tcW w:w="234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520" w:type="dxa"/>
            <w:vAlign w:val="bottom"/>
            <w:shd w:val="clear" w:color="auto" w:fill="0000FF"/>
          </w:tcPr>
          <w:p>
            <w:pPr>
              <w:spacing w:after="0" w:line="20" w:lineRule="exact"/>
              <w:rPr>
                <w:sz w:val="1"/>
                <w:szCs w:val="1"/>
                <w:color w:val="auto"/>
              </w:rPr>
            </w:pPr>
          </w:p>
        </w:tc>
        <w:tc>
          <w:tcPr>
            <w:tcW w:w="1620" w:type="dxa"/>
            <w:vAlign w:val="bottom"/>
            <w:gridSpan w:val="2"/>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108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gridSpan w:val="3"/>
            <w:shd w:val="clear" w:color="auto" w:fill="0000FF"/>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8"/>
        </w:trPr>
        <w:tc>
          <w:tcPr>
            <w:tcW w:w="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vMerge w:val="continue"/>
          </w:tcPr>
          <w:p>
            <w:pPr>
              <w:spacing w:after="0"/>
              <w:rPr>
                <w:sz w:val="10"/>
                <w:szCs w:val="10"/>
                <w:color w:val="auto"/>
              </w:rPr>
            </w:pPr>
          </w:p>
        </w:tc>
        <w:tc>
          <w:tcPr>
            <w:tcW w:w="10040" w:type="dxa"/>
            <w:vAlign w:val="bottom"/>
            <w:gridSpan w:val="18"/>
          </w:tcPr>
          <w:p>
            <w:pPr>
              <w:spacing w:after="0" w:line="118" w:lineRule="exact"/>
              <w:rPr>
                <w:rFonts w:ascii="Times New Roman" w:cs="Times New Roman" w:eastAsia="Times New Roman" w:hAnsi="Times New Roman"/>
                <w:sz w:val="13"/>
                <w:szCs w:val="13"/>
                <w:color w:val="0000FF"/>
              </w:rPr>
            </w:pPr>
            <w:hyperlink r:id="rId136">
              <w:r>
                <w:rPr>
                  <w:rFonts w:ascii="Times New Roman" w:cs="Times New Roman" w:eastAsia="Times New Roman" w:hAnsi="Times New Roman"/>
                  <w:sz w:val="13"/>
                  <w:szCs w:val="13"/>
                  <w:color w:val="0000FF"/>
                </w:rPr>
                <w:t>Industries, Inc., as the Borrower, the subsidiaries of Dycom identified therein, certain lenders named therein, Bank of America, N.A., as Administrative Agent, Swingline Lender</w:t>
              </w:r>
            </w:hyperlink>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40" w:type="dxa"/>
            <w:vAlign w:val="bottom"/>
            <w:tcBorders>
              <w:top w:val="single" w:sz="8" w:color="0000FF"/>
            </w:tcBorders>
            <w:gridSpan w:val="18"/>
          </w:tcPr>
          <w:p>
            <w:pPr>
              <w:spacing w:after="0" w:line="129" w:lineRule="exact"/>
              <w:rPr>
                <w:rFonts w:ascii="Times New Roman" w:cs="Times New Roman" w:eastAsia="Times New Roman" w:hAnsi="Times New Roman"/>
                <w:sz w:val="14"/>
                <w:szCs w:val="14"/>
                <w:color w:val="0000FF"/>
              </w:rPr>
            </w:pPr>
            <w:hyperlink r:id="rId136">
              <w:r>
                <w:rPr>
                  <w:rFonts w:ascii="Times New Roman" w:cs="Times New Roman" w:eastAsia="Times New Roman" w:hAnsi="Times New Roman"/>
                  <w:sz w:val="14"/>
                  <w:szCs w:val="14"/>
                  <w:color w:val="0000FF"/>
                </w:rPr>
                <w:t>and L/C Issuer, and other parties named therein (incorporated by reference to Dycom Industries, Inc.'s Current Report on Form 8-K filed with the SEC on April 2, 2021).</w:t>
              </w:r>
            </w:hyperlink>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700" w:type="dxa"/>
            <w:vAlign w:val="bottom"/>
            <w:gridSpan w:val="2"/>
            <w:shd w:val="clear" w:color="auto" w:fill="0000FF"/>
          </w:tcPr>
          <w:p>
            <w:pPr>
              <w:spacing w:after="0" w:line="20" w:lineRule="exact"/>
              <w:rPr>
                <w:sz w:val="1"/>
                <w:szCs w:val="1"/>
                <w:color w:val="auto"/>
              </w:rPr>
            </w:pPr>
          </w:p>
        </w:tc>
        <w:tc>
          <w:tcPr>
            <w:tcW w:w="234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520" w:type="dxa"/>
            <w:vAlign w:val="bottom"/>
            <w:shd w:val="clear" w:color="auto" w:fill="0000FF"/>
          </w:tcPr>
          <w:p>
            <w:pPr>
              <w:spacing w:after="0" w:line="20" w:lineRule="exact"/>
              <w:rPr>
                <w:sz w:val="1"/>
                <w:szCs w:val="1"/>
                <w:color w:val="auto"/>
              </w:rPr>
            </w:pPr>
          </w:p>
        </w:tc>
        <w:tc>
          <w:tcPr>
            <w:tcW w:w="1620" w:type="dxa"/>
            <w:vAlign w:val="bottom"/>
            <w:gridSpan w:val="2"/>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108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20" w:type="dxa"/>
            <w:vAlign w:val="bottom"/>
          </w:tcPr>
          <w:p>
            <w:pPr>
              <w:spacing w:after="0"/>
              <w:rPr>
                <w:sz w:val="13"/>
                <w:szCs w:val="13"/>
                <w:color w:val="auto"/>
              </w:rPr>
            </w:pPr>
          </w:p>
        </w:tc>
        <w:tc>
          <w:tcPr>
            <w:tcW w:w="1000" w:type="dxa"/>
            <w:vAlign w:val="bottom"/>
            <w:gridSpan w:val="7"/>
          </w:tcPr>
          <w:p>
            <w:pPr>
              <w:spacing w:after="0"/>
              <w:rPr>
                <w:rFonts w:ascii="Times New Roman" w:cs="Times New Roman" w:eastAsia="Times New Roman" w:hAnsi="Times New Roman"/>
                <w:sz w:val="14"/>
                <w:szCs w:val="14"/>
                <w:color w:val="0000FF"/>
              </w:rPr>
            </w:pPr>
            <w:hyperlink r:id="rId116">
              <w:r>
                <w:rPr>
                  <w:rFonts w:ascii="Times New Roman" w:cs="Times New Roman" w:eastAsia="Times New Roman" w:hAnsi="Times New Roman"/>
                  <w:sz w:val="14"/>
                  <w:szCs w:val="14"/>
                  <w:color w:val="0000FF"/>
                </w:rPr>
                <w:t>10.</w:t>
              </w:r>
            </w:hyperlink>
            <w:r>
              <w:rPr>
                <w:rFonts w:ascii="Times New Roman" w:cs="Times New Roman" w:eastAsia="Times New Roman" w:hAnsi="Times New Roman"/>
                <w:sz w:val="14"/>
                <w:szCs w:val="14"/>
                <w:u w:val="single" w:color="auto"/>
                <w:color w:val="0000FF"/>
              </w:rPr>
              <w:t>33(b)</w:t>
            </w:r>
          </w:p>
        </w:tc>
        <w:tc>
          <w:tcPr>
            <w:tcW w:w="10060" w:type="dxa"/>
            <w:vAlign w:val="bottom"/>
            <w:gridSpan w:val="19"/>
          </w:tcPr>
          <w:p>
            <w:pPr>
              <w:spacing w:after="0"/>
              <w:rPr>
                <w:rFonts w:ascii="Times New Roman" w:cs="Times New Roman" w:eastAsia="Times New Roman" w:hAnsi="Times New Roman"/>
                <w:sz w:val="14"/>
                <w:szCs w:val="14"/>
                <w:color w:val="0000FF"/>
              </w:rPr>
            </w:pPr>
            <w:hyperlink r:id="rId116">
              <w:r>
                <w:rPr>
                  <w:rFonts w:ascii="Times New Roman" w:cs="Times New Roman" w:eastAsia="Times New Roman" w:hAnsi="Times New Roman"/>
                  <w:sz w:val="14"/>
                  <w:szCs w:val="14"/>
                  <w:color w:val="0000FF"/>
                </w:rPr>
                <w:t>Second Amendment to Amended and Restated Credit Agreement, dated as of May 9, 2023, among Dycom Industries, Inc., as the Borrower, the subsidiaries of Dycom identified</w:t>
              </w:r>
            </w:hyperlink>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280" w:type="dxa"/>
            <w:vAlign w:val="bottom"/>
            <w:tcBorders>
              <w:top w:val="single" w:sz="8" w:color="0000FF"/>
            </w:tcBorders>
          </w:tcPr>
          <w:p>
            <w:pPr>
              <w:spacing w:after="0"/>
              <w:rPr>
                <w:sz w:val="10"/>
                <w:szCs w:val="10"/>
                <w:color w:val="auto"/>
              </w:rPr>
            </w:pPr>
          </w:p>
        </w:tc>
        <w:tc>
          <w:tcPr>
            <w:tcW w:w="40" w:type="dxa"/>
            <w:vAlign w:val="bottom"/>
            <w:tcBorders>
              <w:top w:val="single" w:sz="8" w:color="0000FF"/>
            </w:tcBorders>
          </w:tcPr>
          <w:p>
            <w:pPr>
              <w:spacing w:after="0"/>
              <w:rPr>
                <w:sz w:val="10"/>
                <w:szCs w:val="10"/>
                <w:color w:val="auto"/>
              </w:rPr>
            </w:pPr>
          </w:p>
        </w:tc>
        <w:tc>
          <w:tcPr>
            <w:tcW w:w="60" w:type="dxa"/>
            <w:vAlign w:val="bottom"/>
            <w:tcBorders>
              <w:top w:val="single" w:sz="8" w:color="0000FF"/>
            </w:tcBorders>
          </w:tcPr>
          <w:p>
            <w:pPr>
              <w:spacing w:after="0"/>
              <w:rPr>
                <w:sz w:val="10"/>
                <w:szCs w:val="10"/>
                <w:color w:val="auto"/>
              </w:rPr>
            </w:pPr>
          </w:p>
        </w:tc>
        <w:tc>
          <w:tcPr>
            <w:tcW w:w="80" w:type="dxa"/>
            <w:vAlign w:val="bottom"/>
            <w:tcBorders>
              <w:top w:val="single" w:sz="8" w:color="0000FF"/>
            </w:tcBorders>
          </w:tcPr>
          <w:p>
            <w:pPr>
              <w:spacing w:after="0"/>
              <w:rPr>
                <w:sz w:val="10"/>
                <w:szCs w:val="10"/>
                <w:color w:val="auto"/>
              </w:rPr>
            </w:pPr>
          </w:p>
        </w:tc>
        <w:tc>
          <w:tcPr>
            <w:tcW w:w="40" w:type="dxa"/>
            <w:vAlign w:val="bottom"/>
            <w:tcBorders>
              <w:top w:val="single" w:sz="8" w:color="0000FF"/>
            </w:tcBorders>
          </w:tcPr>
          <w:p>
            <w:pPr>
              <w:spacing w:after="0"/>
              <w:rPr>
                <w:sz w:val="10"/>
                <w:szCs w:val="10"/>
                <w:color w:val="auto"/>
              </w:rPr>
            </w:pPr>
          </w:p>
        </w:tc>
        <w:tc>
          <w:tcPr>
            <w:tcW w:w="4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00" w:type="dxa"/>
            <w:vAlign w:val="bottom"/>
            <w:tcBorders>
              <w:top w:val="single" w:sz="8" w:color="0000FF"/>
            </w:tcBorders>
            <w:gridSpan w:val="16"/>
          </w:tcPr>
          <w:p>
            <w:pPr>
              <w:spacing w:after="0" w:line="118" w:lineRule="exact"/>
              <w:rPr>
                <w:rFonts w:ascii="Times New Roman" w:cs="Times New Roman" w:eastAsia="Times New Roman" w:hAnsi="Times New Roman"/>
                <w:sz w:val="13"/>
                <w:szCs w:val="13"/>
                <w:color w:val="0000FF"/>
              </w:rPr>
            </w:pPr>
            <w:hyperlink r:id="rId116">
              <w:r>
                <w:rPr>
                  <w:rFonts w:ascii="Times New Roman" w:cs="Times New Roman" w:eastAsia="Times New Roman" w:hAnsi="Times New Roman"/>
                  <w:sz w:val="13"/>
                  <w:szCs w:val="13"/>
                  <w:color w:val="0000FF"/>
                </w:rPr>
                <w:t>therein, certain lenders named therein, Bank of America, N.A., as Administrative Agent, Swingline Lender and L/C Issuer, and other parties named therein (incorporated by</w:t>
              </w:r>
            </w:hyperlink>
          </w:p>
        </w:tc>
        <w:tc>
          <w:tcPr>
            <w:tcW w:w="4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740" w:type="dxa"/>
            <w:vAlign w:val="bottom"/>
            <w:tcBorders>
              <w:top w:val="single" w:sz="8" w:color="0000FF"/>
              <w:bottom w:val="single" w:sz="8" w:color="0000FF"/>
            </w:tcBorders>
            <w:gridSpan w:val="5"/>
          </w:tcPr>
          <w:p>
            <w:pPr>
              <w:spacing w:after="0" w:line="129" w:lineRule="exact"/>
              <w:rPr>
                <w:rFonts w:ascii="Times New Roman" w:cs="Times New Roman" w:eastAsia="Times New Roman" w:hAnsi="Times New Roman"/>
                <w:sz w:val="14"/>
                <w:szCs w:val="14"/>
                <w:color w:val="0000FF"/>
              </w:rPr>
            </w:pPr>
            <w:hyperlink r:id="rId116">
              <w:r>
                <w:rPr>
                  <w:rFonts w:ascii="Times New Roman" w:cs="Times New Roman" w:eastAsia="Times New Roman" w:hAnsi="Times New Roman"/>
                  <w:sz w:val="14"/>
                  <w:szCs w:val="14"/>
                  <w:color w:val="0000FF"/>
                </w:rPr>
                <w:t>reference to Exhibit 10.1 to Dycom Industries, Inc.’s Current Report on Form 8-K filed with the SEC on May 9, 2023).</w:t>
              </w:r>
            </w:hyperlink>
          </w:p>
        </w:tc>
        <w:tc>
          <w:tcPr>
            <w:tcW w:w="3000" w:type="dxa"/>
            <w:vAlign w:val="bottom"/>
            <w:tcBorders>
              <w:top w:val="single" w:sz="8" w:color="0000FF"/>
            </w:tcBorders>
            <w:gridSpan w:val="5"/>
          </w:tcPr>
          <w:p>
            <w:pPr>
              <w:spacing w:after="0"/>
              <w:rPr>
                <w:sz w:val="11"/>
                <w:szCs w:val="11"/>
                <w:color w:val="auto"/>
              </w:rPr>
            </w:pPr>
          </w:p>
        </w:tc>
        <w:tc>
          <w:tcPr>
            <w:tcW w:w="80" w:type="dxa"/>
            <w:vAlign w:val="bottom"/>
            <w:gridSpan w:val="4"/>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gridSpan w:val="4"/>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400" w:type="dxa"/>
            <w:vAlign w:val="bottom"/>
            <w:gridSpan w:val="4"/>
          </w:tcPr>
          <w:p>
            <w:pPr>
              <w:ind w:left="20"/>
              <w:spacing w:after="0"/>
              <w:rPr>
                <w:rFonts w:ascii="Times New Roman" w:cs="Times New Roman" w:eastAsia="Times New Roman" w:hAnsi="Times New Roman"/>
                <w:sz w:val="14"/>
                <w:szCs w:val="14"/>
                <w:color w:val="0000FF"/>
              </w:rPr>
            </w:pPr>
            <w:hyperlink r:id="rId137">
              <w:r>
                <w:rPr>
                  <w:rFonts w:ascii="Times New Roman" w:cs="Times New Roman" w:eastAsia="Times New Roman" w:hAnsi="Times New Roman"/>
                  <w:sz w:val="14"/>
                  <w:szCs w:val="14"/>
                  <w:color w:val="0000FF"/>
                </w:rPr>
                <w:t>10.</w:t>
              </w:r>
            </w:hyperlink>
            <w:r>
              <w:rPr>
                <w:rFonts w:ascii="Times New Roman" w:cs="Times New Roman" w:eastAsia="Times New Roman" w:hAnsi="Times New Roman"/>
                <w:sz w:val="14"/>
                <w:szCs w:val="14"/>
                <w:u w:val="single" w:color="auto"/>
                <w:color w:val="0000FF"/>
              </w:rPr>
              <w:t>34</w:t>
            </w: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60" w:type="dxa"/>
            <w:vAlign w:val="bottom"/>
            <w:gridSpan w:val="19"/>
          </w:tcPr>
          <w:p>
            <w:pPr>
              <w:spacing w:after="0"/>
              <w:rPr>
                <w:rFonts w:ascii="Times New Roman" w:cs="Times New Roman" w:eastAsia="Times New Roman" w:hAnsi="Times New Roman"/>
                <w:sz w:val="14"/>
                <w:szCs w:val="14"/>
                <w:color w:val="0000FF"/>
              </w:rPr>
            </w:pPr>
            <w:hyperlink r:id="rId137">
              <w:r>
                <w:rPr>
                  <w:rFonts w:ascii="Times New Roman" w:cs="Times New Roman" w:eastAsia="Times New Roman" w:hAnsi="Times New Roman"/>
                  <w:sz w:val="14"/>
                  <w:szCs w:val="14"/>
                  <w:color w:val="0000FF"/>
                </w:rPr>
                <w:t>Second Amended and Restated Credit Agreement, dated as of May 15, 2024, among Dycom Industries, Inc., as the Borrower, the guarantors party thereto, the lenders named</w:t>
              </w:r>
            </w:hyperlink>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280" w:type="dxa"/>
            <w:vAlign w:val="bottom"/>
            <w:tcBorders>
              <w:top w:val="single" w:sz="8" w:color="0000FF"/>
            </w:tcBorders>
          </w:tcPr>
          <w:p>
            <w:pPr>
              <w:spacing w:after="0"/>
              <w:rPr>
                <w:sz w:val="10"/>
                <w:szCs w:val="10"/>
                <w:color w:val="auto"/>
              </w:rPr>
            </w:pPr>
          </w:p>
        </w:tc>
        <w:tc>
          <w:tcPr>
            <w:tcW w:w="40" w:type="dxa"/>
            <w:vAlign w:val="bottom"/>
            <w:tcBorders>
              <w:top w:val="single" w:sz="8" w:color="0000FF"/>
            </w:tcBorders>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840" w:type="dxa"/>
            <w:vAlign w:val="bottom"/>
            <w:tcBorders>
              <w:top w:val="single" w:sz="8" w:color="0000FF"/>
            </w:tcBorders>
            <w:gridSpan w:val="15"/>
          </w:tcPr>
          <w:p>
            <w:pPr>
              <w:spacing w:after="0" w:line="118" w:lineRule="exact"/>
              <w:rPr>
                <w:rFonts w:ascii="Times New Roman" w:cs="Times New Roman" w:eastAsia="Times New Roman" w:hAnsi="Times New Roman"/>
                <w:sz w:val="13"/>
                <w:szCs w:val="13"/>
                <w:color w:val="0000FF"/>
              </w:rPr>
            </w:pPr>
            <w:hyperlink r:id="rId137">
              <w:r>
                <w:rPr>
                  <w:rFonts w:ascii="Times New Roman" w:cs="Times New Roman" w:eastAsia="Times New Roman" w:hAnsi="Times New Roman"/>
                  <w:sz w:val="13"/>
                  <w:szCs w:val="13"/>
                  <w:color w:val="0000FF"/>
                </w:rPr>
                <w:t>therein, Bank of America, N.A., as Administrative Agent, Swingline Lender and L/C Issuer, and the other parties named therein (incorporated by reference to Exhibit 10.1 to</w:t>
              </w:r>
            </w:hyperlink>
          </w:p>
        </w:tc>
        <w:tc>
          <w:tcPr>
            <w:tcW w:w="220" w:type="dxa"/>
            <w:vAlign w:val="bottom"/>
            <w:gridSpan w:val="4"/>
          </w:tcPr>
          <w:p>
            <w:pPr>
              <w:spacing w:after="0"/>
              <w:rPr>
                <w:sz w:val="10"/>
                <w:szCs w:val="10"/>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220" w:type="dxa"/>
            <w:vAlign w:val="bottom"/>
            <w:tcBorders>
              <w:top w:val="single" w:sz="8" w:color="0000FF"/>
              <w:bottom w:val="single" w:sz="8" w:color="0000FF"/>
            </w:tcBorders>
            <w:gridSpan w:val="4"/>
          </w:tcPr>
          <w:p>
            <w:pPr>
              <w:spacing w:after="0" w:line="129" w:lineRule="exact"/>
              <w:rPr>
                <w:rFonts w:ascii="Times New Roman" w:cs="Times New Roman" w:eastAsia="Times New Roman" w:hAnsi="Times New Roman"/>
                <w:sz w:val="14"/>
                <w:szCs w:val="14"/>
                <w:color w:val="0000FF"/>
              </w:rPr>
            </w:pPr>
            <w:hyperlink r:id="rId137">
              <w:r>
                <w:rPr>
                  <w:rFonts w:ascii="Times New Roman" w:cs="Times New Roman" w:eastAsia="Times New Roman" w:hAnsi="Times New Roman"/>
                  <w:sz w:val="14"/>
                  <w:szCs w:val="14"/>
                  <w:color w:val="0000FF"/>
                </w:rPr>
                <w:t>Dycom Industries, Inc.’s Current Report on Form 8-K filed with the SEC on May 15, 2024).</w:t>
              </w:r>
            </w:hyperlink>
          </w:p>
        </w:tc>
        <w:tc>
          <w:tcPr>
            <w:tcW w:w="4600" w:type="dxa"/>
            <w:vAlign w:val="bottom"/>
            <w:tcBorders>
              <w:top w:val="single" w:sz="8" w:color="0000FF"/>
            </w:tcBorders>
            <w:gridSpan w:val="10"/>
          </w:tcPr>
          <w:p>
            <w:pPr>
              <w:spacing w:after="0"/>
              <w:rPr>
                <w:sz w:val="11"/>
                <w:szCs w:val="11"/>
                <w:color w:val="auto"/>
              </w:rPr>
            </w:pPr>
          </w:p>
        </w:tc>
        <w:tc>
          <w:tcPr>
            <w:tcW w:w="240" w:type="dxa"/>
            <w:vAlign w:val="bottom"/>
            <w:gridSpan w:val="5"/>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3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0000FF"/>
                <w:w w:val="94"/>
              </w:rPr>
              <w:t>19 +</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60" w:type="dxa"/>
            <w:vAlign w:val="bottom"/>
            <w:gridSpan w:val="19"/>
          </w:tcPr>
          <w:p>
            <w:pPr>
              <w:spacing w:after="0"/>
              <w:rPr>
                <w:sz w:val="20"/>
                <w:szCs w:val="20"/>
                <w:color w:val="auto"/>
              </w:rPr>
            </w:pPr>
            <w:r>
              <w:rPr>
                <w:rFonts w:ascii="Times New Roman" w:cs="Times New Roman" w:eastAsia="Times New Roman" w:hAnsi="Times New Roman"/>
                <w:sz w:val="14"/>
                <w:szCs w:val="14"/>
                <w:color w:val="0000FF"/>
              </w:rPr>
              <w:t>Dycom Industries, Inc.’s Insider Trading Policy</w:t>
            </w:r>
          </w:p>
        </w:tc>
        <w:tc>
          <w:tcPr>
            <w:tcW w:w="0" w:type="dxa"/>
            <w:vAlign w:val="bottom"/>
          </w:tcPr>
          <w:p>
            <w:pPr>
              <w:spacing w:after="0"/>
              <w:rPr>
                <w:sz w:val="1"/>
                <w:szCs w:val="1"/>
                <w:color w:val="auto"/>
              </w:rPr>
            </w:pPr>
          </w:p>
        </w:tc>
      </w:tr>
      <w:tr>
        <w:trPr>
          <w:trHeight w:val="20"/>
        </w:trPr>
        <w:tc>
          <w:tcPr>
            <w:tcW w:w="30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80" w:type="dxa"/>
            <w:vAlign w:val="bottom"/>
            <w:shd w:val="clear" w:color="auto" w:fill="0000FF"/>
          </w:tcPr>
          <w:p>
            <w:pPr>
              <w:spacing w:after="0" w:line="20" w:lineRule="exact"/>
              <w:rPr>
                <w:sz w:val="1"/>
                <w:szCs w:val="1"/>
                <w:color w:val="auto"/>
              </w:rPr>
            </w:pPr>
          </w:p>
        </w:tc>
        <w:tc>
          <w:tcPr>
            <w:tcW w:w="2340" w:type="dxa"/>
            <w:vAlign w:val="bottom"/>
            <w:tcBorders>
              <w:left w:val="single" w:sz="8" w:color="0000FF"/>
            </w:tcBorders>
          </w:tcPr>
          <w:p>
            <w:pPr>
              <w:spacing w:after="0" w:line="20" w:lineRule="exact"/>
              <w:rPr>
                <w:sz w:val="1"/>
                <w:szCs w:val="1"/>
                <w:color w:val="auto"/>
              </w:rPr>
            </w:pPr>
          </w:p>
        </w:tc>
        <w:tc>
          <w:tcPr>
            <w:tcW w:w="332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80" w:type="dxa"/>
            <w:vAlign w:val="bottom"/>
            <w:gridSpan w:val="11"/>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20" w:type="dxa"/>
            <w:vAlign w:val="bottom"/>
          </w:tcPr>
          <w:p>
            <w:pPr>
              <w:spacing w:after="0"/>
              <w:rPr>
                <w:sz w:val="13"/>
                <w:szCs w:val="13"/>
                <w:color w:val="auto"/>
              </w:rPr>
            </w:pPr>
          </w:p>
        </w:tc>
        <w:tc>
          <w:tcPr>
            <w:tcW w:w="280" w:type="dxa"/>
            <w:vAlign w:val="bottom"/>
          </w:tcPr>
          <w:p>
            <w:pPr>
              <w:spacing w:after="0"/>
              <w:rPr>
                <w:sz w:val="20"/>
                <w:szCs w:val="20"/>
                <w:color w:val="auto"/>
              </w:rPr>
            </w:pPr>
            <w:r>
              <w:rPr>
                <w:rFonts w:ascii="Times New Roman" w:cs="Times New Roman" w:eastAsia="Times New Roman" w:hAnsi="Times New Roman"/>
                <w:sz w:val="14"/>
                <w:szCs w:val="14"/>
                <w:color w:val="0000FF"/>
                <w:w w:val="97"/>
              </w:rPr>
              <w:t>21.</w:t>
            </w:r>
            <w:r>
              <w:rPr>
                <w:rFonts w:ascii="Times New Roman" w:cs="Times New Roman" w:eastAsia="Times New Roman" w:hAnsi="Times New Roman"/>
                <w:sz w:val="14"/>
                <w:szCs w:val="14"/>
                <w:u w:val="single" w:color="auto"/>
                <w:color w:val="0000FF"/>
                <w:w w:val="97"/>
              </w:rPr>
              <w:t>1</w:t>
            </w:r>
          </w:p>
        </w:tc>
        <w:tc>
          <w:tcPr>
            <w:tcW w:w="1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0000FF"/>
                <w:w w:val="75"/>
              </w:rPr>
              <w:t>+</w:t>
            </w: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60" w:type="dxa"/>
            <w:vAlign w:val="bottom"/>
            <w:gridSpan w:val="19"/>
          </w:tcPr>
          <w:p>
            <w:pPr>
              <w:spacing w:after="0"/>
              <w:rPr>
                <w:sz w:val="20"/>
                <w:szCs w:val="20"/>
                <w:color w:val="auto"/>
              </w:rPr>
            </w:pPr>
            <w:r>
              <w:rPr>
                <w:rFonts w:ascii="Times New Roman" w:cs="Times New Roman" w:eastAsia="Times New Roman" w:hAnsi="Times New Roman"/>
                <w:sz w:val="14"/>
                <w:szCs w:val="14"/>
                <w:color w:val="0000FF"/>
              </w:rPr>
              <w:t>Principal subsidiaries of Dycom Industries, Inc.</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80" w:type="dxa"/>
            <w:vAlign w:val="bottom"/>
            <w:shd w:val="clear" w:color="auto" w:fill="0000FF"/>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332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80" w:type="dxa"/>
            <w:vAlign w:val="bottom"/>
            <w:gridSpan w:val="11"/>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20" w:type="dxa"/>
            <w:vAlign w:val="bottom"/>
          </w:tcPr>
          <w:p>
            <w:pPr>
              <w:spacing w:after="0"/>
              <w:rPr>
                <w:sz w:val="13"/>
                <w:szCs w:val="13"/>
                <w:color w:val="auto"/>
              </w:rPr>
            </w:pPr>
          </w:p>
        </w:tc>
        <w:tc>
          <w:tcPr>
            <w:tcW w:w="280" w:type="dxa"/>
            <w:vAlign w:val="bottom"/>
          </w:tcPr>
          <w:p>
            <w:pPr>
              <w:spacing w:after="0"/>
              <w:rPr>
                <w:sz w:val="20"/>
                <w:szCs w:val="20"/>
                <w:color w:val="auto"/>
              </w:rPr>
            </w:pPr>
            <w:r>
              <w:rPr>
                <w:rFonts w:ascii="Times New Roman" w:cs="Times New Roman" w:eastAsia="Times New Roman" w:hAnsi="Times New Roman"/>
                <w:sz w:val="14"/>
                <w:szCs w:val="14"/>
                <w:color w:val="0000FF"/>
                <w:w w:val="97"/>
              </w:rPr>
              <w:t>23.</w:t>
            </w:r>
            <w:r>
              <w:rPr>
                <w:rFonts w:ascii="Times New Roman" w:cs="Times New Roman" w:eastAsia="Times New Roman" w:hAnsi="Times New Roman"/>
                <w:sz w:val="14"/>
                <w:szCs w:val="14"/>
                <w:u w:val="single" w:color="auto"/>
                <w:color w:val="0000FF"/>
                <w:w w:val="97"/>
              </w:rPr>
              <w:t>1</w:t>
            </w:r>
          </w:p>
        </w:tc>
        <w:tc>
          <w:tcPr>
            <w:tcW w:w="1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0000FF"/>
                <w:w w:val="75"/>
              </w:rPr>
              <w:t>+</w:t>
            </w: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60" w:type="dxa"/>
            <w:vAlign w:val="bottom"/>
            <w:gridSpan w:val="19"/>
          </w:tcPr>
          <w:p>
            <w:pPr>
              <w:spacing w:after="0"/>
              <w:rPr>
                <w:sz w:val="20"/>
                <w:szCs w:val="20"/>
                <w:color w:val="auto"/>
              </w:rPr>
            </w:pPr>
            <w:r>
              <w:rPr>
                <w:rFonts w:ascii="Times New Roman" w:cs="Times New Roman" w:eastAsia="Times New Roman" w:hAnsi="Times New Roman"/>
                <w:sz w:val="14"/>
                <w:szCs w:val="14"/>
                <w:color w:val="0000FF"/>
              </w:rPr>
              <w:t>Consent of PricewaterhouseCoopers LLP, independent registered public accounting firm.</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20" w:type="dxa"/>
            <w:vAlign w:val="bottom"/>
            <w:gridSpan w:val="2"/>
            <w:shd w:val="clear" w:color="auto" w:fill="0000FF"/>
          </w:tcPr>
          <w:p>
            <w:pPr>
              <w:spacing w:after="0" w:line="20" w:lineRule="exact"/>
              <w:rPr>
                <w:sz w:val="1"/>
                <w:szCs w:val="1"/>
                <w:color w:val="auto"/>
              </w:rPr>
            </w:pPr>
          </w:p>
        </w:tc>
        <w:tc>
          <w:tcPr>
            <w:tcW w:w="332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80" w:type="dxa"/>
            <w:vAlign w:val="bottom"/>
            <w:gridSpan w:val="11"/>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20" w:type="dxa"/>
            <w:vAlign w:val="bottom"/>
          </w:tcPr>
          <w:p>
            <w:pPr>
              <w:spacing w:after="0"/>
              <w:rPr>
                <w:sz w:val="13"/>
                <w:szCs w:val="13"/>
                <w:color w:val="auto"/>
              </w:rPr>
            </w:pPr>
          </w:p>
        </w:tc>
        <w:tc>
          <w:tcPr>
            <w:tcW w:w="280" w:type="dxa"/>
            <w:vAlign w:val="bottom"/>
          </w:tcPr>
          <w:p>
            <w:pPr>
              <w:spacing w:after="0"/>
              <w:rPr>
                <w:sz w:val="20"/>
                <w:szCs w:val="20"/>
                <w:color w:val="auto"/>
              </w:rPr>
            </w:pPr>
            <w:r>
              <w:rPr>
                <w:rFonts w:ascii="Times New Roman" w:cs="Times New Roman" w:eastAsia="Times New Roman" w:hAnsi="Times New Roman"/>
                <w:sz w:val="14"/>
                <w:szCs w:val="14"/>
                <w:color w:val="0000FF"/>
                <w:w w:val="97"/>
              </w:rPr>
              <w:t>31.</w:t>
            </w:r>
            <w:r>
              <w:rPr>
                <w:rFonts w:ascii="Times New Roman" w:cs="Times New Roman" w:eastAsia="Times New Roman" w:hAnsi="Times New Roman"/>
                <w:sz w:val="14"/>
                <w:szCs w:val="14"/>
                <w:u w:val="single" w:color="auto"/>
                <w:color w:val="0000FF"/>
                <w:w w:val="97"/>
              </w:rPr>
              <w:t>1</w:t>
            </w:r>
          </w:p>
        </w:tc>
        <w:tc>
          <w:tcPr>
            <w:tcW w:w="1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0000FF"/>
                <w:w w:val="75"/>
              </w:rPr>
              <w:t>+</w:t>
            </w: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60" w:type="dxa"/>
            <w:vAlign w:val="bottom"/>
            <w:gridSpan w:val="19"/>
          </w:tcPr>
          <w:p>
            <w:pPr>
              <w:spacing w:after="0"/>
              <w:rPr>
                <w:sz w:val="20"/>
                <w:szCs w:val="20"/>
                <w:color w:val="auto"/>
              </w:rPr>
            </w:pPr>
            <w:r>
              <w:rPr>
                <w:rFonts w:ascii="Times New Roman" w:cs="Times New Roman" w:eastAsia="Times New Roman" w:hAnsi="Times New Roman"/>
                <w:sz w:val="14"/>
                <w:szCs w:val="14"/>
                <w:color w:val="0000FF"/>
              </w:rPr>
              <w:t>Certification of Chief Executive Officer Pursuant to Rule 13a-14(a)/15d-14(a) as Adopted Pursuant to Section 302 of the Sarbanes-Oxley Act of 2002.</w:t>
            </w:r>
          </w:p>
        </w:tc>
        <w:tc>
          <w:tcPr>
            <w:tcW w:w="0" w:type="dxa"/>
            <w:vAlign w:val="bottom"/>
          </w:tcPr>
          <w:p>
            <w:pPr>
              <w:spacing w:after="0"/>
              <w:rPr>
                <w:sz w:val="1"/>
                <w:szCs w:val="1"/>
                <w:color w:val="auto"/>
              </w:rPr>
            </w:pPr>
          </w:p>
        </w:tc>
      </w:tr>
      <w:tr>
        <w:trPr>
          <w:trHeight w:val="20"/>
        </w:trPr>
        <w:tc>
          <w:tcPr>
            <w:tcW w:w="300" w:type="dxa"/>
            <w:vAlign w:val="bottom"/>
            <w:tcBorders>
              <w:right w:val="single" w:sz="8" w:color="0000FF"/>
            </w:tcBorders>
            <w:gridSpan w:val="2"/>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340" w:type="dxa"/>
            <w:vAlign w:val="bottom"/>
            <w:gridSpan w:val="6"/>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1580" w:type="dxa"/>
            <w:vAlign w:val="bottom"/>
            <w:tcBorders>
              <w:left w:val="single" w:sz="8" w:color="0000FF"/>
            </w:tcBorders>
            <w:gridSpan w:val="11"/>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20" w:type="dxa"/>
            <w:vAlign w:val="bottom"/>
          </w:tcPr>
          <w:p>
            <w:pPr>
              <w:spacing w:after="0"/>
              <w:rPr>
                <w:sz w:val="13"/>
                <w:szCs w:val="13"/>
                <w:color w:val="auto"/>
              </w:rPr>
            </w:pPr>
          </w:p>
        </w:tc>
        <w:tc>
          <w:tcPr>
            <w:tcW w:w="280" w:type="dxa"/>
            <w:vAlign w:val="bottom"/>
          </w:tcPr>
          <w:p>
            <w:pPr>
              <w:spacing w:after="0"/>
              <w:rPr>
                <w:sz w:val="20"/>
                <w:szCs w:val="20"/>
                <w:color w:val="auto"/>
              </w:rPr>
            </w:pPr>
            <w:r>
              <w:rPr>
                <w:rFonts w:ascii="Times New Roman" w:cs="Times New Roman" w:eastAsia="Times New Roman" w:hAnsi="Times New Roman"/>
                <w:sz w:val="14"/>
                <w:szCs w:val="14"/>
                <w:color w:val="0000FF"/>
                <w:w w:val="97"/>
              </w:rPr>
              <w:t>31.</w:t>
            </w:r>
            <w:r>
              <w:rPr>
                <w:rFonts w:ascii="Times New Roman" w:cs="Times New Roman" w:eastAsia="Times New Roman" w:hAnsi="Times New Roman"/>
                <w:sz w:val="14"/>
                <w:szCs w:val="14"/>
                <w:u w:val="single" w:color="auto"/>
                <w:color w:val="0000FF"/>
                <w:w w:val="97"/>
              </w:rPr>
              <w:t>2</w:t>
            </w:r>
          </w:p>
        </w:tc>
        <w:tc>
          <w:tcPr>
            <w:tcW w:w="1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0000FF"/>
                <w:w w:val="75"/>
              </w:rPr>
              <w:t>+</w:t>
            </w: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60" w:type="dxa"/>
            <w:vAlign w:val="bottom"/>
            <w:gridSpan w:val="19"/>
          </w:tcPr>
          <w:p>
            <w:pPr>
              <w:spacing w:after="0"/>
              <w:rPr>
                <w:sz w:val="20"/>
                <w:szCs w:val="20"/>
                <w:color w:val="auto"/>
              </w:rPr>
            </w:pPr>
            <w:r>
              <w:rPr>
                <w:rFonts w:ascii="Times New Roman" w:cs="Times New Roman" w:eastAsia="Times New Roman" w:hAnsi="Times New Roman"/>
                <w:sz w:val="14"/>
                <w:szCs w:val="14"/>
                <w:color w:val="0000FF"/>
              </w:rPr>
              <w:t>Certification of Chief Financial Officer Pursuant to Rule 13a-14(a)/15d-14(a) as Adopted Pursuant to Section 302 of the Sarbanes-Oxley Act of 2002.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340" w:type="dxa"/>
            <w:vAlign w:val="bottom"/>
            <w:gridSpan w:val="6"/>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1580" w:type="dxa"/>
            <w:vAlign w:val="bottom"/>
            <w:gridSpan w:val="11"/>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20" w:type="dxa"/>
            <w:vAlign w:val="bottom"/>
          </w:tcPr>
          <w:p>
            <w:pPr>
              <w:spacing w:after="0"/>
              <w:rPr>
                <w:sz w:val="13"/>
                <w:szCs w:val="13"/>
                <w:color w:val="auto"/>
              </w:rPr>
            </w:pPr>
          </w:p>
        </w:tc>
        <w:tc>
          <w:tcPr>
            <w:tcW w:w="280" w:type="dxa"/>
            <w:vAlign w:val="bottom"/>
          </w:tcPr>
          <w:p>
            <w:pPr>
              <w:spacing w:after="0"/>
              <w:rPr>
                <w:sz w:val="20"/>
                <w:szCs w:val="20"/>
                <w:color w:val="auto"/>
              </w:rPr>
            </w:pPr>
            <w:r>
              <w:rPr>
                <w:rFonts w:ascii="Times New Roman" w:cs="Times New Roman" w:eastAsia="Times New Roman" w:hAnsi="Times New Roman"/>
                <w:sz w:val="14"/>
                <w:szCs w:val="14"/>
                <w:color w:val="0000FF"/>
                <w:w w:val="97"/>
              </w:rPr>
              <w:t>32.</w:t>
            </w:r>
            <w:r>
              <w:rPr>
                <w:rFonts w:ascii="Times New Roman" w:cs="Times New Roman" w:eastAsia="Times New Roman" w:hAnsi="Times New Roman"/>
                <w:sz w:val="14"/>
                <w:szCs w:val="14"/>
                <w:u w:val="single" w:color="auto"/>
                <w:color w:val="0000FF"/>
                <w:w w:val="97"/>
              </w:rPr>
              <w:t>1</w:t>
            </w:r>
          </w:p>
        </w:tc>
        <w:tc>
          <w:tcPr>
            <w:tcW w:w="18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0000FF"/>
                <w:w w:val="75"/>
              </w:rPr>
              <w:t>++</w:t>
            </w:r>
          </w:p>
        </w:tc>
        <w:tc>
          <w:tcPr>
            <w:tcW w:w="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60" w:type="dxa"/>
            <w:vAlign w:val="bottom"/>
            <w:gridSpan w:val="19"/>
          </w:tcPr>
          <w:p>
            <w:pPr>
              <w:spacing w:after="0"/>
              <w:rPr>
                <w:sz w:val="20"/>
                <w:szCs w:val="20"/>
                <w:color w:val="auto"/>
              </w:rPr>
            </w:pPr>
            <w:r>
              <w:rPr>
                <w:rFonts w:ascii="Times New Roman" w:cs="Times New Roman" w:eastAsia="Times New Roman" w:hAnsi="Times New Roman"/>
                <w:sz w:val="14"/>
                <w:szCs w:val="14"/>
                <w:color w:val="0000FF"/>
              </w:rPr>
              <w:t>Certification of Chief Executive Officer Pursuant to 18 U.S.C. Section 1350 as Adopted Pursuant to Section 906 of the Sarbanes-Oxley Act of 2002.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gridSpan w:val="3"/>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340" w:type="dxa"/>
            <w:vAlign w:val="bottom"/>
            <w:gridSpan w:val="6"/>
            <w:shd w:val="clear" w:color="auto" w:fill="0000FF"/>
          </w:tcPr>
          <w:p>
            <w:pPr>
              <w:spacing w:after="0" w:line="20" w:lineRule="exact"/>
              <w:rPr>
                <w:sz w:val="1"/>
                <w:szCs w:val="1"/>
                <w:color w:val="auto"/>
              </w:rPr>
            </w:pPr>
          </w:p>
        </w:tc>
        <w:tc>
          <w:tcPr>
            <w:tcW w:w="1700" w:type="dxa"/>
            <w:vAlign w:val="bottom"/>
            <w:tcBorders>
              <w:left w:val="single" w:sz="8" w:color="0000FF"/>
            </w:tcBorders>
            <w:gridSpan w:val="1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20" w:type="dxa"/>
            <w:vAlign w:val="bottom"/>
          </w:tcPr>
          <w:p>
            <w:pPr>
              <w:spacing w:after="0"/>
              <w:rPr>
                <w:sz w:val="13"/>
                <w:szCs w:val="13"/>
                <w:color w:val="auto"/>
              </w:rPr>
            </w:pPr>
          </w:p>
        </w:tc>
        <w:tc>
          <w:tcPr>
            <w:tcW w:w="280" w:type="dxa"/>
            <w:vAlign w:val="bottom"/>
          </w:tcPr>
          <w:p>
            <w:pPr>
              <w:spacing w:after="0"/>
              <w:rPr>
                <w:sz w:val="20"/>
                <w:szCs w:val="20"/>
                <w:color w:val="auto"/>
              </w:rPr>
            </w:pPr>
            <w:r>
              <w:rPr>
                <w:rFonts w:ascii="Times New Roman" w:cs="Times New Roman" w:eastAsia="Times New Roman" w:hAnsi="Times New Roman"/>
                <w:sz w:val="14"/>
                <w:szCs w:val="14"/>
                <w:color w:val="0000FF"/>
                <w:w w:val="97"/>
              </w:rPr>
              <w:t>32.</w:t>
            </w:r>
            <w:r>
              <w:rPr>
                <w:rFonts w:ascii="Times New Roman" w:cs="Times New Roman" w:eastAsia="Times New Roman" w:hAnsi="Times New Roman"/>
                <w:sz w:val="14"/>
                <w:szCs w:val="14"/>
                <w:u w:val="single" w:color="auto"/>
                <w:color w:val="0000FF"/>
                <w:w w:val="97"/>
              </w:rPr>
              <w:t>2</w:t>
            </w:r>
          </w:p>
        </w:tc>
        <w:tc>
          <w:tcPr>
            <w:tcW w:w="18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0000FF"/>
                <w:w w:val="75"/>
              </w:rPr>
              <w:t>++</w:t>
            </w:r>
          </w:p>
        </w:tc>
        <w:tc>
          <w:tcPr>
            <w:tcW w:w="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60" w:type="dxa"/>
            <w:vAlign w:val="bottom"/>
            <w:gridSpan w:val="19"/>
          </w:tcPr>
          <w:p>
            <w:pPr>
              <w:spacing w:after="0"/>
              <w:rPr>
                <w:sz w:val="20"/>
                <w:szCs w:val="20"/>
                <w:color w:val="auto"/>
              </w:rPr>
            </w:pPr>
            <w:r>
              <w:rPr>
                <w:rFonts w:ascii="Times New Roman" w:cs="Times New Roman" w:eastAsia="Times New Roman" w:hAnsi="Times New Roman"/>
                <w:sz w:val="14"/>
                <w:szCs w:val="14"/>
                <w:color w:val="0000FF"/>
              </w:rPr>
              <w:t>Certification of Chief Financial Officer Pursuant to 18 U.S.C. Section 1350 as Adopted Pursuant to Section 906 of the Sarbanes-Oxley Act of 2002.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80" w:type="dxa"/>
            <w:vAlign w:val="bottom"/>
            <w:shd w:val="clear" w:color="auto" w:fill="0000FF"/>
          </w:tcPr>
          <w:p>
            <w:pPr>
              <w:spacing w:after="0" w:line="20" w:lineRule="exact"/>
              <w:rPr>
                <w:sz w:val="1"/>
                <w:szCs w:val="1"/>
                <w:color w:val="auto"/>
              </w:rPr>
            </w:pPr>
          </w:p>
        </w:tc>
        <w:tc>
          <w:tcPr>
            <w:tcW w:w="234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520" w:type="dxa"/>
            <w:vAlign w:val="bottom"/>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134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 w:lineRule="exact"/>
        <w:rPr>
          <w:sz w:val="20"/>
          <w:szCs w:val="20"/>
          <w:color w:val="auto"/>
        </w:rPr>
      </w:pPr>
    </w:p>
    <w:p>
      <w:pPr>
        <w:ind w:left="1020" w:hanging="990"/>
        <w:spacing w:after="0" w:line="239" w:lineRule="auto"/>
        <w:tabs>
          <w:tab w:leader="none" w:pos="1020" w:val="left"/>
        </w:tabs>
        <w:numPr>
          <w:ilvl w:val="0"/>
          <w:numId w:val="20"/>
        </w:numPr>
        <w:rPr>
          <w:rFonts w:ascii="Times New Roman" w:cs="Times New Roman" w:eastAsia="Times New Roman" w:hAnsi="Times New Roman"/>
          <w:sz w:val="14"/>
          <w:szCs w:val="14"/>
          <w:u w:val="single" w:color="auto"/>
          <w:color w:val="0000FF"/>
        </w:rPr>
      </w:pPr>
      <w:hyperlink r:id="rId138">
        <w:r>
          <w:rPr>
            <w:rFonts w:ascii="Times New Roman" w:cs="Times New Roman" w:eastAsia="Times New Roman" w:hAnsi="Times New Roman"/>
            <w:sz w:val="14"/>
            <w:szCs w:val="14"/>
            <w:u w:val="single" w:color="auto"/>
            <w:color w:val="0000FF"/>
          </w:rPr>
          <w:t>Dycom Industries, Inc.’s Policy Relating to Recovery of Erroneously Awarded Compensation (incorporated by reference to Dycom Industries, Inc.’s Annual Report on Form 10-K</w:t>
        </w:r>
      </w:hyperlink>
      <w:r>
        <w:rPr>
          <w:rFonts w:ascii="Times New Roman" w:cs="Times New Roman" w:eastAsia="Times New Roman" w:hAnsi="Times New Roman"/>
          <w:sz w:val="14"/>
          <w:szCs w:val="14"/>
          <w:u w:val="single" w:color="auto"/>
          <w:color w:val="0000FF"/>
        </w:rPr>
        <w:t xml:space="preserve"> </w:t>
      </w:r>
      <w:hyperlink r:id="rId138">
        <w:r>
          <w:rPr>
            <w:rFonts w:ascii="Times New Roman" w:cs="Times New Roman" w:eastAsia="Times New Roman" w:hAnsi="Times New Roman"/>
            <w:sz w:val="14"/>
            <w:szCs w:val="14"/>
            <w:u w:val="single" w:color="auto"/>
            <w:color w:val="0000FF"/>
          </w:rPr>
          <w:t>filed with the SEC on March 1, 2024).</w:t>
        </w:r>
      </w:hyperlink>
    </w:p>
    <w:tbl>
      <w:tblPr>
        <w:tblLayout w:type="fixed"/>
        <w:tblInd w:w="20" w:type="dxa"/>
        <w:tblCellMar>
          <w:top w:w="0" w:type="dxa"/>
          <w:left w:w="0" w:type="dxa"/>
          <w:bottom w:w="0" w:type="dxa"/>
          <w:right w:w="0" w:type="dxa"/>
        </w:tblCellMar>
      </w:tblPr>
      <w:tr>
        <w:trPr>
          <w:trHeight w:val="150"/>
        </w:trPr>
        <w:tc>
          <w:tcPr>
            <w:tcW w:w="660" w:type="dxa"/>
            <w:vAlign w:val="bottom"/>
          </w:tcPr>
          <w:p>
            <w:pPr>
              <w:jc w:val="right"/>
              <w:ind w:right="249"/>
              <w:spacing w:after="0" w:line="151" w:lineRule="exact"/>
              <w:rPr>
                <w:sz w:val="20"/>
                <w:szCs w:val="20"/>
                <w:color w:val="auto"/>
              </w:rPr>
            </w:pPr>
            <w:r>
              <w:rPr>
                <w:rFonts w:ascii="Times New Roman" w:cs="Times New Roman" w:eastAsia="Times New Roman" w:hAnsi="Times New Roman"/>
                <w:sz w:val="14"/>
                <w:szCs w:val="14"/>
                <w:color w:val="auto"/>
                <w:w w:val="98"/>
              </w:rPr>
              <w:t>101 +</w:t>
            </w:r>
          </w:p>
        </w:tc>
        <w:tc>
          <w:tcPr>
            <w:tcW w:w="10420" w:type="dxa"/>
            <w:vAlign w:val="bottom"/>
          </w:tcPr>
          <w:p>
            <w:pPr>
              <w:ind w:left="340"/>
              <w:spacing w:after="0" w:line="151" w:lineRule="exact"/>
              <w:rPr>
                <w:sz w:val="20"/>
                <w:szCs w:val="20"/>
                <w:color w:val="auto"/>
              </w:rPr>
            </w:pPr>
            <w:r>
              <w:rPr>
                <w:rFonts w:ascii="Times New Roman" w:cs="Times New Roman" w:eastAsia="Times New Roman" w:hAnsi="Times New Roman"/>
                <w:sz w:val="14"/>
                <w:szCs w:val="14"/>
                <w:color w:val="auto"/>
              </w:rPr>
              <w:t>The following materials from the Registrant’s Annual Report on Form 10-K for the fiscal year ended January 25, 2025 formatted in Inline XBRL: (i) the Consolidated Balance</w:t>
            </w:r>
          </w:p>
        </w:tc>
      </w:tr>
      <w:tr>
        <w:trPr>
          <w:trHeight w:val="144"/>
        </w:trPr>
        <w:tc>
          <w:tcPr>
            <w:tcW w:w="660" w:type="dxa"/>
            <w:vAlign w:val="bottom"/>
          </w:tcPr>
          <w:p>
            <w:pPr>
              <w:spacing w:after="0"/>
              <w:rPr>
                <w:sz w:val="12"/>
                <w:szCs w:val="12"/>
                <w:color w:val="auto"/>
              </w:rPr>
            </w:pPr>
          </w:p>
        </w:tc>
        <w:tc>
          <w:tcPr>
            <w:tcW w:w="10420" w:type="dxa"/>
            <w:vAlign w:val="bottom"/>
          </w:tcPr>
          <w:p>
            <w:pPr>
              <w:ind w:left="340"/>
              <w:spacing w:after="0" w:line="145" w:lineRule="exact"/>
              <w:rPr>
                <w:sz w:val="20"/>
                <w:szCs w:val="20"/>
                <w:color w:val="auto"/>
              </w:rPr>
            </w:pPr>
            <w:r>
              <w:rPr>
                <w:rFonts w:ascii="Times New Roman" w:cs="Times New Roman" w:eastAsia="Times New Roman" w:hAnsi="Times New Roman"/>
                <w:sz w:val="14"/>
                <w:szCs w:val="14"/>
                <w:color w:val="auto"/>
              </w:rPr>
              <w:t>Sheets; (ii) the Consolidated Statements of Operations; (iii) the Consolidated Statements of Comprehensive Income; (iv) the Consolidated Statements of Stockholders’ Equity; (v)</w:t>
            </w:r>
          </w:p>
        </w:tc>
      </w:tr>
      <w:tr>
        <w:trPr>
          <w:trHeight w:val="180"/>
        </w:trPr>
        <w:tc>
          <w:tcPr>
            <w:tcW w:w="660" w:type="dxa"/>
            <w:vAlign w:val="bottom"/>
          </w:tcPr>
          <w:p>
            <w:pPr>
              <w:spacing w:after="0"/>
              <w:rPr>
                <w:sz w:val="15"/>
                <w:szCs w:val="15"/>
                <w:color w:val="auto"/>
              </w:rPr>
            </w:pPr>
          </w:p>
        </w:tc>
        <w:tc>
          <w:tcPr>
            <w:tcW w:w="1042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the Consolidated Statements of Cash Flows; and (vi) the Notes to the Consolidated Financial Statements.</w:t>
            </w:r>
          </w:p>
        </w:tc>
      </w:tr>
      <w:tr>
        <w:trPr>
          <w:trHeight w:val="184"/>
        </w:trPr>
        <w:tc>
          <w:tcPr>
            <w:tcW w:w="660" w:type="dxa"/>
            <w:vAlign w:val="bottom"/>
          </w:tcPr>
          <w:p>
            <w:pPr>
              <w:jc w:val="right"/>
              <w:ind w:right="249"/>
              <w:spacing w:after="0"/>
              <w:rPr>
                <w:sz w:val="20"/>
                <w:szCs w:val="20"/>
                <w:color w:val="auto"/>
              </w:rPr>
            </w:pPr>
            <w:r>
              <w:rPr>
                <w:rFonts w:ascii="Times New Roman" w:cs="Times New Roman" w:eastAsia="Times New Roman" w:hAnsi="Times New Roman"/>
                <w:sz w:val="14"/>
                <w:szCs w:val="14"/>
                <w:color w:val="auto"/>
                <w:w w:val="98"/>
              </w:rPr>
              <w:t>104 +</w:t>
            </w:r>
          </w:p>
        </w:tc>
        <w:tc>
          <w:tcPr>
            <w:tcW w:w="1042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Cover Page Interactive Data File (embedded within the Inline XBRL document)</w:t>
            </w:r>
          </w:p>
        </w:tc>
      </w:tr>
    </w:tbl>
    <w:p>
      <w:pPr>
        <w:spacing w:after="0" w:line="39" w:lineRule="exact"/>
        <w:rPr>
          <w:rFonts w:ascii="Times New Roman" w:cs="Times New Roman" w:eastAsia="Times New Roman" w:hAnsi="Times New Roman"/>
          <w:sz w:val="14"/>
          <w:szCs w:val="14"/>
          <w:u w:val="single" w:color="auto"/>
          <w:color w:val="0000FF"/>
        </w:rPr>
      </w:pPr>
    </w:p>
    <w:p>
      <w:pPr>
        <w:ind w:left="1020" w:hanging="990"/>
        <w:spacing w:after="0"/>
        <w:tabs>
          <w:tab w:leader="none" w:pos="102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Filed herewith</w:t>
      </w:r>
    </w:p>
    <w:p>
      <w:pPr>
        <w:spacing w:after="0" w:line="23" w:lineRule="exact"/>
        <w:rPr>
          <w:rFonts w:ascii="Times New Roman" w:cs="Times New Roman" w:eastAsia="Times New Roman" w:hAnsi="Times New Roman"/>
          <w:sz w:val="14"/>
          <w:szCs w:val="14"/>
          <w:u w:val="single" w:color="auto"/>
          <w:color w:val="0000FF"/>
        </w:rPr>
      </w:pPr>
    </w:p>
    <w:p>
      <w:pPr>
        <w:ind w:left="1020" w:hanging="990"/>
        <w:spacing w:after="0"/>
        <w:tabs>
          <w:tab w:leader="none" w:pos="102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Furnished herewith</w:t>
      </w:r>
    </w:p>
    <w:p>
      <w:pPr>
        <w:spacing w:after="0" w:line="19" w:lineRule="exact"/>
        <w:rPr>
          <w:rFonts w:ascii="Times New Roman" w:cs="Times New Roman" w:eastAsia="Times New Roman" w:hAnsi="Times New Roman"/>
          <w:sz w:val="14"/>
          <w:szCs w:val="14"/>
          <w:u w:val="single" w:color="auto"/>
          <w:color w:val="0000FF"/>
        </w:rPr>
      </w:pPr>
    </w:p>
    <w:p>
      <w:pPr>
        <w:ind w:left="1020" w:hanging="990"/>
        <w:spacing w:after="0"/>
        <w:tabs>
          <w:tab w:leader="none" w:pos="102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Indicates a management contract or compensatory plan or arrangement.</w:t>
      </w:r>
    </w:p>
    <w:p>
      <w:pPr>
        <w:spacing w:after="0" w:line="88" w:lineRule="exact"/>
        <w:rPr>
          <w:rFonts w:ascii="Times New Roman" w:cs="Times New Roman" w:eastAsia="Times New Roman" w:hAnsi="Times New Roman"/>
          <w:sz w:val="14"/>
          <w:szCs w:val="14"/>
          <w:u w:val="single" w:color="auto"/>
          <w:color w:val="0000FF"/>
        </w:rPr>
      </w:pPr>
    </w:p>
    <w:p>
      <w:pPr>
        <w:spacing w:after="0"/>
        <w:rPr>
          <w:sz w:val="20"/>
          <w:szCs w:val="20"/>
          <w:color w:val="auto"/>
        </w:rPr>
      </w:pPr>
      <w:r>
        <w:rPr>
          <w:rFonts w:ascii="Times New Roman" w:cs="Times New Roman" w:eastAsia="Times New Roman" w:hAnsi="Times New Roman"/>
          <w:sz w:val="14"/>
          <w:szCs w:val="14"/>
          <w:b w:val="1"/>
          <w:bCs w:val="1"/>
          <w:color w:val="auto"/>
        </w:rPr>
        <w:t xml:space="preserve">Item 16. </w:t>
      </w:r>
      <w:r>
        <w:rPr>
          <w:rFonts w:ascii="Times New Roman" w:cs="Times New Roman" w:eastAsia="Times New Roman" w:hAnsi="Times New Roman"/>
          <w:sz w:val="14"/>
          <w:szCs w:val="14"/>
          <w:b w:val="1"/>
          <w:bCs w:val="1"/>
          <w:i w:val="1"/>
          <w:iCs w:val="1"/>
          <w:color w:val="auto"/>
        </w:rPr>
        <w:t>Form 10-K Summary.</w:t>
      </w:r>
    </w:p>
    <w:p>
      <w:pPr>
        <w:spacing w:after="0" w:line="202" w:lineRule="exact"/>
        <w:rPr>
          <w:rFonts w:ascii="Times New Roman" w:cs="Times New Roman" w:eastAsia="Times New Roman" w:hAnsi="Times New Roman"/>
          <w:sz w:val="14"/>
          <w:szCs w:val="14"/>
          <w:u w:val="single" w:color="auto"/>
          <w:color w:val="0000FF"/>
        </w:rPr>
      </w:pPr>
    </w:p>
    <w:p>
      <w:pPr>
        <w:ind w:left="260"/>
        <w:spacing w:after="0"/>
        <w:rPr>
          <w:sz w:val="20"/>
          <w:szCs w:val="20"/>
          <w:color w:val="auto"/>
        </w:rPr>
      </w:pPr>
      <w:r>
        <w:rPr>
          <w:rFonts w:ascii="Times New Roman" w:cs="Times New Roman" w:eastAsia="Times New Roman" w:hAnsi="Times New Roman"/>
          <w:sz w:val="14"/>
          <w:szCs w:val="14"/>
          <w:color w:val="auto"/>
        </w:rPr>
        <w:t>None.</w:t>
      </w:r>
    </w:p>
    <w:p>
      <w:pPr>
        <w:spacing w:after="0" w:line="200" w:lineRule="exact"/>
        <w:rPr>
          <w:rFonts w:ascii="Times New Roman" w:cs="Times New Roman" w:eastAsia="Times New Roman" w:hAnsi="Times New Roman"/>
          <w:sz w:val="14"/>
          <w:szCs w:val="14"/>
          <w:u w:val="single" w:color="auto"/>
          <w:color w:val="0000FF"/>
        </w:rPr>
      </w:pPr>
    </w:p>
    <w:p>
      <w:pPr>
        <w:spacing w:after="0" w:line="200" w:lineRule="exact"/>
        <w:rPr>
          <w:rFonts w:ascii="Times New Roman" w:cs="Times New Roman" w:eastAsia="Times New Roman" w:hAnsi="Times New Roman"/>
          <w:sz w:val="14"/>
          <w:szCs w:val="14"/>
          <w:u w:val="single" w:color="auto"/>
          <w:color w:val="0000FF"/>
        </w:rPr>
      </w:pPr>
    </w:p>
    <w:p>
      <w:pPr>
        <w:spacing w:after="0" w:line="235" w:lineRule="exact"/>
        <w:rPr>
          <w:rFonts w:ascii="Times New Roman" w:cs="Times New Roman" w:eastAsia="Times New Roman" w:hAnsi="Times New Roman"/>
          <w:sz w:val="14"/>
          <w:szCs w:val="14"/>
          <w:u w:val="single" w:color="auto"/>
          <w:color w:val="0000FF"/>
        </w:rPr>
      </w:pPr>
    </w:p>
    <w:p>
      <w:pPr>
        <w:jc w:val="center"/>
        <w:ind w:right="-139"/>
        <w:spacing w:after="0"/>
        <w:rPr>
          <w:sz w:val="20"/>
          <w:szCs w:val="20"/>
          <w:color w:val="auto"/>
        </w:rPr>
      </w:pPr>
      <w:r>
        <w:rPr>
          <w:rFonts w:ascii="Times New Roman" w:cs="Times New Roman" w:eastAsia="Times New Roman" w:hAnsi="Times New Roman"/>
          <w:sz w:val="14"/>
          <w:szCs w:val="14"/>
          <w:color w:val="auto"/>
        </w:rPr>
        <w:t>81</w:t>
      </w:r>
    </w:p>
    <w:p>
      <w:pPr>
        <w:spacing w:after="0" w:line="20" w:lineRule="exact"/>
        <w:rPr>
          <w:rFonts w:ascii="Times New Roman" w:cs="Times New Roman" w:eastAsia="Times New Roman" w:hAnsi="Times New Roman"/>
          <w:sz w:val="14"/>
          <w:szCs w:val="14"/>
          <w:u w:val="single" w:color="auto"/>
          <w:color w:val="0000FF"/>
        </w:rPr>
      </w:pPr>
      <w:r>
        <w:rPr>
          <w:rFonts w:ascii="Times New Roman" w:cs="Times New Roman" w:eastAsia="Times New Roman" w:hAnsi="Times New Roman"/>
          <w:sz w:val="14"/>
          <w:szCs w:val="14"/>
          <w:u w:val="single" w:color="auto"/>
          <w:color w:val="0000FF"/>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3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160"/>
          </w:cols>
          <w:pgMar w:left="300" w:top="116" w:right="43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4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4"/>
          <w:szCs w:val="14"/>
          <w:b w:val="1"/>
          <w:bCs w:val="1"/>
          <w:color w:val="auto"/>
        </w:rPr>
        <w:t>SIGNATURES</w:t>
      </w:r>
    </w:p>
    <w:p>
      <w:pPr>
        <w:spacing w:after="0" w:line="20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Pursuant to the requirements of the Securities Exchange Act of 1934, the Registrant has duly caused this report to be signed on its behalf by the undersigned, thereunto duly authorized.</w:t>
      </w:r>
    </w:p>
    <w:p>
      <w:pPr>
        <w:spacing w:after="0" w:line="41"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14"/>
          <w:szCs w:val="14"/>
          <w:color w:val="auto"/>
        </w:rPr>
        <w:t>DYCOM INDUSTRIES, INC.</w:t>
      </w:r>
    </w:p>
    <w:p>
      <w:pPr>
        <w:spacing w:after="0" w:line="23"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14"/>
          <w:szCs w:val="14"/>
          <w:color w:val="auto"/>
        </w:rPr>
        <w:t>Registrant</w:t>
      </w:r>
    </w:p>
    <w:p>
      <w:pPr>
        <w:spacing w:after="0" w:line="196"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460" w:type="dxa"/>
            <w:vAlign w:val="bottom"/>
          </w:tcPr>
          <w:p>
            <w:pPr>
              <w:spacing w:after="0"/>
              <w:rPr>
                <w:sz w:val="20"/>
                <w:szCs w:val="20"/>
                <w:color w:val="auto"/>
              </w:rPr>
            </w:pPr>
            <w:r>
              <w:rPr>
                <w:rFonts w:ascii="Times New Roman" w:cs="Times New Roman" w:eastAsia="Times New Roman" w:hAnsi="Times New Roman"/>
                <w:sz w:val="14"/>
                <w:szCs w:val="14"/>
                <w:color w:val="auto"/>
              </w:rPr>
              <w:t>Date:</w:t>
            </w:r>
          </w:p>
        </w:tc>
        <w:tc>
          <w:tcPr>
            <w:tcW w:w="38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February 28, 2025</w:t>
            </w:r>
          </w:p>
        </w:tc>
        <w:tc>
          <w:tcPr>
            <w:tcW w:w="69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color w:val="auto"/>
              </w:rPr>
              <w:t>/s/ Daniel S. Peyovich</w:t>
            </w:r>
          </w:p>
        </w:tc>
      </w:tr>
      <w:tr>
        <w:trPr>
          <w:trHeight w:val="129"/>
        </w:trPr>
        <w:tc>
          <w:tcPr>
            <w:tcW w:w="460" w:type="dxa"/>
            <w:vAlign w:val="bottom"/>
          </w:tcPr>
          <w:p>
            <w:pPr>
              <w:spacing w:after="0"/>
              <w:rPr>
                <w:sz w:val="11"/>
                <w:szCs w:val="11"/>
                <w:color w:val="auto"/>
              </w:rPr>
            </w:pPr>
          </w:p>
        </w:tc>
        <w:tc>
          <w:tcPr>
            <w:tcW w:w="3800" w:type="dxa"/>
            <w:vAlign w:val="bottom"/>
          </w:tcPr>
          <w:p>
            <w:pPr>
              <w:spacing w:after="0"/>
              <w:rPr>
                <w:sz w:val="11"/>
                <w:szCs w:val="11"/>
                <w:color w:val="auto"/>
              </w:rPr>
            </w:pPr>
          </w:p>
        </w:tc>
        <w:tc>
          <w:tcPr>
            <w:tcW w:w="620" w:type="dxa"/>
            <w:vAlign w:val="bottom"/>
          </w:tcPr>
          <w:p>
            <w:pPr>
              <w:spacing w:after="0" w:line="129" w:lineRule="exact"/>
              <w:rPr>
                <w:sz w:val="20"/>
                <w:szCs w:val="20"/>
                <w:color w:val="auto"/>
              </w:rPr>
            </w:pPr>
            <w:r>
              <w:rPr>
                <w:rFonts w:ascii="Times New Roman" w:cs="Times New Roman" w:eastAsia="Times New Roman" w:hAnsi="Times New Roman"/>
                <w:sz w:val="14"/>
                <w:szCs w:val="14"/>
                <w:color w:val="auto"/>
              </w:rPr>
              <w:t>Name:</w:t>
            </w:r>
          </w:p>
        </w:tc>
        <w:tc>
          <w:tcPr>
            <w:tcW w:w="6280" w:type="dxa"/>
            <w:vAlign w:val="bottom"/>
          </w:tcPr>
          <w:p>
            <w:pPr>
              <w:ind w:left="240"/>
              <w:spacing w:after="0" w:line="129" w:lineRule="exact"/>
              <w:rPr>
                <w:sz w:val="20"/>
                <w:szCs w:val="20"/>
                <w:color w:val="auto"/>
              </w:rPr>
            </w:pPr>
            <w:r>
              <w:rPr>
                <w:rFonts w:ascii="Times New Roman" w:cs="Times New Roman" w:eastAsia="Times New Roman" w:hAnsi="Times New Roman"/>
                <w:sz w:val="14"/>
                <w:szCs w:val="14"/>
                <w:color w:val="auto"/>
              </w:rPr>
              <w:t>Daniel S. Peyovich</w:t>
            </w:r>
          </w:p>
        </w:tc>
      </w:tr>
      <w:tr>
        <w:trPr>
          <w:trHeight w:val="184"/>
        </w:trPr>
        <w:tc>
          <w:tcPr>
            <w:tcW w:w="460" w:type="dxa"/>
            <w:vAlign w:val="bottom"/>
          </w:tcPr>
          <w:p>
            <w:pPr>
              <w:spacing w:after="0"/>
              <w:rPr>
                <w:sz w:val="16"/>
                <w:szCs w:val="16"/>
                <w:color w:val="auto"/>
              </w:rPr>
            </w:pPr>
          </w:p>
        </w:tc>
        <w:tc>
          <w:tcPr>
            <w:tcW w:w="3800" w:type="dxa"/>
            <w:vAlign w:val="bottom"/>
          </w:tcPr>
          <w:p>
            <w:pPr>
              <w:spacing w:after="0"/>
              <w:rPr>
                <w:sz w:val="16"/>
                <w:szCs w:val="16"/>
                <w:color w:val="auto"/>
              </w:rPr>
            </w:pPr>
          </w:p>
        </w:tc>
        <w:tc>
          <w:tcPr>
            <w:tcW w:w="620" w:type="dxa"/>
            <w:vAlign w:val="bottom"/>
          </w:tcPr>
          <w:p>
            <w:pPr>
              <w:spacing w:after="0"/>
              <w:rPr>
                <w:sz w:val="20"/>
                <w:szCs w:val="20"/>
                <w:color w:val="auto"/>
              </w:rPr>
            </w:pPr>
            <w:r>
              <w:rPr>
                <w:rFonts w:ascii="Times New Roman" w:cs="Times New Roman" w:eastAsia="Times New Roman" w:hAnsi="Times New Roman"/>
                <w:sz w:val="14"/>
                <w:szCs w:val="14"/>
                <w:color w:val="auto"/>
              </w:rPr>
              <w:t>Title:</w:t>
            </w:r>
          </w:p>
        </w:tc>
        <w:tc>
          <w:tcPr>
            <w:tcW w:w="62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President and Chief Executive Officer</w:t>
            </w:r>
          </w:p>
        </w:tc>
      </w:tr>
    </w:tbl>
    <w:p>
      <w:pPr>
        <w:spacing w:after="0" w:line="268" w:lineRule="exact"/>
        <w:rPr>
          <w:sz w:val="20"/>
          <w:szCs w:val="20"/>
          <w:color w:val="auto"/>
        </w:rPr>
      </w:pPr>
    </w:p>
    <w:p>
      <w:pPr>
        <w:ind w:firstLine="255"/>
        <w:spacing w:after="0" w:line="275" w:lineRule="auto"/>
        <w:rPr>
          <w:sz w:val="20"/>
          <w:szCs w:val="20"/>
          <w:color w:val="auto"/>
        </w:rPr>
      </w:pPr>
      <w:r>
        <w:rPr>
          <w:rFonts w:ascii="Times New Roman" w:cs="Times New Roman" w:eastAsia="Times New Roman" w:hAnsi="Times New Roman"/>
          <w:sz w:val="14"/>
          <w:szCs w:val="14"/>
          <w:color w:val="auto"/>
        </w:rPr>
        <w:t>Pursuant to the requirements of the Securities Exchange Act of 1934, this report has been signed below by the following persons on behalf of the Registrant and in the capacities and on the dates indicated.</w:t>
      </w:r>
    </w:p>
    <w:tbl>
      <w:tblPr>
        <w:tblLayout w:type="fixed"/>
        <w:tblInd w:w="0" w:type="dxa"/>
        <w:tblCellMar>
          <w:top w:w="0" w:type="dxa"/>
          <w:left w:w="0" w:type="dxa"/>
          <w:bottom w:w="0" w:type="dxa"/>
          <w:right w:w="0" w:type="dxa"/>
        </w:tblCellMar>
      </w:tblPr>
      <w:tr>
        <w:trPr>
          <w:trHeight w:val="155"/>
        </w:trPr>
        <w:tc>
          <w:tcPr>
            <w:tcW w:w="3300" w:type="dxa"/>
            <w:vAlign w:val="bottom"/>
            <w:gridSpan w:val="3"/>
          </w:tcPr>
          <w:p>
            <w:pPr>
              <w:ind w:left="1480"/>
              <w:spacing w:after="0" w:line="155" w:lineRule="exact"/>
              <w:rPr>
                <w:sz w:val="20"/>
                <w:szCs w:val="20"/>
                <w:color w:val="auto"/>
              </w:rPr>
            </w:pPr>
            <w:r>
              <w:rPr>
                <w:rFonts w:ascii="Times New Roman" w:cs="Times New Roman" w:eastAsia="Times New Roman" w:hAnsi="Times New Roman"/>
                <w:sz w:val="14"/>
                <w:szCs w:val="14"/>
                <w:b w:val="1"/>
                <w:bCs w:val="1"/>
                <w:color w:val="auto"/>
              </w:rPr>
              <w:t>Name</w:t>
            </w:r>
          </w:p>
        </w:tc>
        <w:tc>
          <w:tcPr>
            <w:tcW w:w="1820" w:type="dxa"/>
            <w:vAlign w:val="bottom"/>
          </w:tcPr>
          <w:p>
            <w:pPr>
              <w:spacing w:after="0"/>
              <w:rPr>
                <w:sz w:val="13"/>
                <w:szCs w:val="13"/>
                <w:color w:val="auto"/>
              </w:rPr>
            </w:pPr>
          </w:p>
        </w:tc>
        <w:tc>
          <w:tcPr>
            <w:tcW w:w="2340" w:type="dxa"/>
            <w:vAlign w:val="bottom"/>
            <w:gridSpan w:val="2"/>
          </w:tcPr>
          <w:p>
            <w:pPr>
              <w:jc w:val="center"/>
              <w:ind w:right="1820"/>
              <w:spacing w:after="0" w:line="155" w:lineRule="exact"/>
              <w:rPr>
                <w:sz w:val="20"/>
                <w:szCs w:val="20"/>
                <w:color w:val="auto"/>
              </w:rPr>
            </w:pPr>
            <w:r>
              <w:rPr>
                <w:rFonts w:ascii="Times New Roman" w:cs="Times New Roman" w:eastAsia="Times New Roman" w:hAnsi="Times New Roman"/>
                <w:sz w:val="14"/>
                <w:szCs w:val="14"/>
                <w:b w:val="1"/>
                <w:bCs w:val="1"/>
                <w:color w:val="auto"/>
                <w:w w:val="99"/>
              </w:rPr>
              <w:t>Position</w:t>
            </w:r>
          </w:p>
        </w:tc>
        <w:tc>
          <w:tcPr>
            <w:tcW w:w="1040" w:type="dxa"/>
            <w:vAlign w:val="bottom"/>
          </w:tcPr>
          <w:p>
            <w:pPr>
              <w:spacing w:after="0"/>
              <w:rPr>
                <w:sz w:val="13"/>
                <w:szCs w:val="13"/>
                <w:color w:val="auto"/>
              </w:rPr>
            </w:pPr>
          </w:p>
        </w:tc>
        <w:tc>
          <w:tcPr>
            <w:tcW w:w="660" w:type="dxa"/>
            <w:vAlign w:val="bottom"/>
            <w:gridSpan w:val="2"/>
          </w:tcPr>
          <w:p>
            <w:pPr>
              <w:jc w:val="center"/>
              <w:ind w:right="380"/>
              <w:spacing w:after="0" w:line="155" w:lineRule="exact"/>
              <w:rPr>
                <w:sz w:val="20"/>
                <w:szCs w:val="20"/>
                <w:color w:val="auto"/>
              </w:rPr>
            </w:pPr>
            <w:r>
              <w:rPr>
                <w:rFonts w:ascii="Times New Roman" w:cs="Times New Roman" w:eastAsia="Times New Roman" w:hAnsi="Times New Roman"/>
                <w:sz w:val="14"/>
                <w:szCs w:val="14"/>
                <w:b w:val="1"/>
                <w:bCs w:val="1"/>
                <w:color w:val="auto"/>
                <w:w w:val="99"/>
              </w:rPr>
              <w:t>Date</w:t>
            </w:r>
          </w:p>
        </w:tc>
      </w:tr>
      <w:tr>
        <w:trPr>
          <w:trHeight w:val="20"/>
        </w:trPr>
        <w:tc>
          <w:tcPr>
            <w:tcW w:w="14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351"/>
        </w:trPr>
        <w:tc>
          <w:tcPr>
            <w:tcW w:w="14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/s/ Daniel S. Peyovich</w:t>
            </w:r>
          </w:p>
        </w:tc>
        <w:tc>
          <w:tcPr>
            <w:tcW w:w="34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4160" w:type="dxa"/>
            <w:vAlign w:val="bottom"/>
            <w:gridSpan w:val="3"/>
          </w:tcPr>
          <w:p>
            <w:pPr>
              <w:jc w:val="center"/>
              <w:ind w:right="20"/>
              <w:spacing w:after="0"/>
              <w:rPr>
                <w:sz w:val="20"/>
                <w:szCs w:val="20"/>
                <w:color w:val="auto"/>
              </w:rPr>
            </w:pPr>
            <w:r>
              <w:rPr>
                <w:rFonts w:ascii="Times New Roman" w:cs="Times New Roman" w:eastAsia="Times New Roman" w:hAnsi="Times New Roman"/>
                <w:sz w:val="14"/>
                <w:szCs w:val="14"/>
                <w:color w:val="auto"/>
              </w:rPr>
              <w:t>President, Chief Executive Officer and Director</w:t>
            </w:r>
          </w:p>
        </w:tc>
        <w:tc>
          <w:tcPr>
            <w:tcW w:w="1700" w:type="dxa"/>
            <w:vAlign w:val="bottom"/>
            <w:gridSpan w:val="3"/>
          </w:tcPr>
          <w:p>
            <w:pPr>
              <w:jc w:val="center"/>
              <w:ind w:left="589"/>
              <w:spacing w:after="0"/>
              <w:rPr>
                <w:sz w:val="20"/>
                <w:szCs w:val="20"/>
                <w:color w:val="auto"/>
              </w:rPr>
            </w:pPr>
            <w:r>
              <w:rPr>
                <w:rFonts w:ascii="Times New Roman" w:cs="Times New Roman" w:eastAsia="Times New Roman" w:hAnsi="Times New Roman"/>
                <w:sz w:val="14"/>
                <w:szCs w:val="14"/>
                <w:color w:val="auto"/>
              </w:rPr>
              <w:t>February 28, 2025</w:t>
            </w:r>
          </w:p>
        </w:tc>
      </w:tr>
      <w:tr>
        <w:trPr>
          <w:trHeight w:val="175"/>
        </w:trPr>
        <w:tc>
          <w:tcPr>
            <w:tcW w:w="330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Daniel S. Peyovich</w:t>
            </w:r>
          </w:p>
        </w:tc>
        <w:tc>
          <w:tcPr>
            <w:tcW w:w="4160" w:type="dxa"/>
            <w:vAlign w:val="bottom"/>
            <w:gridSpan w:val="3"/>
          </w:tcPr>
          <w:p>
            <w:pPr>
              <w:jc w:val="center"/>
              <w:spacing w:after="0"/>
              <w:rPr>
                <w:sz w:val="20"/>
                <w:szCs w:val="20"/>
                <w:color w:val="auto"/>
              </w:rPr>
            </w:pPr>
            <w:r>
              <w:rPr>
                <w:rFonts w:ascii="Times New Roman" w:cs="Times New Roman" w:eastAsia="Times New Roman" w:hAnsi="Times New Roman"/>
                <w:sz w:val="14"/>
                <w:szCs w:val="14"/>
                <w:color w:val="auto"/>
              </w:rPr>
              <w:t>(Principal Executive Officer)</w:t>
            </w:r>
          </w:p>
        </w:tc>
        <w:tc>
          <w:tcPr>
            <w:tcW w:w="10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80" w:type="dxa"/>
            <w:vAlign w:val="bottom"/>
          </w:tcPr>
          <w:p>
            <w:pPr>
              <w:spacing w:after="0"/>
              <w:rPr>
                <w:sz w:val="15"/>
                <w:szCs w:val="15"/>
                <w:color w:val="auto"/>
              </w:rPr>
            </w:pPr>
          </w:p>
        </w:tc>
      </w:tr>
      <w:tr>
        <w:trPr>
          <w:trHeight w:val="335"/>
        </w:trPr>
        <w:tc>
          <w:tcPr>
            <w:tcW w:w="330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4"/>
                <w:szCs w:val="14"/>
                <w:color w:val="auto"/>
              </w:rPr>
              <w:t>/s/ H. Andrew DeFerrari</w:t>
            </w:r>
          </w:p>
        </w:tc>
        <w:tc>
          <w:tcPr>
            <w:tcW w:w="4160" w:type="dxa"/>
            <w:vAlign w:val="bottom"/>
            <w:gridSpan w:val="3"/>
          </w:tcPr>
          <w:p>
            <w:pPr>
              <w:jc w:val="center"/>
              <w:ind w:right="20"/>
              <w:spacing w:after="0"/>
              <w:rPr>
                <w:sz w:val="20"/>
                <w:szCs w:val="20"/>
                <w:color w:val="auto"/>
              </w:rPr>
            </w:pPr>
            <w:r>
              <w:rPr>
                <w:rFonts w:ascii="Times New Roman" w:cs="Times New Roman" w:eastAsia="Times New Roman" w:hAnsi="Times New Roman"/>
                <w:sz w:val="14"/>
                <w:szCs w:val="14"/>
                <w:color w:val="auto"/>
              </w:rPr>
              <w:t>Senior Vice President and Chief Financial Officer</w:t>
            </w:r>
          </w:p>
        </w:tc>
        <w:tc>
          <w:tcPr>
            <w:tcW w:w="1700" w:type="dxa"/>
            <w:vAlign w:val="bottom"/>
            <w:gridSpan w:val="3"/>
          </w:tcPr>
          <w:p>
            <w:pPr>
              <w:jc w:val="center"/>
              <w:ind w:left="589"/>
              <w:spacing w:after="0"/>
              <w:rPr>
                <w:sz w:val="20"/>
                <w:szCs w:val="20"/>
                <w:color w:val="auto"/>
              </w:rPr>
            </w:pPr>
            <w:r>
              <w:rPr>
                <w:rFonts w:ascii="Times New Roman" w:cs="Times New Roman" w:eastAsia="Times New Roman" w:hAnsi="Times New Roman"/>
                <w:sz w:val="14"/>
                <w:szCs w:val="14"/>
                <w:color w:val="auto"/>
              </w:rPr>
              <w:t>February 28, 2025</w:t>
            </w:r>
          </w:p>
        </w:tc>
      </w:tr>
      <w:tr>
        <w:trPr>
          <w:trHeight w:val="175"/>
        </w:trPr>
        <w:tc>
          <w:tcPr>
            <w:tcW w:w="330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H. Andrew DeFerrari</w:t>
            </w:r>
          </w:p>
        </w:tc>
        <w:tc>
          <w:tcPr>
            <w:tcW w:w="4160" w:type="dxa"/>
            <w:vAlign w:val="bottom"/>
            <w:gridSpan w:val="3"/>
          </w:tcPr>
          <w:p>
            <w:pPr>
              <w:jc w:val="center"/>
              <w:ind w:right="20"/>
              <w:spacing w:after="0"/>
              <w:rPr>
                <w:sz w:val="20"/>
                <w:szCs w:val="20"/>
                <w:color w:val="auto"/>
              </w:rPr>
            </w:pPr>
            <w:r>
              <w:rPr>
                <w:rFonts w:ascii="Times New Roman" w:cs="Times New Roman" w:eastAsia="Times New Roman" w:hAnsi="Times New Roman"/>
                <w:sz w:val="14"/>
                <w:szCs w:val="14"/>
                <w:color w:val="auto"/>
              </w:rPr>
              <w:t>(Principal Financial Officer)</w:t>
            </w:r>
          </w:p>
        </w:tc>
        <w:tc>
          <w:tcPr>
            <w:tcW w:w="10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80" w:type="dxa"/>
            <w:vAlign w:val="bottom"/>
          </w:tcPr>
          <w:p>
            <w:pPr>
              <w:spacing w:after="0"/>
              <w:rPr>
                <w:sz w:val="15"/>
                <w:szCs w:val="15"/>
                <w:color w:val="auto"/>
              </w:rPr>
            </w:pPr>
          </w:p>
        </w:tc>
      </w:tr>
      <w:tr>
        <w:trPr>
          <w:trHeight w:val="335"/>
        </w:trPr>
        <w:tc>
          <w:tcPr>
            <w:tcW w:w="330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4"/>
                <w:szCs w:val="14"/>
                <w:color w:val="auto"/>
              </w:rPr>
              <w:t>/s/ Heather M. Floyd</w:t>
            </w:r>
          </w:p>
        </w:tc>
        <w:tc>
          <w:tcPr>
            <w:tcW w:w="4160" w:type="dxa"/>
            <w:vAlign w:val="bottom"/>
            <w:gridSpan w:val="3"/>
          </w:tcPr>
          <w:p>
            <w:pPr>
              <w:jc w:val="center"/>
              <w:ind w:right="20"/>
              <w:spacing w:after="0"/>
              <w:rPr>
                <w:sz w:val="20"/>
                <w:szCs w:val="20"/>
                <w:color w:val="auto"/>
              </w:rPr>
            </w:pPr>
            <w:r>
              <w:rPr>
                <w:rFonts w:ascii="Times New Roman" w:cs="Times New Roman" w:eastAsia="Times New Roman" w:hAnsi="Times New Roman"/>
                <w:sz w:val="14"/>
                <w:szCs w:val="14"/>
                <w:color w:val="auto"/>
              </w:rPr>
              <w:t>Vice President and Chief Accounting Officer</w:t>
            </w:r>
          </w:p>
        </w:tc>
        <w:tc>
          <w:tcPr>
            <w:tcW w:w="1700" w:type="dxa"/>
            <w:vAlign w:val="bottom"/>
            <w:gridSpan w:val="3"/>
          </w:tcPr>
          <w:p>
            <w:pPr>
              <w:jc w:val="center"/>
              <w:ind w:left="589"/>
              <w:spacing w:after="0"/>
              <w:rPr>
                <w:sz w:val="20"/>
                <w:szCs w:val="20"/>
                <w:color w:val="auto"/>
              </w:rPr>
            </w:pPr>
            <w:r>
              <w:rPr>
                <w:rFonts w:ascii="Times New Roman" w:cs="Times New Roman" w:eastAsia="Times New Roman" w:hAnsi="Times New Roman"/>
                <w:sz w:val="14"/>
                <w:szCs w:val="14"/>
                <w:color w:val="auto"/>
              </w:rPr>
              <w:t>February 28, 2025</w:t>
            </w:r>
          </w:p>
        </w:tc>
      </w:tr>
      <w:tr>
        <w:trPr>
          <w:trHeight w:val="175"/>
        </w:trPr>
        <w:tc>
          <w:tcPr>
            <w:tcW w:w="330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Heather M. Floyd</w:t>
            </w:r>
          </w:p>
        </w:tc>
        <w:tc>
          <w:tcPr>
            <w:tcW w:w="4160" w:type="dxa"/>
            <w:vAlign w:val="bottom"/>
            <w:gridSpan w:val="3"/>
          </w:tcPr>
          <w:p>
            <w:pPr>
              <w:jc w:val="center"/>
              <w:ind w:right="20"/>
              <w:spacing w:after="0"/>
              <w:rPr>
                <w:sz w:val="20"/>
                <w:szCs w:val="20"/>
                <w:color w:val="auto"/>
              </w:rPr>
            </w:pPr>
            <w:r>
              <w:rPr>
                <w:rFonts w:ascii="Times New Roman" w:cs="Times New Roman" w:eastAsia="Times New Roman" w:hAnsi="Times New Roman"/>
                <w:sz w:val="14"/>
                <w:szCs w:val="14"/>
                <w:color w:val="auto"/>
              </w:rPr>
              <w:t>(Principal Accounting Officer)</w:t>
            </w:r>
          </w:p>
        </w:tc>
        <w:tc>
          <w:tcPr>
            <w:tcW w:w="10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80" w:type="dxa"/>
            <w:vAlign w:val="bottom"/>
          </w:tcPr>
          <w:p>
            <w:pPr>
              <w:spacing w:after="0"/>
              <w:rPr>
                <w:sz w:val="15"/>
                <w:szCs w:val="15"/>
                <w:color w:val="auto"/>
              </w:rPr>
            </w:pPr>
          </w:p>
        </w:tc>
      </w:tr>
      <w:tr>
        <w:trPr>
          <w:trHeight w:val="389"/>
        </w:trPr>
        <w:tc>
          <w:tcPr>
            <w:tcW w:w="330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4"/>
                <w:szCs w:val="14"/>
                <w:color w:val="auto"/>
              </w:rPr>
              <w:t>/s/ Luis Avila-Marco</w:t>
            </w:r>
          </w:p>
        </w:tc>
        <w:tc>
          <w:tcPr>
            <w:tcW w:w="1820" w:type="dxa"/>
            <w:vAlign w:val="bottom"/>
          </w:tcPr>
          <w:p>
            <w:pPr>
              <w:spacing w:after="0"/>
              <w:rPr>
                <w:sz w:val="24"/>
                <w:szCs w:val="24"/>
                <w:color w:val="auto"/>
              </w:rPr>
            </w:pPr>
          </w:p>
        </w:tc>
        <w:tc>
          <w:tcPr>
            <w:tcW w:w="2340" w:type="dxa"/>
            <w:vAlign w:val="bottom"/>
            <w:gridSpan w:val="2"/>
          </w:tcPr>
          <w:p>
            <w:pPr>
              <w:jc w:val="center"/>
              <w:ind w:right="1840"/>
              <w:spacing w:after="0"/>
              <w:rPr>
                <w:sz w:val="20"/>
                <w:szCs w:val="20"/>
                <w:color w:val="auto"/>
              </w:rPr>
            </w:pPr>
            <w:r>
              <w:rPr>
                <w:rFonts w:ascii="Times New Roman" w:cs="Times New Roman" w:eastAsia="Times New Roman" w:hAnsi="Times New Roman"/>
                <w:sz w:val="14"/>
                <w:szCs w:val="14"/>
                <w:color w:val="auto"/>
                <w:w w:val="98"/>
              </w:rPr>
              <w:t>Director</w:t>
            </w:r>
          </w:p>
        </w:tc>
        <w:tc>
          <w:tcPr>
            <w:tcW w:w="1700" w:type="dxa"/>
            <w:vAlign w:val="bottom"/>
            <w:gridSpan w:val="3"/>
          </w:tcPr>
          <w:p>
            <w:pPr>
              <w:jc w:val="center"/>
              <w:ind w:left="589"/>
              <w:spacing w:after="0"/>
              <w:rPr>
                <w:sz w:val="20"/>
                <w:szCs w:val="20"/>
                <w:color w:val="auto"/>
              </w:rPr>
            </w:pPr>
            <w:r>
              <w:rPr>
                <w:rFonts w:ascii="Times New Roman" w:cs="Times New Roman" w:eastAsia="Times New Roman" w:hAnsi="Times New Roman"/>
                <w:sz w:val="14"/>
                <w:szCs w:val="14"/>
                <w:color w:val="auto"/>
              </w:rPr>
              <w:t>February 28, 2025</w:t>
            </w:r>
          </w:p>
        </w:tc>
      </w:tr>
      <w:tr>
        <w:trPr>
          <w:trHeight w:val="175"/>
        </w:trPr>
        <w:tc>
          <w:tcPr>
            <w:tcW w:w="330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Luis Avila-Marco</w:t>
            </w:r>
          </w:p>
        </w:tc>
        <w:tc>
          <w:tcPr>
            <w:tcW w:w="18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80" w:type="dxa"/>
            <w:vAlign w:val="bottom"/>
          </w:tcPr>
          <w:p>
            <w:pPr>
              <w:spacing w:after="0"/>
              <w:rPr>
                <w:sz w:val="15"/>
                <w:szCs w:val="15"/>
                <w:color w:val="auto"/>
              </w:rPr>
            </w:pPr>
          </w:p>
        </w:tc>
      </w:tr>
      <w:tr>
        <w:trPr>
          <w:trHeight w:val="336"/>
        </w:trPr>
        <w:tc>
          <w:tcPr>
            <w:tcW w:w="330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4"/>
                <w:szCs w:val="14"/>
                <w:color w:val="auto"/>
              </w:rPr>
              <w:t>/s/ Jennifer M. Fritzsche</w:t>
            </w:r>
          </w:p>
        </w:tc>
        <w:tc>
          <w:tcPr>
            <w:tcW w:w="1820" w:type="dxa"/>
            <w:vAlign w:val="bottom"/>
          </w:tcPr>
          <w:p>
            <w:pPr>
              <w:spacing w:after="0"/>
              <w:rPr>
                <w:sz w:val="24"/>
                <w:szCs w:val="24"/>
                <w:color w:val="auto"/>
              </w:rPr>
            </w:pPr>
          </w:p>
        </w:tc>
        <w:tc>
          <w:tcPr>
            <w:tcW w:w="2340" w:type="dxa"/>
            <w:vAlign w:val="bottom"/>
            <w:gridSpan w:val="2"/>
          </w:tcPr>
          <w:p>
            <w:pPr>
              <w:jc w:val="center"/>
              <w:ind w:right="1840"/>
              <w:spacing w:after="0"/>
              <w:rPr>
                <w:sz w:val="20"/>
                <w:szCs w:val="20"/>
                <w:color w:val="auto"/>
              </w:rPr>
            </w:pPr>
            <w:r>
              <w:rPr>
                <w:rFonts w:ascii="Times New Roman" w:cs="Times New Roman" w:eastAsia="Times New Roman" w:hAnsi="Times New Roman"/>
                <w:sz w:val="14"/>
                <w:szCs w:val="14"/>
                <w:color w:val="auto"/>
                <w:w w:val="98"/>
              </w:rPr>
              <w:t>Director</w:t>
            </w:r>
          </w:p>
        </w:tc>
        <w:tc>
          <w:tcPr>
            <w:tcW w:w="1700" w:type="dxa"/>
            <w:vAlign w:val="bottom"/>
            <w:gridSpan w:val="3"/>
          </w:tcPr>
          <w:p>
            <w:pPr>
              <w:jc w:val="center"/>
              <w:ind w:left="589"/>
              <w:spacing w:after="0"/>
              <w:rPr>
                <w:sz w:val="20"/>
                <w:szCs w:val="20"/>
                <w:color w:val="auto"/>
              </w:rPr>
            </w:pPr>
            <w:r>
              <w:rPr>
                <w:rFonts w:ascii="Times New Roman" w:cs="Times New Roman" w:eastAsia="Times New Roman" w:hAnsi="Times New Roman"/>
                <w:sz w:val="14"/>
                <w:szCs w:val="14"/>
                <w:color w:val="auto"/>
              </w:rPr>
              <w:t>February 28, 2025</w:t>
            </w:r>
          </w:p>
        </w:tc>
      </w:tr>
      <w:tr>
        <w:trPr>
          <w:trHeight w:val="175"/>
        </w:trPr>
        <w:tc>
          <w:tcPr>
            <w:tcW w:w="330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Jennifer M. Fritzsche</w:t>
            </w:r>
          </w:p>
        </w:tc>
        <w:tc>
          <w:tcPr>
            <w:tcW w:w="18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80" w:type="dxa"/>
            <w:vAlign w:val="bottom"/>
          </w:tcPr>
          <w:p>
            <w:pPr>
              <w:spacing w:after="0"/>
              <w:rPr>
                <w:sz w:val="15"/>
                <w:szCs w:val="15"/>
                <w:color w:val="auto"/>
              </w:rPr>
            </w:pPr>
          </w:p>
        </w:tc>
      </w:tr>
      <w:tr>
        <w:trPr>
          <w:trHeight w:val="336"/>
        </w:trPr>
        <w:tc>
          <w:tcPr>
            <w:tcW w:w="330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4"/>
                <w:szCs w:val="14"/>
                <w:color w:val="auto"/>
              </w:rPr>
              <w:t>/s/ Eitan Gertel</w:t>
            </w:r>
          </w:p>
        </w:tc>
        <w:tc>
          <w:tcPr>
            <w:tcW w:w="1820" w:type="dxa"/>
            <w:vAlign w:val="bottom"/>
          </w:tcPr>
          <w:p>
            <w:pPr>
              <w:spacing w:after="0"/>
              <w:rPr>
                <w:sz w:val="24"/>
                <w:szCs w:val="24"/>
                <w:color w:val="auto"/>
              </w:rPr>
            </w:pPr>
          </w:p>
        </w:tc>
        <w:tc>
          <w:tcPr>
            <w:tcW w:w="2340" w:type="dxa"/>
            <w:vAlign w:val="bottom"/>
            <w:gridSpan w:val="2"/>
          </w:tcPr>
          <w:p>
            <w:pPr>
              <w:jc w:val="center"/>
              <w:ind w:right="1840"/>
              <w:spacing w:after="0"/>
              <w:rPr>
                <w:sz w:val="20"/>
                <w:szCs w:val="20"/>
                <w:color w:val="auto"/>
              </w:rPr>
            </w:pPr>
            <w:r>
              <w:rPr>
                <w:rFonts w:ascii="Times New Roman" w:cs="Times New Roman" w:eastAsia="Times New Roman" w:hAnsi="Times New Roman"/>
                <w:sz w:val="14"/>
                <w:szCs w:val="14"/>
                <w:color w:val="auto"/>
                <w:w w:val="98"/>
              </w:rPr>
              <w:t>Director</w:t>
            </w:r>
          </w:p>
        </w:tc>
        <w:tc>
          <w:tcPr>
            <w:tcW w:w="1700" w:type="dxa"/>
            <w:vAlign w:val="bottom"/>
            <w:gridSpan w:val="3"/>
          </w:tcPr>
          <w:p>
            <w:pPr>
              <w:jc w:val="center"/>
              <w:ind w:left="589"/>
              <w:spacing w:after="0"/>
              <w:rPr>
                <w:sz w:val="20"/>
                <w:szCs w:val="20"/>
                <w:color w:val="auto"/>
              </w:rPr>
            </w:pPr>
            <w:r>
              <w:rPr>
                <w:rFonts w:ascii="Times New Roman" w:cs="Times New Roman" w:eastAsia="Times New Roman" w:hAnsi="Times New Roman"/>
                <w:sz w:val="14"/>
                <w:szCs w:val="14"/>
                <w:color w:val="auto"/>
              </w:rPr>
              <w:t>February 28, 2025</w:t>
            </w:r>
          </w:p>
        </w:tc>
      </w:tr>
      <w:tr>
        <w:trPr>
          <w:trHeight w:val="175"/>
        </w:trPr>
        <w:tc>
          <w:tcPr>
            <w:tcW w:w="330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Eitan Gertel</w:t>
            </w:r>
          </w:p>
        </w:tc>
        <w:tc>
          <w:tcPr>
            <w:tcW w:w="18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80" w:type="dxa"/>
            <w:vAlign w:val="bottom"/>
          </w:tcPr>
          <w:p>
            <w:pPr>
              <w:spacing w:after="0"/>
              <w:rPr>
                <w:sz w:val="15"/>
                <w:szCs w:val="15"/>
                <w:color w:val="auto"/>
              </w:rPr>
            </w:pPr>
          </w:p>
        </w:tc>
      </w:tr>
      <w:tr>
        <w:trPr>
          <w:trHeight w:val="336"/>
        </w:trPr>
        <w:tc>
          <w:tcPr>
            <w:tcW w:w="330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4"/>
                <w:szCs w:val="14"/>
                <w:color w:val="auto"/>
              </w:rPr>
              <w:t>/s/ Peter T. Pruitt, Jr.</w:t>
            </w:r>
          </w:p>
        </w:tc>
        <w:tc>
          <w:tcPr>
            <w:tcW w:w="1820" w:type="dxa"/>
            <w:vAlign w:val="bottom"/>
          </w:tcPr>
          <w:p>
            <w:pPr>
              <w:spacing w:after="0"/>
              <w:rPr>
                <w:sz w:val="24"/>
                <w:szCs w:val="24"/>
                <w:color w:val="auto"/>
              </w:rPr>
            </w:pPr>
          </w:p>
        </w:tc>
        <w:tc>
          <w:tcPr>
            <w:tcW w:w="2340" w:type="dxa"/>
            <w:vAlign w:val="bottom"/>
            <w:gridSpan w:val="2"/>
          </w:tcPr>
          <w:p>
            <w:pPr>
              <w:jc w:val="center"/>
              <w:ind w:right="1840"/>
              <w:spacing w:after="0"/>
              <w:rPr>
                <w:sz w:val="20"/>
                <w:szCs w:val="20"/>
                <w:color w:val="auto"/>
              </w:rPr>
            </w:pPr>
            <w:r>
              <w:rPr>
                <w:rFonts w:ascii="Times New Roman" w:cs="Times New Roman" w:eastAsia="Times New Roman" w:hAnsi="Times New Roman"/>
                <w:sz w:val="14"/>
                <w:szCs w:val="14"/>
                <w:color w:val="auto"/>
                <w:w w:val="98"/>
              </w:rPr>
              <w:t>Director</w:t>
            </w:r>
          </w:p>
        </w:tc>
        <w:tc>
          <w:tcPr>
            <w:tcW w:w="1700" w:type="dxa"/>
            <w:vAlign w:val="bottom"/>
            <w:gridSpan w:val="3"/>
          </w:tcPr>
          <w:p>
            <w:pPr>
              <w:jc w:val="center"/>
              <w:ind w:left="589"/>
              <w:spacing w:after="0"/>
              <w:rPr>
                <w:sz w:val="20"/>
                <w:szCs w:val="20"/>
                <w:color w:val="auto"/>
              </w:rPr>
            </w:pPr>
            <w:r>
              <w:rPr>
                <w:rFonts w:ascii="Times New Roman" w:cs="Times New Roman" w:eastAsia="Times New Roman" w:hAnsi="Times New Roman"/>
                <w:sz w:val="14"/>
                <w:szCs w:val="14"/>
                <w:color w:val="auto"/>
              </w:rPr>
              <w:t>February 28, 2025</w:t>
            </w:r>
          </w:p>
        </w:tc>
      </w:tr>
      <w:tr>
        <w:trPr>
          <w:trHeight w:val="175"/>
        </w:trPr>
        <w:tc>
          <w:tcPr>
            <w:tcW w:w="330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Peter T. Pruitt, Jr.</w:t>
            </w:r>
          </w:p>
        </w:tc>
        <w:tc>
          <w:tcPr>
            <w:tcW w:w="18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80" w:type="dxa"/>
            <w:vAlign w:val="bottom"/>
          </w:tcPr>
          <w:p>
            <w:pPr>
              <w:spacing w:after="0"/>
              <w:rPr>
                <w:sz w:val="15"/>
                <w:szCs w:val="15"/>
                <w:color w:val="auto"/>
              </w:rPr>
            </w:pPr>
          </w:p>
        </w:tc>
      </w:tr>
      <w:tr>
        <w:trPr>
          <w:trHeight w:val="389"/>
        </w:trPr>
        <w:tc>
          <w:tcPr>
            <w:tcW w:w="330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4"/>
                <w:szCs w:val="14"/>
                <w:color w:val="auto"/>
              </w:rPr>
              <w:t>/s/ Stephen C. Robinson</w:t>
            </w:r>
          </w:p>
        </w:tc>
        <w:tc>
          <w:tcPr>
            <w:tcW w:w="1820" w:type="dxa"/>
            <w:vAlign w:val="bottom"/>
          </w:tcPr>
          <w:p>
            <w:pPr>
              <w:spacing w:after="0"/>
              <w:rPr>
                <w:sz w:val="24"/>
                <w:szCs w:val="24"/>
                <w:color w:val="auto"/>
              </w:rPr>
            </w:pPr>
          </w:p>
        </w:tc>
        <w:tc>
          <w:tcPr>
            <w:tcW w:w="2340" w:type="dxa"/>
            <w:vAlign w:val="bottom"/>
            <w:gridSpan w:val="2"/>
          </w:tcPr>
          <w:p>
            <w:pPr>
              <w:jc w:val="center"/>
              <w:ind w:right="1840"/>
              <w:spacing w:after="0"/>
              <w:rPr>
                <w:sz w:val="20"/>
                <w:szCs w:val="20"/>
                <w:color w:val="auto"/>
              </w:rPr>
            </w:pPr>
            <w:r>
              <w:rPr>
                <w:rFonts w:ascii="Times New Roman" w:cs="Times New Roman" w:eastAsia="Times New Roman" w:hAnsi="Times New Roman"/>
                <w:sz w:val="14"/>
                <w:szCs w:val="14"/>
                <w:color w:val="auto"/>
                <w:w w:val="98"/>
              </w:rPr>
              <w:t>Director</w:t>
            </w:r>
          </w:p>
        </w:tc>
        <w:tc>
          <w:tcPr>
            <w:tcW w:w="1700" w:type="dxa"/>
            <w:vAlign w:val="bottom"/>
            <w:gridSpan w:val="3"/>
          </w:tcPr>
          <w:p>
            <w:pPr>
              <w:jc w:val="center"/>
              <w:ind w:left="589"/>
              <w:spacing w:after="0"/>
              <w:rPr>
                <w:sz w:val="20"/>
                <w:szCs w:val="20"/>
                <w:color w:val="auto"/>
              </w:rPr>
            </w:pPr>
            <w:r>
              <w:rPr>
                <w:rFonts w:ascii="Times New Roman" w:cs="Times New Roman" w:eastAsia="Times New Roman" w:hAnsi="Times New Roman"/>
                <w:sz w:val="14"/>
                <w:szCs w:val="14"/>
                <w:color w:val="auto"/>
              </w:rPr>
              <w:t>February 28, 2025</w:t>
            </w:r>
          </w:p>
        </w:tc>
      </w:tr>
      <w:tr>
        <w:trPr>
          <w:trHeight w:val="175"/>
        </w:trPr>
        <w:tc>
          <w:tcPr>
            <w:tcW w:w="330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Stephen C. Robinson</w:t>
            </w:r>
          </w:p>
        </w:tc>
        <w:tc>
          <w:tcPr>
            <w:tcW w:w="18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80" w:type="dxa"/>
            <w:vAlign w:val="bottom"/>
          </w:tcPr>
          <w:p>
            <w:pPr>
              <w:spacing w:after="0"/>
              <w:rPr>
                <w:sz w:val="15"/>
                <w:szCs w:val="15"/>
                <w:color w:val="auto"/>
              </w:rPr>
            </w:pPr>
          </w:p>
        </w:tc>
      </w:tr>
      <w:tr>
        <w:trPr>
          <w:trHeight w:val="389"/>
        </w:trPr>
        <w:tc>
          <w:tcPr>
            <w:tcW w:w="330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4"/>
                <w:szCs w:val="14"/>
                <w:color w:val="auto"/>
              </w:rPr>
              <w:t>/s/ Carmen M. Sabater</w:t>
            </w:r>
          </w:p>
        </w:tc>
        <w:tc>
          <w:tcPr>
            <w:tcW w:w="1820" w:type="dxa"/>
            <w:vAlign w:val="bottom"/>
          </w:tcPr>
          <w:p>
            <w:pPr>
              <w:spacing w:after="0"/>
              <w:rPr>
                <w:sz w:val="24"/>
                <w:szCs w:val="24"/>
                <w:color w:val="auto"/>
              </w:rPr>
            </w:pPr>
          </w:p>
        </w:tc>
        <w:tc>
          <w:tcPr>
            <w:tcW w:w="2340" w:type="dxa"/>
            <w:vAlign w:val="bottom"/>
            <w:gridSpan w:val="2"/>
          </w:tcPr>
          <w:p>
            <w:pPr>
              <w:jc w:val="center"/>
              <w:ind w:right="1840"/>
              <w:spacing w:after="0"/>
              <w:rPr>
                <w:sz w:val="20"/>
                <w:szCs w:val="20"/>
                <w:color w:val="auto"/>
              </w:rPr>
            </w:pPr>
            <w:r>
              <w:rPr>
                <w:rFonts w:ascii="Times New Roman" w:cs="Times New Roman" w:eastAsia="Times New Roman" w:hAnsi="Times New Roman"/>
                <w:sz w:val="14"/>
                <w:szCs w:val="14"/>
                <w:color w:val="auto"/>
                <w:w w:val="98"/>
              </w:rPr>
              <w:t>Director</w:t>
            </w:r>
          </w:p>
        </w:tc>
        <w:tc>
          <w:tcPr>
            <w:tcW w:w="1700" w:type="dxa"/>
            <w:vAlign w:val="bottom"/>
            <w:gridSpan w:val="3"/>
          </w:tcPr>
          <w:p>
            <w:pPr>
              <w:jc w:val="center"/>
              <w:ind w:left="589"/>
              <w:spacing w:after="0"/>
              <w:rPr>
                <w:sz w:val="20"/>
                <w:szCs w:val="20"/>
                <w:color w:val="auto"/>
              </w:rPr>
            </w:pPr>
            <w:r>
              <w:rPr>
                <w:rFonts w:ascii="Times New Roman" w:cs="Times New Roman" w:eastAsia="Times New Roman" w:hAnsi="Times New Roman"/>
                <w:sz w:val="14"/>
                <w:szCs w:val="14"/>
                <w:color w:val="auto"/>
              </w:rPr>
              <w:t>February 28, 2025</w:t>
            </w:r>
          </w:p>
        </w:tc>
      </w:tr>
      <w:tr>
        <w:trPr>
          <w:trHeight w:val="175"/>
        </w:trPr>
        <w:tc>
          <w:tcPr>
            <w:tcW w:w="330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Carmen M. Sabater</w:t>
            </w:r>
          </w:p>
        </w:tc>
        <w:tc>
          <w:tcPr>
            <w:tcW w:w="18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80" w:type="dxa"/>
            <w:vAlign w:val="bottom"/>
          </w:tcPr>
          <w:p>
            <w:pPr>
              <w:spacing w:after="0"/>
              <w:rPr>
                <w:sz w:val="15"/>
                <w:szCs w:val="15"/>
                <w:color w:val="auto"/>
              </w:rPr>
            </w:pPr>
          </w:p>
        </w:tc>
      </w:tr>
      <w:tr>
        <w:trPr>
          <w:trHeight w:val="389"/>
        </w:trPr>
        <w:tc>
          <w:tcPr>
            <w:tcW w:w="330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4"/>
                <w:szCs w:val="14"/>
                <w:color w:val="auto"/>
              </w:rPr>
              <w:t>/s/ Richard K. Sykes</w:t>
            </w:r>
          </w:p>
        </w:tc>
        <w:tc>
          <w:tcPr>
            <w:tcW w:w="1820" w:type="dxa"/>
            <w:vAlign w:val="bottom"/>
          </w:tcPr>
          <w:p>
            <w:pPr>
              <w:spacing w:after="0"/>
              <w:rPr>
                <w:sz w:val="24"/>
                <w:szCs w:val="24"/>
                <w:color w:val="auto"/>
              </w:rPr>
            </w:pPr>
          </w:p>
        </w:tc>
        <w:tc>
          <w:tcPr>
            <w:tcW w:w="2340" w:type="dxa"/>
            <w:vAlign w:val="bottom"/>
            <w:gridSpan w:val="2"/>
          </w:tcPr>
          <w:p>
            <w:pPr>
              <w:jc w:val="center"/>
              <w:ind w:right="1840"/>
              <w:spacing w:after="0"/>
              <w:rPr>
                <w:sz w:val="20"/>
                <w:szCs w:val="20"/>
                <w:color w:val="auto"/>
              </w:rPr>
            </w:pPr>
            <w:r>
              <w:rPr>
                <w:rFonts w:ascii="Times New Roman" w:cs="Times New Roman" w:eastAsia="Times New Roman" w:hAnsi="Times New Roman"/>
                <w:sz w:val="14"/>
                <w:szCs w:val="14"/>
                <w:color w:val="auto"/>
                <w:w w:val="98"/>
              </w:rPr>
              <w:t>Director</w:t>
            </w:r>
          </w:p>
        </w:tc>
        <w:tc>
          <w:tcPr>
            <w:tcW w:w="1700" w:type="dxa"/>
            <w:vAlign w:val="bottom"/>
            <w:gridSpan w:val="3"/>
          </w:tcPr>
          <w:p>
            <w:pPr>
              <w:jc w:val="center"/>
              <w:ind w:left="589"/>
              <w:spacing w:after="0"/>
              <w:rPr>
                <w:sz w:val="20"/>
                <w:szCs w:val="20"/>
                <w:color w:val="auto"/>
              </w:rPr>
            </w:pPr>
            <w:r>
              <w:rPr>
                <w:rFonts w:ascii="Times New Roman" w:cs="Times New Roman" w:eastAsia="Times New Roman" w:hAnsi="Times New Roman"/>
                <w:sz w:val="14"/>
                <w:szCs w:val="14"/>
                <w:color w:val="auto"/>
              </w:rPr>
              <w:t>February 28, 2025</w:t>
            </w:r>
          </w:p>
        </w:tc>
      </w:tr>
      <w:tr>
        <w:trPr>
          <w:trHeight w:val="175"/>
        </w:trPr>
        <w:tc>
          <w:tcPr>
            <w:tcW w:w="330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Richard K. Sykes</w:t>
            </w:r>
          </w:p>
        </w:tc>
        <w:tc>
          <w:tcPr>
            <w:tcW w:w="18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80" w:type="dxa"/>
            <w:vAlign w:val="bottom"/>
          </w:tcPr>
          <w:p>
            <w:pPr>
              <w:spacing w:after="0"/>
              <w:rPr>
                <w:sz w:val="15"/>
                <w:szCs w:val="15"/>
                <w:color w:val="auto"/>
              </w:rPr>
            </w:pPr>
          </w:p>
        </w:tc>
      </w:tr>
      <w:tr>
        <w:trPr>
          <w:trHeight w:val="336"/>
        </w:trPr>
        <w:tc>
          <w:tcPr>
            <w:tcW w:w="330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4"/>
                <w:szCs w:val="14"/>
                <w:color w:val="auto"/>
              </w:rPr>
              <w:t>/s/ Laurie J. Thomsen</w:t>
            </w:r>
          </w:p>
        </w:tc>
        <w:tc>
          <w:tcPr>
            <w:tcW w:w="1820" w:type="dxa"/>
            <w:vAlign w:val="bottom"/>
          </w:tcPr>
          <w:p>
            <w:pPr>
              <w:spacing w:after="0"/>
              <w:rPr>
                <w:sz w:val="24"/>
                <w:szCs w:val="24"/>
                <w:color w:val="auto"/>
              </w:rPr>
            </w:pPr>
          </w:p>
        </w:tc>
        <w:tc>
          <w:tcPr>
            <w:tcW w:w="2340" w:type="dxa"/>
            <w:vAlign w:val="bottom"/>
            <w:gridSpan w:val="2"/>
          </w:tcPr>
          <w:p>
            <w:pPr>
              <w:jc w:val="center"/>
              <w:ind w:right="1840"/>
              <w:spacing w:after="0"/>
              <w:rPr>
                <w:sz w:val="20"/>
                <w:szCs w:val="20"/>
                <w:color w:val="auto"/>
              </w:rPr>
            </w:pPr>
            <w:r>
              <w:rPr>
                <w:rFonts w:ascii="Times New Roman" w:cs="Times New Roman" w:eastAsia="Times New Roman" w:hAnsi="Times New Roman"/>
                <w:sz w:val="14"/>
                <w:szCs w:val="14"/>
                <w:color w:val="auto"/>
                <w:w w:val="98"/>
              </w:rPr>
              <w:t>Director</w:t>
            </w:r>
          </w:p>
        </w:tc>
        <w:tc>
          <w:tcPr>
            <w:tcW w:w="1700" w:type="dxa"/>
            <w:vAlign w:val="bottom"/>
            <w:gridSpan w:val="3"/>
          </w:tcPr>
          <w:p>
            <w:pPr>
              <w:jc w:val="center"/>
              <w:ind w:left="589"/>
              <w:spacing w:after="0"/>
              <w:rPr>
                <w:sz w:val="20"/>
                <w:szCs w:val="20"/>
                <w:color w:val="auto"/>
              </w:rPr>
            </w:pPr>
            <w:r>
              <w:rPr>
                <w:rFonts w:ascii="Times New Roman" w:cs="Times New Roman" w:eastAsia="Times New Roman" w:hAnsi="Times New Roman"/>
                <w:sz w:val="14"/>
                <w:szCs w:val="14"/>
                <w:color w:val="auto"/>
              </w:rPr>
              <w:t>February 28, 2025</w:t>
            </w:r>
          </w:p>
        </w:tc>
      </w:tr>
      <w:tr>
        <w:trPr>
          <w:trHeight w:val="175"/>
        </w:trPr>
        <w:tc>
          <w:tcPr>
            <w:tcW w:w="330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Laurie J. Thomsen</w:t>
            </w:r>
          </w:p>
        </w:tc>
        <w:tc>
          <w:tcPr>
            <w:tcW w:w="18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80" w:type="dxa"/>
            <w:vAlign w:val="bottom"/>
          </w:tcPr>
          <w:p>
            <w:pPr>
              <w:spacing w:after="0"/>
              <w:rPr>
                <w:sz w:val="15"/>
                <w:szCs w:val="15"/>
                <w:color w:val="auto"/>
              </w:rPr>
            </w:pPr>
          </w:p>
        </w:tc>
      </w:tr>
      <w:tr>
        <w:trPr>
          <w:trHeight w:val="675"/>
        </w:trPr>
        <w:tc>
          <w:tcPr>
            <w:tcW w:w="1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4160" w:type="dxa"/>
            <w:vAlign w:val="bottom"/>
            <w:gridSpan w:val="3"/>
          </w:tcPr>
          <w:p>
            <w:pPr>
              <w:jc w:val="right"/>
              <w:ind w:right="1740"/>
              <w:spacing w:after="0"/>
              <w:rPr>
                <w:sz w:val="20"/>
                <w:szCs w:val="20"/>
                <w:color w:val="auto"/>
              </w:rPr>
            </w:pPr>
            <w:r>
              <w:rPr>
                <w:rFonts w:ascii="Times New Roman" w:cs="Times New Roman" w:eastAsia="Times New Roman" w:hAnsi="Times New Roman"/>
                <w:sz w:val="14"/>
                <w:szCs w:val="14"/>
                <w:color w:val="auto"/>
              </w:rPr>
              <w:t>82</w:t>
            </w:r>
          </w:p>
        </w:tc>
        <w:tc>
          <w:tcPr>
            <w:tcW w:w="10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r>
    </w:tbl>
    <w:p>
      <w:pPr>
        <w:sectPr>
          <w:pgSz w:w="11900" w:h="16838" w:orient="portrait"/>
          <w:cols w:equalWidth="0" w:num="1">
            <w:col w:w="11220"/>
          </w:cols>
          <w:pgMar w:left="300" w:top="125" w:right="379" w:bottom="1440" w:gutter="0" w:footer="0" w:header="0"/>
        </w:sectPr>
      </w:pPr>
    </w:p>
    <w:bookmarkStart w:id="82" w:name="page83"/>
    <w:bookmarkEnd w:id="8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304800</wp:posOffset>
            </wp:positionV>
            <wp:extent cx="7105650" cy="933386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40">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3" w:name="page84"/>
    <w:bookmarkEnd w:id="8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41">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4" w:name="page85"/>
    <w:bookmarkEnd w:id="8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42">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5" w:name="page86"/>
    <w:bookmarkEnd w:id="8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43">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6" w:name="page87"/>
    <w:bookmarkEnd w:id="8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44">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7" w:name="page88"/>
    <w:bookmarkEnd w:id="8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45">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8" w:name="page89"/>
    <w:bookmarkEnd w:id="8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46">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9" w:name="page90"/>
    <w:bookmarkEnd w:id="8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47">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0" w:name="page91"/>
    <w:bookmarkEnd w:id="9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48">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1" w:name="page92"/>
    <w:bookmarkEnd w:id="9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49">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2" w:name="page93"/>
    <w:bookmarkEnd w:id="9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50">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3" w:name="page94"/>
    <w:bookmarkEnd w:id="9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51">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4" w:name="page95"/>
    <w:bookmarkEnd w:id="9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52">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5" w:name="page96"/>
    <w:bookmarkEnd w:id="95"/>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96" w:name="page97"/>
    <w:bookmarkEnd w:id="96"/>
    <w:p>
      <w:pPr>
        <w:jc w:val="right"/>
        <w:spacing w:after="0"/>
        <w:rPr>
          <w:sz w:val="20"/>
          <w:szCs w:val="20"/>
          <w:color w:val="auto"/>
        </w:rPr>
      </w:pPr>
      <w:r>
        <w:rPr>
          <w:rFonts w:ascii="Times New Roman" w:cs="Times New Roman" w:eastAsia="Times New Roman" w:hAnsi="Times New Roman"/>
          <w:sz w:val="14"/>
          <w:szCs w:val="14"/>
          <w:b w:val="1"/>
          <w:bCs w:val="1"/>
          <w:color w:val="auto"/>
        </w:rPr>
        <w:t>Exhibit 21.1</w:t>
      </w: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PRINCIPAL SUBSIDIARIES OF DYCOM INDUSTRIES, INC.</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sets forth the Registrant’s principal subsidiaries and the jurisdiction of incorporation of each. Each subsidiary is 100% owned by the Registrant or its subsidiaries.</w:t>
      </w:r>
    </w:p>
    <w:p>
      <w:pPr>
        <w:spacing w:after="0" w:line="39" w:lineRule="exact"/>
        <w:rPr>
          <w:sz w:val="20"/>
          <w:szCs w:val="20"/>
          <w:color w:val="auto"/>
        </w:rPr>
      </w:pPr>
    </w:p>
    <w:tbl>
      <w:tblPr>
        <w:tblLayout w:type="fixed"/>
        <w:tblInd w:w="40" w:type="dxa"/>
        <w:tblCellMar>
          <w:top w:w="0" w:type="dxa"/>
          <w:left w:w="0" w:type="dxa"/>
          <w:bottom w:w="0" w:type="dxa"/>
          <w:right w:w="0" w:type="dxa"/>
        </w:tblCellMar>
      </w:tblPr>
      <w:tr>
        <w:trPr>
          <w:trHeight w:val="186"/>
        </w:trPr>
        <w:tc>
          <w:tcPr>
            <w:tcW w:w="42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Subsidiary</w:t>
            </w:r>
          </w:p>
        </w:tc>
        <w:tc>
          <w:tcPr>
            <w:tcW w:w="6940" w:type="dxa"/>
            <w:vAlign w:val="bottom"/>
            <w:tcBorders>
              <w:bottom w:val="single" w:sz="8" w:color="auto"/>
            </w:tcBorders>
          </w:tcPr>
          <w:p>
            <w:pPr>
              <w:ind w:left="1340"/>
              <w:spacing w:after="0"/>
              <w:rPr>
                <w:sz w:val="20"/>
                <w:szCs w:val="20"/>
                <w:color w:val="auto"/>
              </w:rPr>
            </w:pPr>
            <w:r>
              <w:rPr>
                <w:rFonts w:ascii="Times New Roman" w:cs="Times New Roman" w:eastAsia="Times New Roman" w:hAnsi="Times New Roman"/>
                <w:sz w:val="14"/>
                <w:szCs w:val="14"/>
                <w:b w:val="1"/>
                <w:bCs w:val="1"/>
                <w:color w:val="auto"/>
              </w:rPr>
              <w:t>Jurisdiction</w:t>
            </w:r>
          </w:p>
        </w:tc>
      </w:tr>
      <w:tr>
        <w:trPr>
          <w:trHeight w:val="167"/>
        </w:trPr>
        <w:tc>
          <w:tcPr>
            <w:tcW w:w="4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Ansco &amp; Associates, LLC</w:t>
            </w:r>
          </w:p>
        </w:tc>
        <w:tc>
          <w:tcPr>
            <w:tcW w:w="6940" w:type="dxa"/>
            <w:vAlign w:val="bottom"/>
          </w:tcPr>
          <w:p>
            <w:pPr>
              <w:ind w:left="1340"/>
              <w:spacing w:after="0"/>
              <w:rPr>
                <w:sz w:val="20"/>
                <w:szCs w:val="20"/>
                <w:color w:val="auto"/>
              </w:rPr>
            </w:pPr>
            <w:r>
              <w:rPr>
                <w:rFonts w:ascii="Times New Roman" w:cs="Times New Roman" w:eastAsia="Times New Roman" w:hAnsi="Times New Roman"/>
                <w:sz w:val="14"/>
                <w:szCs w:val="14"/>
                <w:color w:val="auto"/>
              </w:rPr>
              <w:t>Delaware</w:t>
            </w:r>
          </w:p>
        </w:tc>
      </w:tr>
      <w:tr>
        <w:trPr>
          <w:trHeight w:val="180"/>
        </w:trPr>
        <w:tc>
          <w:tcPr>
            <w:tcW w:w="4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Blair Park Services, LLC</w:t>
            </w:r>
          </w:p>
        </w:tc>
        <w:tc>
          <w:tcPr>
            <w:tcW w:w="6940" w:type="dxa"/>
            <w:vAlign w:val="bottom"/>
          </w:tcPr>
          <w:p>
            <w:pPr>
              <w:ind w:left="1340"/>
              <w:spacing w:after="0"/>
              <w:rPr>
                <w:sz w:val="20"/>
                <w:szCs w:val="20"/>
                <w:color w:val="auto"/>
              </w:rPr>
            </w:pPr>
            <w:r>
              <w:rPr>
                <w:rFonts w:ascii="Times New Roman" w:cs="Times New Roman" w:eastAsia="Times New Roman" w:hAnsi="Times New Roman"/>
                <w:sz w:val="14"/>
                <w:szCs w:val="14"/>
                <w:color w:val="auto"/>
              </w:rPr>
              <w:t>Delaware</w:t>
            </w:r>
          </w:p>
        </w:tc>
      </w:tr>
      <w:tr>
        <w:trPr>
          <w:trHeight w:val="180"/>
        </w:trPr>
        <w:tc>
          <w:tcPr>
            <w:tcW w:w="4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Bigham Cable Construction, Inc.</w:t>
            </w:r>
          </w:p>
        </w:tc>
        <w:tc>
          <w:tcPr>
            <w:tcW w:w="6940" w:type="dxa"/>
            <w:vAlign w:val="bottom"/>
          </w:tcPr>
          <w:p>
            <w:pPr>
              <w:ind w:left="1340"/>
              <w:spacing w:after="0"/>
              <w:rPr>
                <w:sz w:val="20"/>
                <w:szCs w:val="20"/>
                <w:color w:val="auto"/>
              </w:rPr>
            </w:pPr>
            <w:r>
              <w:rPr>
                <w:rFonts w:ascii="Times New Roman" w:cs="Times New Roman" w:eastAsia="Times New Roman" w:hAnsi="Times New Roman"/>
                <w:sz w:val="14"/>
                <w:szCs w:val="14"/>
                <w:color w:val="auto"/>
              </w:rPr>
              <w:t>Florida</w:t>
            </w:r>
          </w:p>
        </w:tc>
      </w:tr>
      <w:tr>
        <w:trPr>
          <w:trHeight w:val="180"/>
        </w:trPr>
        <w:tc>
          <w:tcPr>
            <w:tcW w:w="4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Broadband Express, LLC</w:t>
            </w:r>
          </w:p>
        </w:tc>
        <w:tc>
          <w:tcPr>
            <w:tcW w:w="6940" w:type="dxa"/>
            <w:vAlign w:val="bottom"/>
          </w:tcPr>
          <w:p>
            <w:pPr>
              <w:ind w:left="1340"/>
              <w:spacing w:after="0"/>
              <w:rPr>
                <w:sz w:val="20"/>
                <w:szCs w:val="20"/>
                <w:color w:val="auto"/>
              </w:rPr>
            </w:pPr>
            <w:r>
              <w:rPr>
                <w:rFonts w:ascii="Times New Roman" w:cs="Times New Roman" w:eastAsia="Times New Roman" w:hAnsi="Times New Roman"/>
                <w:sz w:val="14"/>
                <w:szCs w:val="14"/>
                <w:color w:val="auto"/>
              </w:rPr>
              <w:t>Delaware</w:t>
            </w:r>
          </w:p>
        </w:tc>
      </w:tr>
      <w:tr>
        <w:trPr>
          <w:trHeight w:val="180"/>
        </w:trPr>
        <w:tc>
          <w:tcPr>
            <w:tcW w:w="4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C-2 Utility Contractors, LLC</w:t>
            </w:r>
          </w:p>
        </w:tc>
        <w:tc>
          <w:tcPr>
            <w:tcW w:w="6940" w:type="dxa"/>
            <w:vAlign w:val="bottom"/>
          </w:tcPr>
          <w:p>
            <w:pPr>
              <w:ind w:left="1340"/>
              <w:spacing w:after="0"/>
              <w:rPr>
                <w:sz w:val="20"/>
                <w:szCs w:val="20"/>
                <w:color w:val="auto"/>
              </w:rPr>
            </w:pPr>
            <w:r>
              <w:rPr>
                <w:rFonts w:ascii="Times New Roman" w:cs="Times New Roman" w:eastAsia="Times New Roman" w:hAnsi="Times New Roman"/>
                <w:sz w:val="14"/>
                <w:szCs w:val="14"/>
                <w:color w:val="auto"/>
              </w:rPr>
              <w:t>Delaware</w:t>
            </w:r>
          </w:p>
        </w:tc>
      </w:tr>
      <w:tr>
        <w:trPr>
          <w:trHeight w:val="180"/>
        </w:trPr>
        <w:tc>
          <w:tcPr>
            <w:tcW w:w="4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CableCom, LLC</w:t>
            </w:r>
          </w:p>
        </w:tc>
        <w:tc>
          <w:tcPr>
            <w:tcW w:w="6940" w:type="dxa"/>
            <w:vAlign w:val="bottom"/>
          </w:tcPr>
          <w:p>
            <w:pPr>
              <w:ind w:left="1340"/>
              <w:spacing w:after="0"/>
              <w:rPr>
                <w:sz w:val="20"/>
                <w:szCs w:val="20"/>
                <w:color w:val="auto"/>
              </w:rPr>
            </w:pPr>
            <w:r>
              <w:rPr>
                <w:rFonts w:ascii="Times New Roman" w:cs="Times New Roman" w:eastAsia="Times New Roman" w:hAnsi="Times New Roman"/>
                <w:sz w:val="14"/>
                <w:szCs w:val="14"/>
                <w:color w:val="auto"/>
              </w:rPr>
              <w:t>Delaware</w:t>
            </w:r>
          </w:p>
        </w:tc>
      </w:tr>
      <w:tr>
        <w:trPr>
          <w:trHeight w:val="180"/>
        </w:trPr>
        <w:tc>
          <w:tcPr>
            <w:tcW w:w="4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Cavo Broadband Communications, LLC</w:t>
            </w:r>
          </w:p>
        </w:tc>
        <w:tc>
          <w:tcPr>
            <w:tcW w:w="6940" w:type="dxa"/>
            <w:vAlign w:val="bottom"/>
          </w:tcPr>
          <w:p>
            <w:pPr>
              <w:ind w:left="1340"/>
              <w:spacing w:after="0"/>
              <w:rPr>
                <w:sz w:val="20"/>
                <w:szCs w:val="20"/>
                <w:color w:val="auto"/>
              </w:rPr>
            </w:pPr>
            <w:r>
              <w:rPr>
                <w:rFonts w:ascii="Times New Roman" w:cs="Times New Roman" w:eastAsia="Times New Roman" w:hAnsi="Times New Roman"/>
                <w:sz w:val="14"/>
                <w:szCs w:val="14"/>
                <w:color w:val="auto"/>
              </w:rPr>
              <w:t>Delaware</w:t>
            </w:r>
          </w:p>
        </w:tc>
      </w:tr>
      <w:tr>
        <w:trPr>
          <w:trHeight w:val="180"/>
        </w:trPr>
        <w:tc>
          <w:tcPr>
            <w:tcW w:w="4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CertusView Technologies, LLC</w:t>
            </w:r>
          </w:p>
        </w:tc>
        <w:tc>
          <w:tcPr>
            <w:tcW w:w="6940" w:type="dxa"/>
            <w:vAlign w:val="bottom"/>
          </w:tcPr>
          <w:p>
            <w:pPr>
              <w:ind w:left="1340"/>
              <w:spacing w:after="0"/>
              <w:rPr>
                <w:sz w:val="20"/>
                <w:szCs w:val="20"/>
                <w:color w:val="auto"/>
              </w:rPr>
            </w:pPr>
            <w:r>
              <w:rPr>
                <w:rFonts w:ascii="Times New Roman" w:cs="Times New Roman" w:eastAsia="Times New Roman" w:hAnsi="Times New Roman"/>
                <w:sz w:val="14"/>
                <w:szCs w:val="14"/>
                <w:color w:val="auto"/>
              </w:rPr>
              <w:t>Delaware</w:t>
            </w:r>
          </w:p>
        </w:tc>
      </w:tr>
      <w:tr>
        <w:trPr>
          <w:trHeight w:val="180"/>
        </w:trPr>
        <w:tc>
          <w:tcPr>
            <w:tcW w:w="4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Communications Construction Group, LLC</w:t>
            </w:r>
          </w:p>
        </w:tc>
        <w:tc>
          <w:tcPr>
            <w:tcW w:w="6940" w:type="dxa"/>
            <w:vAlign w:val="bottom"/>
          </w:tcPr>
          <w:p>
            <w:pPr>
              <w:ind w:left="1340"/>
              <w:spacing w:after="0"/>
              <w:rPr>
                <w:sz w:val="20"/>
                <w:szCs w:val="20"/>
                <w:color w:val="auto"/>
              </w:rPr>
            </w:pPr>
            <w:r>
              <w:rPr>
                <w:rFonts w:ascii="Times New Roman" w:cs="Times New Roman" w:eastAsia="Times New Roman" w:hAnsi="Times New Roman"/>
                <w:sz w:val="14"/>
                <w:szCs w:val="14"/>
                <w:color w:val="auto"/>
              </w:rPr>
              <w:t>Delaware</w:t>
            </w:r>
          </w:p>
        </w:tc>
      </w:tr>
      <w:tr>
        <w:trPr>
          <w:trHeight w:val="180"/>
        </w:trPr>
        <w:tc>
          <w:tcPr>
            <w:tcW w:w="4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Dycom Capital Management, Inc.</w:t>
            </w:r>
          </w:p>
        </w:tc>
        <w:tc>
          <w:tcPr>
            <w:tcW w:w="6940" w:type="dxa"/>
            <w:vAlign w:val="bottom"/>
          </w:tcPr>
          <w:p>
            <w:pPr>
              <w:ind w:left="1340"/>
              <w:spacing w:after="0"/>
              <w:rPr>
                <w:sz w:val="20"/>
                <w:szCs w:val="20"/>
                <w:color w:val="auto"/>
              </w:rPr>
            </w:pPr>
            <w:r>
              <w:rPr>
                <w:rFonts w:ascii="Times New Roman" w:cs="Times New Roman" w:eastAsia="Times New Roman" w:hAnsi="Times New Roman"/>
                <w:sz w:val="14"/>
                <w:szCs w:val="14"/>
                <w:color w:val="auto"/>
              </w:rPr>
              <w:t>Delaware</w:t>
            </w:r>
          </w:p>
        </w:tc>
      </w:tr>
      <w:tr>
        <w:trPr>
          <w:trHeight w:val="180"/>
        </w:trPr>
        <w:tc>
          <w:tcPr>
            <w:tcW w:w="4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Dycom Corporate Identity, Inc.</w:t>
            </w:r>
          </w:p>
        </w:tc>
        <w:tc>
          <w:tcPr>
            <w:tcW w:w="6940" w:type="dxa"/>
            <w:vAlign w:val="bottom"/>
          </w:tcPr>
          <w:p>
            <w:pPr>
              <w:ind w:left="1340"/>
              <w:spacing w:after="0"/>
              <w:rPr>
                <w:sz w:val="20"/>
                <w:szCs w:val="20"/>
                <w:color w:val="auto"/>
              </w:rPr>
            </w:pPr>
            <w:r>
              <w:rPr>
                <w:rFonts w:ascii="Times New Roman" w:cs="Times New Roman" w:eastAsia="Times New Roman" w:hAnsi="Times New Roman"/>
                <w:sz w:val="14"/>
                <w:szCs w:val="14"/>
                <w:color w:val="auto"/>
              </w:rPr>
              <w:t>Delaware</w:t>
            </w:r>
          </w:p>
        </w:tc>
      </w:tr>
      <w:tr>
        <w:trPr>
          <w:trHeight w:val="180"/>
        </w:trPr>
        <w:tc>
          <w:tcPr>
            <w:tcW w:w="4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Dycom Identity, LLC</w:t>
            </w:r>
          </w:p>
        </w:tc>
        <w:tc>
          <w:tcPr>
            <w:tcW w:w="6940" w:type="dxa"/>
            <w:vAlign w:val="bottom"/>
          </w:tcPr>
          <w:p>
            <w:pPr>
              <w:ind w:left="1340"/>
              <w:spacing w:after="0"/>
              <w:rPr>
                <w:sz w:val="20"/>
                <w:szCs w:val="20"/>
                <w:color w:val="auto"/>
              </w:rPr>
            </w:pPr>
            <w:r>
              <w:rPr>
                <w:rFonts w:ascii="Times New Roman" w:cs="Times New Roman" w:eastAsia="Times New Roman" w:hAnsi="Times New Roman"/>
                <w:sz w:val="14"/>
                <w:szCs w:val="14"/>
                <w:color w:val="auto"/>
              </w:rPr>
              <w:t>Delaware</w:t>
            </w:r>
          </w:p>
        </w:tc>
      </w:tr>
      <w:tr>
        <w:trPr>
          <w:trHeight w:val="180"/>
        </w:trPr>
        <w:tc>
          <w:tcPr>
            <w:tcW w:w="4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Dycom Investments, Inc.</w:t>
            </w:r>
          </w:p>
        </w:tc>
        <w:tc>
          <w:tcPr>
            <w:tcW w:w="6940" w:type="dxa"/>
            <w:vAlign w:val="bottom"/>
          </w:tcPr>
          <w:p>
            <w:pPr>
              <w:ind w:left="1340"/>
              <w:spacing w:after="0"/>
              <w:rPr>
                <w:sz w:val="20"/>
                <w:szCs w:val="20"/>
                <w:color w:val="auto"/>
              </w:rPr>
            </w:pPr>
            <w:r>
              <w:rPr>
                <w:rFonts w:ascii="Times New Roman" w:cs="Times New Roman" w:eastAsia="Times New Roman" w:hAnsi="Times New Roman"/>
                <w:sz w:val="14"/>
                <w:szCs w:val="14"/>
                <w:color w:val="auto"/>
              </w:rPr>
              <w:t>Delaware</w:t>
            </w:r>
          </w:p>
        </w:tc>
      </w:tr>
      <w:tr>
        <w:trPr>
          <w:trHeight w:val="180"/>
        </w:trPr>
        <w:tc>
          <w:tcPr>
            <w:tcW w:w="4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Engineering Associates, LLC</w:t>
            </w:r>
          </w:p>
        </w:tc>
        <w:tc>
          <w:tcPr>
            <w:tcW w:w="6940" w:type="dxa"/>
            <w:vAlign w:val="bottom"/>
          </w:tcPr>
          <w:p>
            <w:pPr>
              <w:ind w:left="1340"/>
              <w:spacing w:after="0"/>
              <w:rPr>
                <w:sz w:val="20"/>
                <w:szCs w:val="20"/>
                <w:color w:val="auto"/>
              </w:rPr>
            </w:pPr>
            <w:r>
              <w:rPr>
                <w:rFonts w:ascii="Times New Roman" w:cs="Times New Roman" w:eastAsia="Times New Roman" w:hAnsi="Times New Roman"/>
                <w:sz w:val="14"/>
                <w:szCs w:val="14"/>
                <w:color w:val="auto"/>
              </w:rPr>
              <w:t>Georgia</w:t>
            </w:r>
          </w:p>
        </w:tc>
      </w:tr>
      <w:tr>
        <w:trPr>
          <w:trHeight w:val="180"/>
        </w:trPr>
        <w:tc>
          <w:tcPr>
            <w:tcW w:w="4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Ervin Cable Construction, LLC</w:t>
            </w:r>
          </w:p>
        </w:tc>
        <w:tc>
          <w:tcPr>
            <w:tcW w:w="6940" w:type="dxa"/>
            <w:vAlign w:val="bottom"/>
          </w:tcPr>
          <w:p>
            <w:pPr>
              <w:ind w:left="1340"/>
              <w:spacing w:after="0"/>
              <w:rPr>
                <w:sz w:val="20"/>
                <w:szCs w:val="20"/>
                <w:color w:val="auto"/>
              </w:rPr>
            </w:pPr>
            <w:r>
              <w:rPr>
                <w:rFonts w:ascii="Times New Roman" w:cs="Times New Roman" w:eastAsia="Times New Roman" w:hAnsi="Times New Roman"/>
                <w:sz w:val="14"/>
                <w:szCs w:val="14"/>
                <w:color w:val="auto"/>
              </w:rPr>
              <w:t>Delaware</w:t>
            </w:r>
          </w:p>
        </w:tc>
      </w:tr>
      <w:tr>
        <w:trPr>
          <w:trHeight w:val="180"/>
        </w:trPr>
        <w:tc>
          <w:tcPr>
            <w:tcW w:w="4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Fiber Technologies Solutions, LLC</w:t>
            </w:r>
          </w:p>
        </w:tc>
        <w:tc>
          <w:tcPr>
            <w:tcW w:w="6940" w:type="dxa"/>
            <w:vAlign w:val="bottom"/>
          </w:tcPr>
          <w:p>
            <w:pPr>
              <w:ind w:left="1340"/>
              <w:spacing w:after="0"/>
              <w:rPr>
                <w:sz w:val="20"/>
                <w:szCs w:val="20"/>
                <w:color w:val="auto"/>
              </w:rPr>
            </w:pPr>
            <w:r>
              <w:rPr>
                <w:rFonts w:ascii="Times New Roman" w:cs="Times New Roman" w:eastAsia="Times New Roman" w:hAnsi="Times New Roman"/>
                <w:sz w:val="14"/>
                <w:szCs w:val="14"/>
                <w:color w:val="auto"/>
              </w:rPr>
              <w:t>Delaware</w:t>
            </w:r>
          </w:p>
        </w:tc>
      </w:tr>
      <w:tr>
        <w:trPr>
          <w:trHeight w:val="180"/>
        </w:trPr>
        <w:tc>
          <w:tcPr>
            <w:tcW w:w="4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Globe Communications, LLC</w:t>
            </w:r>
          </w:p>
        </w:tc>
        <w:tc>
          <w:tcPr>
            <w:tcW w:w="6940" w:type="dxa"/>
            <w:vAlign w:val="bottom"/>
          </w:tcPr>
          <w:p>
            <w:pPr>
              <w:ind w:left="1340"/>
              <w:spacing w:after="0"/>
              <w:rPr>
                <w:sz w:val="20"/>
                <w:szCs w:val="20"/>
                <w:color w:val="auto"/>
              </w:rPr>
            </w:pPr>
            <w:r>
              <w:rPr>
                <w:rFonts w:ascii="Times New Roman" w:cs="Times New Roman" w:eastAsia="Times New Roman" w:hAnsi="Times New Roman"/>
                <w:sz w:val="14"/>
                <w:szCs w:val="14"/>
                <w:color w:val="auto"/>
              </w:rPr>
              <w:t>North Carolina</w:t>
            </w:r>
          </w:p>
        </w:tc>
      </w:tr>
      <w:tr>
        <w:trPr>
          <w:trHeight w:val="180"/>
        </w:trPr>
        <w:tc>
          <w:tcPr>
            <w:tcW w:w="4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Golden State Utility Co.</w:t>
            </w:r>
          </w:p>
        </w:tc>
        <w:tc>
          <w:tcPr>
            <w:tcW w:w="6940" w:type="dxa"/>
            <w:vAlign w:val="bottom"/>
          </w:tcPr>
          <w:p>
            <w:pPr>
              <w:ind w:left="1340"/>
              <w:spacing w:after="0"/>
              <w:rPr>
                <w:sz w:val="20"/>
                <w:szCs w:val="20"/>
                <w:color w:val="auto"/>
              </w:rPr>
            </w:pPr>
            <w:r>
              <w:rPr>
                <w:rFonts w:ascii="Times New Roman" w:cs="Times New Roman" w:eastAsia="Times New Roman" w:hAnsi="Times New Roman"/>
                <w:sz w:val="14"/>
                <w:szCs w:val="14"/>
                <w:color w:val="auto"/>
              </w:rPr>
              <w:t>Delaware</w:t>
            </w:r>
          </w:p>
        </w:tc>
      </w:tr>
      <w:tr>
        <w:trPr>
          <w:trHeight w:val="180"/>
        </w:trPr>
        <w:tc>
          <w:tcPr>
            <w:tcW w:w="4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Ivy H. Smith Company, LLC</w:t>
            </w:r>
          </w:p>
        </w:tc>
        <w:tc>
          <w:tcPr>
            <w:tcW w:w="6940" w:type="dxa"/>
            <w:vAlign w:val="bottom"/>
          </w:tcPr>
          <w:p>
            <w:pPr>
              <w:ind w:left="1340"/>
              <w:spacing w:after="0"/>
              <w:rPr>
                <w:sz w:val="20"/>
                <w:szCs w:val="20"/>
                <w:color w:val="auto"/>
              </w:rPr>
            </w:pPr>
            <w:r>
              <w:rPr>
                <w:rFonts w:ascii="Times New Roman" w:cs="Times New Roman" w:eastAsia="Times New Roman" w:hAnsi="Times New Roman"/>
                <w:sz w:val="14"/>
                <w:szCs w:val="14"/>
                <w:color w:val="auto"/>
              </w:rPr>
              <w:t>Delaware</w:t>
            </w:r>
          </w:p>
        </w:tc>
      </w:tr>
      <w:tr>
        <w:trPr>
          <w:trHeight w:val="180"/>
        </w:trPr>
        <w:tc>
          <w:tcPr>
            <w:tcW w:w="4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Jansen Cable Construction, Inc.</w:t>
            </w:r>
          </w:p>
        </w:tc>
        <w:tc>
          <w:tcPr>
            <w:tcW w:w="6940" w:type="dxa"/>
            <w:vAlign w:val="bottom"/>
          </w:tcPr>
          <w:p>
            <w:pPr>
              <w:ind w:left="1340"/>
              <w:spacing w:after="0"/>
              <w:rPr>
                <w:sz w:val="20"/>
                <w:szCs w:val="20"/>
                <w:color w:val="auto"/>
              </w:rPr>
            </w:pPr>
            <w:r>
              <w:rPr>
                <w:rFonts w:ascii="Times New Roman" w:cs="Times New Roman" w:eastAsia="Times New Roman" w:hAnsi="Times New Roman"/>
                <w:sz w:val="14"/>
                <w:szCs w:val="14"/>
                <w:color w:val="auto"/>
              </w:rPr>
              <w:t>Illinois</w:t>
            </w:r>
          </w:p>
        </w:tc>
      </w:tr>
      <w:tr>
        <w:trPr>
          <w:trHeight w:val="180"/>
        </w:trPr>
        <w:tc>
          <w:tcPr>
            <w:tcW w:w="4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Kanaan Communications, LLC</w:t>
            </w:r>
          </w:p>
        </w:tc>
        <w:tc>
          <w:tcPr>
            <w:tcW w:w="6940" w:type="dxa"/>
            <w:vAlign w:val="bottom"/>
          </w:tcPr>
          <w:p>
            <w:pPr>
              <w:ind w:left="1340"/>
              <w:spacing w:after="0"/>
              <w:rPr>
                <w:sz w:val="20"/>
                <w:szCs w:val="20"/>
                <w:color w:val="auto"/>
              </w:rPr>
            </w:pPr>
            <w:r>
              <w:rPr>
                <w:rFonts w:ascii="Times New Roman" w:cs="Times New Roman" w:eastAsia="Times New Roman" w:hAnsi="Times New Roman"/>
                <w:sz w:val="14"/>
                <w:szCs w:val="14"/>
                <w:color w:val="auto"/>
              </w:rPr>
              <w:t>Delaware</w:t>
            </w:r>
          </w:p>
        </w:tc>
      </w:tr>
      <w:tr>
        <w:trPr>
          <w:trHeight w:val="180"/>
        </w:trPr>
        <w:tc>
          <w:tcPr>
            <w:tcW w:w="4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Lambert’s Cable Splicing Company, LLC</w:t>
            </w:r>
          </w:p>
        </w:tc>
        <w:tc>
          <w:tcPr>
            <w:tcW w:w="6940" w:type="dxa"/>
            <w:vAlign w:val="bottom"/>
          </w:tcPr>
          <w:p>
            <w:pPr>
              <w:ind w:left="1340"/>
              <w:spacing w:after="0"/>
              <w:rPr>
                <w:sz w:val="20"/>
                <w:szCs w:val="20"/>
                <w:color w:val="auto"/>
              </w:rPr>
            </w:pPr>
            <w:r>
              <w:rPr>
                <w:rFonts w:ascii="Times New Roman" w:cs="Times New Roman" w:eastAsia="Times New Roman" w:hAnsi="Times New Roman"/>
                <w:sz w:val="14"/>
                <w:szCs w:val="14"/>
                <w:color w:val="auto"/>
              </w:rPr>
              <w:t>Delaware</w:t>
            </w:r>
          </w:p>
        </w:tc>
      </w:tr>
      <w:tr>
        <w:trPr>
          <w:trHeight w:val="180"/>
        </w:trPr>
        <w:tc>
          <w:tcPr>
            <w:tcW w:w="4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Locating, Inc.</w:t>
            </w:r>
          </w:p>
        </w:tc>
        <w:tc>
          <w:tcPr>
            <w:tcW w:w="6940" w:type="dxa"/>
            <w:vAlign w:val="bottom"/>
          </w:tcPr>
          <w:p>
            <w:pPr>
              <w:ind w:left="1340"/>
              <w:spacing w:after="0"/>
              <w:rPr>
                <w:sz w:val="20"/>
                <w:szCs w:val="20"/>
                <w:color w:val="auto"/>
              </w:rPr>
            </w:pPr>
            <w:r>
              <w:rPr>
                <w:rFonts w:ascii="Times New Roman" w:cs="Times New Roman" w:eastAsia="Times New Roman" w:hAnsi="Times New Roman"/>
                <w:sz w:val="14"/>
                <w:szCs w:val="14"/>
                <w:color w:val="auto"/>
              </w:rPr>
              <w:t>Washington</w:t>
            </w:r>
          </w:p>
        </w:tc>
      </w:tr>
      <w:tr>
        <w:trPr>
          <w:trHeight w:val="180"/>
        </w:trPr>
        <w:tc>
          <w:tcPr>
            <w:tcW w:w="4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NeoCom Solutions, LLC</w:t>
            </w:r>
          </w:p>
        </w:tc>
        <w:tc>
          <w:tcPr>
            <w:tcW w:w="6940" w:type="dxa"/>
            <w:vAlign w:val="bottom"/>
          </w:tcPr>
          <w:p>
            <w:pPr>
              <w:ind w:left="1340"/>
              <w:spacing w:after="0"/>
              <w:rPr>
                <w:sz w:val="20"/>
                <w:szCs w:val="20"/>
                <w:color w:val="auto"/>
              </w:rPr>
            </w:pPr>
            <w:r>
              <w:rPr>
                <w:rFonts w:ascii="Times New Roman" w:cs="Times New Roman" w:eastAsia="Times New Roman" w:hAnsi="Times New Roman"/>
                <w:sz w:val="14"/>
                <w:szCs w:val="14"/>
                <w:color w:val="auto"/>
              </w:rPr>
              <w:t>Georgia</w:t>
            </w:r>
          </w:p>
        </w:tc>
      </w:tr>
      <w:tr>
        <w:trPr>
          <w:trHeight w:val="180"/>
        </w:trPr>
        <w:tc>
          <w:tcPr>
            <w:tcW w:w="4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Niels Fugal Sons Company, LLC</w:t>
            </w:r>
          </w:p>
        </w:tc>
        <w:tc>
          <w:tcPr>
            <w:tcW w:w="6940" w:type="dxa"/>
            <w:vAlign w:val="bottom"/>
          </w:tcPr>
          <w:p>
            <w:pPr>
              <w:ind w:left="1340"/>
              <w:spacing w:after="0"/>
              <w:rPr>
                <w:sz w:val="20"/>
                <w:szCs w:val="20"/>
                <w:color w:val="auto"/>
              </w:rPr>
            </w:pPr>
            <w:r>
              <w:rPr>
                <w:rFonts w:ascii="Times New Roman" w:cs="Times New Roman" w:eastAsia="Times New Roman" w:hAnsi="Times New Roman"/>
                <w:sz w:val="14"/>
                <w:szCs w:val="14"/>
                <w:color w:val="auto"/>
              </w:rPr>
              <w:t>Delaware</w:t>
            </w:r>
          </w:p>
        </w:tc>
      </w:tr>
      <w:tr>
        <w:trPr>
          <w:trHeight w:val="180"/>
        </w:trPr>
        <w:tc>
          <w:tcPr>
            <w:tcW w:w="4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North Sky Communications, LLC</w:t>
            </w:r>
          </w:p>
        </w:tc>
        <w:tc>
          <w:tcPr>
            <w:tcW w:w="6940" w:type="dxa"/>
            <w:vAlign w:val="bottom"/>
          </w:tcPr>
          <w:p>
            <w:pPr>
              <w:ind w:left="1340"/>
              <w:spacing w:after="0"/>
              <w:rPr>
                <w:sz w:val="20"/>
                <w:szCs w:val="20"/>
                <w:color w:val="auto"/>
              </w:rPr>
            </w:pPr>
            <w:r>
              <w:rPr>
                <w:rFonts w:ascii="Times New Roman" w:cs="Times New Roman" w:eastAsia="Times New Roman" w:hAnsi="Times New Roman"/>
                <w:sz w:val="14"/>
                <w:szCs w:val="14"/>
                <w:color w:val="auto"/>
              </w:rPr>
              <w:t>Delaware</w:t>
            </w:r>
          </w:p>
        </w:tc>
      </w:tr>
      <w:tr>
        <w:trPr>
          <w:trHeight w:val="180"/>
        </w:trPr>
        <w:tc>
          <w:tcPr>
            <w:tcW w:w="4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Parkside Utility Construction, LLC</w:t>
            </w:r>
          </w:p>
        </w:tc>
        <w:tc>
          <w:tcPr>
            <w:tcW w:w="6940" w:type="dxa"/>
            <w:vAlign w:val="bottom"/>
          </w:tcPr>
          <w:p>
            <w:pPr>
              <w:ind w:left="1340"/>
              <w:spacing w:after="0"/>
              <w:rPr>
                <w:sz w:val="20"/>
                <w:szCs w:val="20"/>
                <w:color w:val="auto"/>
              </w:rPr>
            </w:pPr>
            <w:r>
              <w:rPr>
                <w:rFonts w:ascii="Times New Roman" w:cs="Times New Roman" w:eastAsia="Times New Roman" w:hAnsi="Times New Roman"/>
                <w:sz w:val="14"/>
                <w:szCs w:val="14"/>
                <w:color w:val="auto"/>
              </w:rPr>
              <w:t>Delaware</w:t>
            </w:r>
          </w:p>
        </w:tc>
      </w:tr>
      <w:tr>
        <w:trPr>
          <w:trHeight w:val="180"/>
        </w:trPr>
        <w:tc>
          <w:tcPr>
            <w:tcW w:w="4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Pauley Construction, LLC</w:t>
            </w:r>
          </w:p>
        </w:tc>
        <w:tc>
          <w:tcPr>
            <w:tcW w:w="6940" w:type="dxa"/>
            <w:vAlign w:val="bottom"/>
          </w:tcPr>
          <w:p>
            <w:pPr>
              <w:ind w:left="1340"/>
              <w:spacing w:after="0"/>
              <w:rPr>
                <w:sz w:val="20"/>
                <w:szCs w:val="20"/>
                <w:color w:val="auto"/>
              </w:rPr>
            </w:pPr>
            <w:r>
              <w:rPr>
                <w:rFonts w:ascii="Times New Roman" w:cs="Times New Roman" w:eastAsia="Times New Roman" w:hAnsi="Times New Roman"/>
                <w:sz w:val="14"/>
                <w:szCs w:val="14"/>
                <w:color w:val="auto"/>
              </w:rPr>
              <w:t>Arizona</w:t>
            </w:r>
          </w:p>
        </w:tc>
      </w:tr>
      <w:tr>
        <w:trPr>
          <w:trHeight w:val="180"/>
        </w:trPr>
        <w:tc>
          <w:tcPr>
            <w:tcW w:w="4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Precision Valley Communications of Vermont, LLC</w:t>
            </w:r>
          </w:p>
        </w:tc>
        <w:tc>
          <w:tcPr>
            <w:tcW w:w="6940" w:type="dxa"/>
            <w:vAlign w:val="bottom"/>
          </w:tcPr>
          <w:p>
            <w:pPr>
              <w:ind w:left="1340"/>
              <w:spacing w:after="0"/>
              <w:rPr>
                <w:sz w:val="20"/>
                <w:szCs w:val="20"/>
                <w:color w:val="auto"/>
              </w:rPr>
            </w:pPr>
            <w:r>
              <w:rPr>
                <w:rFonts w:ascii="Times New Roman" w:cs="Times New Roman" w:eastAsia="Times New Roman" w:hAnsi="Times New Roman"/>
                <w:sz w:val="14"/>
                <w:szCs w:val="14"/>
                <w:color w:val="auto"/>
              </w:rPr>
              <w:t>Delaware</w:t>
            </w:r>
          </w:p>
        </w:tc>
      </w:tr>
      <w:tr>
        <w:trPr>
          <w:trHeight w:val="180"/>
        </w:trPr>
        <w:tc>
          <w:tcPr>
            <w:tcW w:w="4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Prince Telecom, LLC</w:t>
            </w:r>
          </w:p>
        </w:tc>
        <w:tc>
          <w:tcPr>
            <w:tcW w:w="6940" w:type="dxa"/>
            <w:vAlign w:val="bottom"/>
          </w:tcPr>
          <w:p>
            <w:pPr>
              <w:ind w:left="1340"/>
              <w:spacing w:after="0"/>
              <w:rPr>
                <w:sz w:val="20"/>
                <w:szCs w:val="20"/>
                <w:color w:val="auto"/>
              </w:rPr>
            </w:pPr>
            <w:r>
              <w:rPr>
                <w:rFonts w:ascii="Times New Roman" w:cs="Times New Roman" w:eastAsia="Times New Roman" w:hAnsi="Times New Roman"/>
                <w:sz w:val="14"/>
                <w:szCs w:val="14"/>
                <w:color w:val="auto"/>
              </w:rPr>
              <w:t>Delaware</w:t>
            </w:r>
          </w:p>
        </w:tc>
      </w:tr>
      <w:tr>
        <w:trPr>
          <w:trHeight w:val="180"/>
        </w:trPr>
        <w:tc>
          <w:tcPr>
            <w:tcW w:w="4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Professional Teleconcepts, LLC</w:t>
            </w:r>
          </w:p>
        </w:tc>
        <w:tc>
          <w:tcPr>
            <w:tcW w:w="6940" w:type="dxa"/>
            <w:vAlign w:val="bottom"/>
          </w:tcPr>
          <w:p>
            <w:pPr>
              <w:ind w:left="1340"/>
              <w:spacing w:after="0"/>
              <w:rPr>
                <w:sz w:val="20"/>
                <w:szCs w:val="20"/>
                <w:color w:val="auto"/>
              </w:rPr>
            </w:pPr>
            <w:r>
              <w:rPr>
                <w:rFonts w:ascii="Times New Roman" w:cs="Times New Roman" w:eastAsia="Times New Roman" w:hAnsi="Times New Roman"/>
                <w:sz w:val="14"/>
                <w:szCs w:val="14"/>
                <w:color w:val="auto"/>
              </w:rPr>
              <w:t>Illinois</w:t>
            </w:r>
          </w:p>
        </w:tc>
      </w:tr>
      <w:tr>
        <w:trPr>
          <w:trHeight w:val="180"/>
        </w:trPr>
        <w:tc>
          <w:tcPr>
            <w:tcW w:w="4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Professional Teleconcepts, LLC</w:t>
            </w:r>
          </w:p>
        </w:tc>
        <w:tc>
          <w:tcPr>
            <w:tcW w:w="6940" w:type="dxa"/>
            <w:vAlign w:val="bottom"/>
          </w:tcPr>
          <w:p>
            <w:pPr>
              <w:ind w:left="1340"/>
              <w:spacing w:after="0"/>
              <w:rPr>
                <w:sz w:val="20"/>
                <w:szCs w:val="20"/>
                <w:color w:val="auto"/>
              </w:rPr>
            </w:pPr>
            <w:r>
              <w:rPr>
                <w:rFonts w:ascii="Times New Roman" w:cs="Times New Roman" w:eastAsia="Times New Roman" w:hAnsi="Times New Roman"/>
                <w:sz w:val="14"/>
                <w:szCs w:val="14"/>
                <w:color w:val="auto"/>
              </w:rPr>
              <w:t>New York</w:t>
            </w:r>
          </w:p>
        </w:tc>
      </w:tr>
      <w:tr>
        <w:trPr>
          <w:trHeight w:val="180"/>
        </w:trPr>
        <w:tc>
          <w:tcPr>
            <w:tcW w:w="4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RJE Telecom, LLC</w:t>
            </w:r>
          </w:p>
        </w:tc>
        <w:tc>
          <w:tcPr>
            <w:tcW w:w="6940" w:type="dxa"/>
            <w:vAlign w:val="bottom"/>
          </w:tcPr>
          <w:p>
            <w:pPr>
              <w:ind w:left="1340"/>
              <w:spacing w:after="0"/>
              <w:rPr>
                <w:sz w:val="20"/>
                <w:szCs w:val="20"/>
                <w:color w:val="auto"/>
              </w:rPr>
            </w:pPr>
            <w:r>
              <w:rPr>
                <w:rFonts w:ascii="Times New Roman" w:cs="Times New Roman" w:eastAsia="Times New Roman" w:hAnsi="Times New Roman"/>
                <w:sz w:val="14"/>
                <w:szCs w:val="14"/>
                <w:color w:val="auto"/>
              </w:rPr>
              <w:t>Delaware</w:t>
            </w:r>
          </w:p>
        </w:tc>
      </w:tr>
      <w:tr>
        <w:trPr>
          <w:trHeight w:val="180"/>
        </w:trPr>
        <w:tc>
          <w:tcPr>
            <w:tcW w:w="4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Sage Telecommunications Corp. of Colorado, LLC</w:t>
            </w:r>
          </w:p>
        </w:tc>
        <w:tc>
          <w:tcPr>
            <w:tcW w:w="6940" w:type="dxa"/>
            <w:vAlign w:val="bottom"/>
          </w:tcPr>
          <w:p>
            <w:pPr>
              <w:ind w:left="1340"/>
              <w:spacing w:after="0"/>
              <w:rPr>
                <w:sz w:val="20"/>
                <w:szCs w:val="20"/>
                <w:color w:val="auto"/>
              </w:rPr>
            </w:pPr>
            <w:r>
              <w:rPr>
                <w:rFonts w:ascii="Times New Roman" w:cs="Times New Roman" w:eastAsia="Times New Roman" w:hAnsi="Times New Roman"/>
                <w:sz w:val="14"/>
                <w:szCs w:val="14"/>
                <w:color w:val="auto"/>
              </w:rPr>
              <w:t>Colorado</w:t>
            </w:r>
          </w:p>
        </w:tc>
      </w:tr>
      <w:tr>
        <w:trPr>
          <w:trHeight w:val="180"/>
        </w:trPr>
        <w:tc>
          <w:tcPr>
            <w:tcW w:w="4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Star Construction, LLC</w:t>
            </w:r>
          </w:p>
        </w:tc>
        <w:tc>
          <w:tcPr>
            <w:tcW w:w="6940" w:type="dxa"/>
            <w:vAlign w:val="bottom"/>
          </w:tcPr>
          <w:p>
            <w:pPr>
              <w:ind w:left="1340"/>
              <w:spacing w:after="0"/>
              <w:rPr>
                <w:sz w:val="20"/>
                <w:szCs w:val="20"/>
                <w:color w:val="auto"/>
              </w:rPr>
            </w:pPr>
            <w:r>
              <w:rPr>
                <w:rFonts w:ascii="Times New Roman" w:cs="Times New Roman" w:eastAsia="Times New Roman" w:hAnsi="Times New Roman"/>
                <w:sz w:val="14"/>
                <w:szCs w:val="14"/>
                <w:color w:val="auto"/>
              </w:rPr>
              <w:t>Delaware</w:t>
            </w:r>
          </w:p>
        </w:tc>
      </w:tr>
      <w:tr>
        <w:trPr>
          <w:trHeight w:val="180"/>
        </w:trPr>
        <w:tc>
          <w:tcPr>
            <w:tcW w:w="4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TCS Communications, LLC</w:t>
            </w:r>
          </w:p>
        </w:tc>
        <w:tc>
          <w:tcPr>
            <w:tcW w:w="6940" w:type="dxa"/>
            <w:vAlign w:val="bottom"/>
          </w:tcPr>
          <w:p>
            <w:pPr>
              <w:ind w:left="1340"/>
              <w:spacing w:after="0"/>
              <w:rPr>
                <w:sz w:val="20"/>
                <w:szCs w:val="20"/>
                <w:color w:val="auto"/>
              </w:rPr>
            </w:pPr>
            <w:r>
              <w:rPr>
                <w:rFonts w:ascii="Times New Roman" w:cs="Times New Roman" w:eastAsia="Times New Roman" w:hAnsi="Times New Roman"/>
                <w:sz w:val="14"/>
                <w:szCs w:val="14"/>
                <w:color w:val="auto"/>
              </w:rPr>
              <w:t>Delaware</w:t>
            </w:r>
          </w:p>
        </w:tc>
      </w:tr>
      <w:tr>
        <w:trPr>
          <w:trHeight w:val="180"/>
        </w:trPr>
        <w:tc>
          <w:tcPr>
            <w:tcW w:w="4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TelCom Construction, LLC</w:t>
            </w:r>
          </w:p>
        </w:tc>
        <w:tc>
          <w:tcPr>
            <w:tcW w:w="6940" w:type="dxa"/>
            <w:vAlign w:val="bottom"/>
          </w:tcPr>
          <w:p>
            <w:pPr>
              <w:ind w:left="1340"/>
              <w:spacing w:after="0"/>
              <w:rPr>
                <w:sz w:val="20"/>
                <w:szCs w:val="20"/>
                <w:color w:val="auto"/>
              </w:rPr>
            </w:pPr>
            <w:r>
              <w:rPr>
                <w:rFonts w:ascii="Times New Roman" w:cs="Times New Roman" w:eastAsia="Times New Roman" w:hAnsi="Times New Roman"/>
                <w:sz w:val="14"/>
                <w:szCs w:val="14"/>
                <w:color w:val="auto"/>
              </w:rPr>
              <w:t>Minnesota</w:t>
            </w:r>
          </w:p>
        </w:tc>
      </w:tr>
      <w:tr>
        <w:trPr>
          <w:trHeight w:val="180"/>
        </w:trPr>
        <w:tc>
          <w:tcPr>
            <w:tcW w:w="4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Tesinc, LLC</w:t>
            </w:r>
          </w:p>
        </w:tc>
        <w:tc>
          <w:tcPr>
            <w:tcW w:w="6940" w:type="dxa"/>
            <w:vAlign w:val="bottom"/>
          </w:tcPr>
          <w:p>
            <w:pPr>
              <w:ind w:left="1340"/>
              <w:spacing w:after="0"/>
              <w:rPr>
                <w:sz w:val="20"/>
                <w:szCs w:val="20"/>
                <w:color w:val="auto"/>
              </w:rPr>
            </w:pPr>
            <w:r>
              <w:rPr>
                <w:rFonts w:ascii="Times New Roman" w:cs="Times New Roman" w:eastAsia="Times New Roman" w:hAnsi="Times New Roman"/>
                <w:sz w:val="14"/>
                <w:szCs w:val="14"/>
                <w:color w:val="auto"/>
              </w:rPr>
              <w:t>Delaware</w:t>
            </w:r>
          </w:p>
        </w:tc>
      </w:tr>
      <w:tr>
        <w:trPr>
          <w:trHeight w:val="180"/>
        </w:trPr>
        <w:tc>
          <w:tcPr>
            <w:tcW w:w="4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Texstar Enterprises, LLC</w:t>
            </w:r>
          </w:p>
        </w:tc>
        <w:tc>
          <w:tcPr>
            <w:tcW w:w="6940" w:type="dxa"/>
            <w:vAlign w:val="bottom"/>
          </w:tcPr>
          <w:p>
            <w:pPr>
              <w:ind w:left="1340"/>
              <w:spacing w:after="0"/>
              <w:rPr>
                <w:sz w:val="20"/>
                <w:szCs w:val="20"/>
                <w:color w:val="auto"/>
              </w:rPr>
            </w:pPr>
            <w:r>
              <w:rPr>
                <w:rFonts w:ascii="Times New Roman" w:cs="Times New Roman" w:eastAsia="Times New Roman" w:hAnsi="Times New Roman"/>
                <w:sz w:val="14"/>
                <w:szCs w:val="14"/>
                <w:color w:val="auto"/>
              </w:rPr>
              <w:t>Texas</w:t>
            </w:r>
          </w:p>
        </w:tc>
      </w:tr>
      <w:tr>
        <w:trPr>
          <w:trHeight w:val="180"/>
        </w:trPr>
        <w:tc>
          <w:tcPr>
            <w:tcW w:w="4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Tjader &amp; Highstrom Utility Services, LLC</w:t>
            </w:r>
          </w:p>
        </w:tc>
        <w:tc>
          <w:tcPr>
            <w:tcW w:w="6940" w:type="dxa"/>
            <w:vAlign w:val="bottom"/>
          </w:tcPr>
          <w:p>
            <w:pPr>
              <w:ind w:left="1340"/>
              <w:spacing w:after="0"/>
              <w:rPr>
                <w:sz w:val="20"/>
                <w:szCs w:val="20"/>
                <w:color w:val="auto"/>
              </w:rPr>
            </w:pPr>
            <w:r>
              <w:rPr>
                <w:rFonts w:ascii="Times New Roman" w:cs="Times New Roman" w:eastAsia="Times New Roman" w:hAnsi="Times New Roman"/>
                <w:sz w:val="14"/>
                <w:szCs w:val="14"/>
                <w:color w:val="auto"/>
              </w:rPr>
              <w:t>Delaware</w:t>
            </w:r>
          </w:p>
        </w:tc>
      </w:tr>
      <w:tr>
        <w:trPr>
          <w:trHeight w:val="180"/>
        </w:trPr>
        <w:tc>
          <w:tcPr>
            <w:tcW w:w="4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Trawick Construction Company, LLC</w:t>
            </w:r>
          </w:p>
        </w:tc>
        <w:tc>
          <w:tcPr>
            <w:tcW w:w="6940" w:type="dxa"/>
            <w:vAlign w:val="bottom"/>
          </w:tcPr>
          <w:p>
            <w:pPr>
              <w:ind w:left="1340"/>
              <w:spacing w:after="0"/>
              <w:rPr>
                <w:sz w:val="20"/>
                <w:szCs w:val="20"/>
                <w:color w:val="auto"/>
              </w:rPr>
            </w:pPr>
            <w:r>
              <w:rPr>
                <w:rFonts w:ascii="Times New Roman" w:cs="Times New Roman" w:eastAsia="Times New Roman" w:hAnsi="Times New Roman"/>
                <w:sz w:val="14"/>
                <w:szCs w:val="14"/>
                <w:color w:val="auto"/>
              </w:rPr>
              <w:t>Florida</w:t>
            </w:r>
          </w:p>
        </w:tc>
      </w:tr>
      <w:tr>
        <w:trPr>
          <w:trHeight w:val="180"/>
        </w:trPr>
        <w:tc>
          <w:tcPr>
            <w:tcW w:w="4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Triple-D Communications, LLC</w:t>
            </w:r>
          </w:p>
        </w:tc>
        <w:tc>
          <w:tcPr>
            <w:tcW w:w="6940" w:type="dxa"/>
            <w:vAlign w:val="bottom"/>
          </w:tcPr>
          <w:p>
            <w:pPr>
              <w:ind w:left="1340"/>
              <w:spacing w:after="0"/>
              <w:rPr>
                <w:sz w:val="20"/>
                <w:szCs w:val="20"/>
                <w:color w:val="auto"/>
              </w:rPr>
            </w:pPr>
            <w:r>
              <w:rPr>
                <w:rFonts w:ascii="Times New Roman" w:cs="Times New Roman" w:eastAsia="Times New Roman" w:hAnsi="Times New Roman"/>
                <w:sz w:val="14"/>
                <w:szCs w:val="14"/>
                <w:color w:val="auto"/>
              </w:rPr>
              <w:t>Delaware</w:t>
            </w:r>
          </w:p>
        </w:tc>
      </w:tr>
      <w:tr>
        <w:trPr>
          <w:trHeight w:val="180"/>
        </w:trPr>
        <w:tc>
          <w:tcPr>
            <w:tcW w:w="4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Utility Technologies, Inc.</w:t>
            </w:r>
          </w:p>
        </w:tc>
        <w:tc>
          <w:tcPr>
            <w:tcW w:w="6940" w:type="dxa"/>
            <w:vAlign w:val="bottom"/>
          </w:tcPr>
          <w:p>
            <w:pPr>
              <w:ind w:left="1340"/>
              <w:spacing w:after="0"/>
              <w:rPr>
                <w:sz w:val="20"/>
                <w:szCs w:val="20"/>
                <w:color w:val="auto"/>
              </w:rPr>
            </w:pPr>
            <w:r>
              <w:rPr>
                <w:rFonts w:ascii="Times New Roman" w:cs="Times New Roman" w:eastAsia="Times New Roman" w:hAnsi="Times New Roman"/>
                <w:sz w:val="14"/>
                <w:szCs w:val="14"/>
                <w:color w:val="auto"/>
              </w:rPr>
              <w:t>Alaska</w:t>
            </w:r>
          </w:p>
        </w:tc>
      </w:tr>
      <w:tr>
        <w:trPr>
          <w:trHeight w:val="180"/>
        </w:trPr>
        <w:tc>
          <w:tcPr>
            <w:tcW w:w="4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UtiliQuest, LLC</w:t>
            </w:r>
          </w:p>
        </w:tc>
        <w:tc>
          <w:tcPr>
            <w:tcW w:w="6940" w:type="dxa"/>
            <w:vAlign w:val="bottom"/>
          </w:tcPr>
          <w:p>
            <w:pPr>
              <w:ind w:left="1340"/>
              <w:spacing w:after="0"/>
              <w:rPr>
                <w:sz w:val="20"/>
                <w:szCs w:val="20"/>
                <w:color w:val="auto"/>
              </w:rPr>
            </w:pPr>
            <w:r>
              <w:rPr>
                <w:rFonts w:ascii="Times New Roman" w:cs="Times New Roman" w:eastAsia="Times New Roman" w:hAnsi="Times New Roman"/>
                <w:sz w:val="14"/>
                <w:szCs w:val="14"/>
                <w:color w:val="auto"/>
              </w:rPr>
              <w:t>Georgia</w:t>
            </w:r>
          </w:p>
        </w:tc>
      </w:tr>
      <w:tr>
        <w:trPr>
          <w:trHeight w:val="180"/>
        </w:trPr>
        <w:tc>
          <w:tcPr>
            <w:tcW w:w="4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VCI Construction, LLC</w:t>
            </w:r>
          </w:p>
        </w:tc>
        <w:tc>
          <w:tcPr>
            <w:tcW w:w="6940" w:type="dxa"/>
            <w:vAlign w:val="bottom"/>
          </w:tcPr>
          <w:p>
            <w:pPr>
              <w:ind w:left="1340"/>
              <w:spacing w:after="0"/>
              <w:rPr>
                <w:sz w:val="20"/>
                <w:szCs w:val="20"/>
                <w:color w:val="auto"/>
              </w:rPr>
            </w:pPr>
            <w:r>
              <w:rPr>
                <w:rFonts w:ascii="Times New Roman" w:cs="Times New Roman" w:eastAsia="Times New Roman" w:hAnsi="Times New Roman"/>
                <w:sz w:val="14"/>
                <w:szCs w:val="14"/>
                <w:color w:val="auto"/>
              </w:rPr>
              <w:t>Delaware</w:t>
            </w:r>
          </w:p>
        </w:tc>
      </w:tr>
      <w:tr>
        <w:trPr>
          <w:trHeight w:val="180"/>
        </w:trPr>
        <w:tc>
          <w:tcPr>
            <w:tcW w:w="4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VCI Utility Services, LLC</w:t>
            </w:r>
          </w:p>
        </w:tc>
        <w:tc>
          <w:tcPr>
            <w:tcW w:w="6940" w:type="dxa"/>
            <w:vAlign w:val="bottom"/>
          </w:tcPr>
          <w:p>
            <w:pPr>
              <w:ind w:left="1340"/>
              <w:spacing w:after="0"/>
              <w:rPr>
                <w:sz w:val="20"/>
                <w:szCs w:val="20"/>
                <w:color w:val="auto"/>
              </w:rPr>
            </w:pPr>
            <w:r>
              <w:rPr>
                <w:rFonts w:ascii="Times New Roman" w:cs="Times New Roman" w:eastAsia="Times New Roman" w:hAnsi="Times New Roman"/>
                <w:sz w:val="14"/>
                <w:szCs w:val="14"/>
                <w:color w:val="auto"/>
              </w:rPr>
              <w:t>Delaware</w:t>
            </w:r>
          </w:p>
        </w:tc>
      </w:tr>
      <w:tr>
        <w:trPr>
          <w:trHeight w:val="184"/>
        </w:trPr>
        <w:tc>
          <w:tcPr>
            <w:tcW w:w="4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White Mountain Cable Construction, LLC</w:t>
            </w:r>
          </w:p>
        </w:tc>
        <w:tc>
          <w:tcPr>
            <w:tcW w:w="6940" w:type="dxa"/>
            <w:vAlign w:val="bottom"/>
          </w:tcPr>
          <w:p>
            <w:pPr>
              <w:ind w:left="1340"/>
              <w:spacing w:after="0"/>
              <w:rPr>
                <w:sz w:val="20"/>
                <w:szCs w:val="20"/>
                <w:color w:val="auto"/>
              </w:rPr>
            </w:pPr>
            <w:r>
              <w:rPr>
                <w:rFonts w:ascii="Times New Roman" w:cs="Times New Roman" w:eastAsia="Times New Roman" w:hAnsi="Times New Roman"/>
                <w:sz w:val="14"/>
                <w:szCs w:val="14"/>
                <w:color w:val="auto"/>
              </w:rPr>
              <w:t>Delaware</w:t>
            </w:r>
          </w:p>
        </w:tc>
      </w:tr>
    </w:tbl>
    <w:p>
      <w:pPr>
        <w:sectPr>
          <w:pgSz w:w="11900" w:h="16838" w:orient="portrait"/>
          <w:cols w:equalWidth="0" w:num="1">
            <w:col w:w="11280"/>
          </w:cols>
          <w:pgMar w:left="300" w:top="123" w:right="319" w:bottom="1440" w:gutter="0" w:footer="0" w:header="0"/>
        </w:sectPr>
      </w:pPr>
    </w:p>
    <w:bookmarkStart w:id="97" w:name="page98"/>
    <w:bookmarkEnd w:id="97"/>
    <w:p>
      <w:pPr>
        <w:jc w:val="right"/>
        <w:spacing w:after="0"/>
        <w:rPr>
          <w:sz w:val="20"/>
          <w:szCs w:val="20"/>
          <w:color w:val="auto"/>
        </w:rPr>
      </w:pPr>
      <w:r>
        <w:rPr>
          <w:rFonts w:ascii="Times New Roman" w:cs="Times New Roman" w:eastAsia="Times New Roman" w:hAnsi="Times New Roman"/>
          <w:sz w:val="14"/>
          <w:szCs w:val="14"/>
          <w:b w:val="1"/>
          <w:bCs w:val="1"/>
          <w:color w:val="auto"/>
        </w:rPr>
        <w:t>Exhibit 23.1</w:t>
      </w: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CONSENT OF INDEPENDENT REGISTERED PUBLIC ACCOUNTING FIRM</w:t>
      </w:r>
    </w:p>
    <w:p>
      <w:pPr>
        <w:spacing w:after="0" w:line="191"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4"/>
          <w:szCs w:val="14"/>
          <w:color w:val="auto"/>
        </w:rPr>
        <w:t>We hereby consent to the incorporation by reference in the Registration Statements on Form S-3ASR (No. 333-274181) and Form S-8 (Nos. 333-191198, 333-221730, 333-221732, 333-253931, 333-265290 and 333-272251) of Dycom Industries, Inc. of our report dated February 28, 2025 relating to the financial statements and the effectiveness of internal control over financial reporting, which appears in this Form 10-K.</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 PricewaterhouseCoopers LLP</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Miami, Florida</w:t>
      </w:r>
    </w:p>
    <w:p>
      <w:pPr>
        <w:spacing w:after="0"/>
        <w:rPr>
          <w:sz w:val="20"/>
          <w:szCs w:val="20"/>
          <w:color w:val="auto"/>
        </w:rPr>
      </w:pPr>
      <w:r>
        <w:rPr>
          <w:rFonts w:ascii="Times New Roman" w:cs="Times New Roman" w:eastAsia="Times New Roman" w:hAnsi="Times New Roman"/>
          <w:sz w:val="14"/>
          <w:szCs w:val="14"/>
          <w:color w:val="auto"/>
        </w:rPr>
        <w:t>February 28, 2025</w:t>
      </w:r>
    </w:p>
    <w:p>
      <w:pPr>
        <w:sectPr>
          <w:pgSz w:w="11900" w:h="16838" w:orient="portrait"/>
          <w:cols w:equalWidth="0" w:num="1">
            <w:col w:w="11280"/>
          </w:cols>
          <w:pgMar w:left="300" w:top="123" w:right="319" w:bottom="1440" w:gutter="0" w:footer="0" w:header="0"/>
        </w:sectPr>
      </w:pPr>
    </w:p>
    <w:bookmarkStart w:id="98" w:name="page99"/>
    <w:bookmarkEnd w:id="98"/>
    <w:p>
      <w:pPr>
        <w:jc w:val="right"/>
        <w:spacing w:after="0"/>
        <w:rPr>
          <w:sz w:val="20"/>
          <w:szCs w:val="20"/>
          <w:color w:val="auto"/>
        </w:rPr>
      </w:pPr>
      <w:r>
        <w:rPr>
          <w:rFonts w:ascii="Times New Roman" w:cs="Times New Roman" w:eastAsia="Times New Roman" w:hAnsi="Times New Roman"/>
          <w:sz w:val="14"/>
          <w:szCs w:val="14"/>
          <w:b w:val="1"/>
          <w:bCs w:val="1"/>
          <w:color w:val="auto"/>
        </w:rPr>
        <w:t>Exhibit 31.1</w:t>
      </w: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DYCOM INDUSTRIES,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CERTIFICATIONS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RULES 13A-14(A) OR 15D-14(A) UNDER THE SECURITIES EXCHANGE ACT OF 1934, AS AMENDED,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AS ADOPTED PURSUANT TO SECTION 302 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THE SARBANES-OXLEY ACT OF 2002</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CERTIFICATION OF CHIEF EXECUTIVE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 Daniel S. Peyovich, certify that:</w:t>
      </w:r>
    </w:p>
    <w:p>
      <w:pPr>
        <w:spacing w:after="0" w:line="185" w:lineRule="exact"/>
        <w:rPr>
          <w:sz w:val="20"/>
          <w:szCs w:val="20"/>
          <w:color w:val="auto"/>
        </w:rPr>
      </w:pPr>
    </w:p>
    <w:p>
      <w:pPr>
        <w:ind w:left="260" w:hanging="255"/>
        <w:spacing w:after="0"/>
        <w:tabs>
          <w:tab w:leader="none" w:pos="26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have reviewed this Annual Report on Form 10-K of Dycom Industries, Inc.;</w:t>
      </w:r>
    </w:p>
    <w:p>
      <w:pPr>
        <w:spacing w:after="0" w:line="199" w:lineRule="exact"/>
        <w:rPr>
          <w:rFonts w:ascii="Times New Roman" w:cs="Times New Roman" w:eastAsia="Times New Roman" w:hAnsi="Times New Roman"/>
          <w:sz w:val="14"/>
          <w:szCs w:val="14"/>
          <w:color w:val="auto"/>
        </w:rPr>
      </w:pPr>
    </w:p>
    <w:p>
      <w:pPr>
        <w:ind w:left="260" w:right="140" w:hanging="255"/>
        <w:spacing w:after="0" w:line="287" w:lineRule="auto"/>
        <w:tabs>
          <w:tab w:leader="none" w:pos="26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5" w:lineRule="exact"/>
        <w:rPr>
          <w:rFonts w:ascii="Times New Roman" w:cs="Times New Roman" w:eastAsia="Times New Roman" w:hAnsi="Times New Roman"/>
          <w:sz w:val="14"/>
          <w:szCs w:val="14"/>
          <w:color w:val="auto"/>
        </w:rPr>
      </w:pPr>
    </w:p>
    <w:p>
      <w:pPr>
        <w:ind w:left="260" w:right="200" w:hanging="255"/>
        <w:spacing w:after="0" w:line="287" w:lineRule="auto"/>
        <w:tabs>
          <w:tab w:leader="none" w:pos="26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5" w:lineRule="exact"/>
        <w:rPr>
          <w:rFonts w:ascii="Times New Roman" w:cs="Times New Roman" w:eastAsia="Times New Roman" w:hAnsi="Times New Roman"/>
          <w:sz w:val="14"/>
          <w:szCs w:val="14"/>
          <w:color w:val="auto"/>
        </w:rPr>
      </w:pPr>
    </w:p>
    <w:p>
      <w:pPr>
        <w:ind w:left="260" w:right="60" w:hanging="255"/>
        <w:spacing w:after="0" w:line="287" w:lineRule="auto"/>
        <w:tabs>
          <w:tab w:leader="none" w:pos="26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5" w:lineRule="exact"/>
        <w:rPr>
          <w:rFonts w:ascii="Times New Roman" w:cs="Times New Roman" w:eastAsia="Times New Roman" w:hAnsi="Times New Roman"/>
          <w:sz w:val="14"/>
          <w:szCs w:val="14"/>
          <w:color w:val="auto"/>
        </w:rPr>
      </w:pPr>
    </w:p>
    <w:p>
      <w:pPr>
        <w:ind w:left="520" w:right="100" w:hanging="260"/>
        <w:spacing w:after="0" w:line="287" w:lineRule="auto"/>
        <w:tabs>
          <w:tab w:leader="none" w:pos="513" w:val="left"/>
        </w:tabs>
        <w:numPr>
          <w:ilvl w:val="1"/>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5" w:lineRule="exact"/>
        <w:rPr>
          <w:rFonts w:ascii="Times New Roman" w:cs="Times New Roman" w:eastAsia="Times New Roman" w:hAnsi="Times New Roman"/>
          <w:sz w:val="14"/>
          <w:szCs w:val="14"/>
          <w:color w:val="auto"/>
        </w:rPr>
      </w:pPr>
    </w:p>
    <w:p>
      <w:pPr>
        <w:ind w:left="520" w:right="540" w:hanging="260"/>
        <w:spacing w:after="0" w:line="287" w:lineRule="auto"/>
        <w:tabs>
          <w:tab w:leader="none" w:pos="510" w:val="left"/>
        </w:tabs>
        <w:numPr>
          <w:ilvl w:val="1"/>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5" w:lineRule="exact"/>
        <w:rPr>
          <w:rFonts w:ascii="Times New Roman" w:cs="Times New Roman" w:eastAsia="Times New Roman" w:hAnsi="Times New Roman"/>
          <w:sz w:val="14"/>
          <w:szCs w:val="14"/>
          <w:color w:val="auto"/>
        </w:rPr>
      </w:pPr>
    </w:p>
    <w:p>
      <w:pPr>
        <w:ind w:left="520" w:right="20" w:hanging="260"/>
        <w:spacing w:after="0" w:line="287" w:lineRule="auto"/>
        <w:tabs>
          <w:tab w:leader="none" w:pos="513" w:val="left"/>
        </w:tabs>
        <w:numPr>
          <w:ilvl w:val="1"/>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5" w:lineRule="exact"/>
        <w:rPr>
          <w:rFonts w:ascii="Times New Roman" w:cs="Times New Roman" w:eastAsia="Times New Roman" w:hAnsi="Times New Roman"/>
          <w:sz w:val="14"/>
          <w:szCs w:val="14"/>
          <w:color w:val="auto"/>
        </w:rPr>
      </w:pPr>
    </w:p>
    <w:p>
      <w:pPr>
        <w:ind w:left="520" w:right="120" w:hanging="260"/>
        <w:spacing w:after="0" w:line="287" w:lineRule="auto"/>
        <w:tabs>
          <w:tab w:leader="none" w:pos="510" w:val="left"/>
        </w:tabs>
        <w:numPr>
          <w:ilvl w:val="1"/>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45" w:lineRule="exact"/>
        <w:rPr>
          <w:rFonts w:ascii="Times New Roman" w:cs="Times New Roman" w:eastAsia="Times New Roman" w:hAnsi="Times New Roman"/>
          <w:sz w:val="14"/>
          <w:szCs w:val="14"/>
          <w:color w:val="auto"/>
        </w:rPr>
      </w:pPr>
    </w:p>
    <w:p>
      <w:pPr>
        <w:ind w:left="260" w:hanging="255"/>
        <w:spacing w:after="0" w:line="287" w:lineRule="auto"/>
        <w:tabs>
          <w:tab w:leader="none" w:pos="26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5" w:lineRule="exact"/>
        <w:rPr>
          <w:rFonts w:ascii="Times New Roman" w:cs="Times New Roman" w:eastAsia="Times New Roman" w:hAnsi="Times New Roman"/>
          <w:sz w:val="14"/>
          <w:szCs w:val="14"/>
          <w:color w:val="auto"/>
        </w:rPr>
      </w:pPr>
    </w:p>
    <w:p>
      <w:pPr>
        <w:ind w:left="520" w:hanging="260"/>
        <w:spacing w:after="0" w:line="287" w:lineRule="auto"/>
        <w:tabs>
          <w:tab w:leader="none" w:pos="513" w:val="left"/>
        </w:tabs>
        <w:numPr>
          <w:ilvl w:val="1"/>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5" w:lineRule="exact"/>
        <w:rPr>
          <w:rFonts w:ascii="Times New Roman" w:cs="Times New Roman" w:eastAsia="Times New Roman" w:hAnsi="Times New Roman"/>
          <w:sz w:val="14"/>
          <w:szCs w:val="14"/>
          <w:color w:val="auto"/>
        </w:rPr>
      </w:pPr>
    </w:p>
    <w:p>
      <w:pPr>
        <w:ind w:left="500" w:hanging="240"/>
        <w:spacing w:after="0"/>
        <w:tabs>
          <w:tab w:leader="none" w:pos="500" w:val="left"/>
        </w:tabs>
        <w:numPr>
          <w:ilvl w:val="1"/>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fraud, whether or not material, that involves management or other employees who have a significant role in the registrant’s internal control over financial reporting.</w:t>
      </w:r>
    </w:p>
    <w:p>
      <w:pPr>
        <w:spacing w:after="0" w:line="41" w:lineRule="exact"/>
        <w:rPr>
          <w:sz w:val="20"/>
          <w:szCs w:val="20"/>
          <w:color w:val="auto"/>
        </w:rPr>
      </w:pPr>
    </w:p>
    <w:p>
      <w:pPr>
        <w:ind w:left="20"/>
        <w:spacing w:after="0"/>
        <w:tabs>
          <w:tab w:leader="none" w:pos="720" w:val="left"/>
        </w:tabs>
        <w:rPr>
          <w:sz w:val="20"/>
          <w:szCs w:val="20"/>
          <w:color w:val="auto"/>
        </w:rPr>
      </w:pPr>
      <w:r>
        <w:rPr>
          <w:rFonts w:ascii="Times New Roman" w:cs="Times New Roman" w:eastAsia="Times New Roman" w:hAnsi="Times New Roman"/>
          <w:sz w:val="14"/>
          <w:szCs w:val="14"/>
          <w:color w:val="auto"/>
        </w:rPr>
        <w:t>Date:</w:t>
      </w:r>
      <w:r>
        <w:rPr>
          <w:sz w:val="20"/>
          <w:szCs w:val="20"/>
          <w:color w:val="auto"/>
        </w:rPr>
        <w:tab/>
      </w:r>
      <w:r>
        <w:rPr>
          <w:rFonts w:ascii="Times New Roman" w:cs="Times New Roman" w:eastAsia="Times New Roman" w:hAnsi="Times New Roman"/>
          <w:sz w:val="14"/>
          <w:szCs w:val="14"/>
          <w:color w:val="auto"/>
        </w:rPr>
        <w:t>February 28, 2025</w:t>
      </w:r>
    </w:p>
    <w:p>
      <w:pPr>
        <w:spacing w:after="0" w:line="10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/s/ Daniel S. Peyovich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wp:posOffset>
            </wp:positionV>
            <wp:extent cx="2836545" cy="698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53">
                      <a:extLst>
                        <a:ext uri="{28A0092B-C50C-407E-A947-70E740481C1C}"/>
                      </a:extLst>
                    </a:blip>
                    <a:srcRect/>
                    <a:stretch>
                      <a:fillRect/>
                    </a:stretch>
                  </pic:blipFill>
                  <pic:spPr bwMode="auto">
                    <a:xfrm>
                      <a:off x="0" y="0"/>
                      <a:ext cx="2836545" cy="6985"/>
                    </a:xfrm>
                    <a:prstGeom prst="rect">
                      <a:avLst/>
                    </a:prstGeom>
                    <a:noFill/>
                  </pic:spPr>
                </pic:pic>
              </a:graphicData>
            </a:graphic>
          </wp:anchor>
        </w:drawing>
      </w:r>
    </w:p>
    <w:p>
      <w:pPr>
        <w:spacing w:after="0" w:line="1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Daniel S. Peyovich</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President and Chief Executive Officer</w:t>
      </w:r>
    </w:p>
    <w:p>
      <w:pPr>
        <w:sectPr>
          <w:pgSz w:w="11900" w:h="16838" w:orient="portrait"/>
          <w:cols w:equalWidth="0" w:num="1">
            <w:col w:w="11280"/>
          </w:cols>
          <w:pgMar w:left="300" w:top="123" w:right="319" w:bottom="1440" w:gutter="0" w:footer="0" w:header="0"/>
        </w:sectPr>
      </w:pPr>
    </w:p>
    <w:bookmarkStart w:id="99" w:name="page100"/>
    <w:bookmarkEnd w:id="99"/>
    <w:p>
      <w:pPr>
        <w:jc w:val="right"/>
        <w:spacing w:after="0"/>
        <w:rPr>
          <w:sz w:val="20"/>
          <w:szCs w:val="20"/>
          <w:color w:val="auto"/>
        </w:rPr>
      </w:pPr>
      <w:r>
        <w:rPr>
          <w:rFonts w:ascii="Times New Roman" w:cs="Times New Roman" w:eastAsia="Times New Roman" w:hAnsi="Times New Roman"/>
          <w:sz w:val="14"/>
          <w:szCs w:val="14"/>
          <w:b w:val="1"/>
          <w:bCs w:val="1"/>
          <w:color w:val="auto"/>
        </w:rPr>
        <w:t>Exhibit 31.2</w:t>
      </w: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DYCOM INDUSTRIES,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CERTIFICATIONS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RULES 13A-14(A) OR 15D-14(A) UNDER THE SECURITIES EXCHANGE ACT OF 1934, AS AMENDED,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AS ADOPTED PURSUANT TO SECTION 302 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THE SARBANES-OXLEY ACT OF 2002</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CERTIFICATION OF CHIEF FINANCIAL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 H. Andrew DeFerrari, certify that:</w:t>
      </w:r>
    </w:p>
    <w:p>
      <w:pPr>
        <w:spacing w:after="0" w:line="185" w:lineRule="exact"/>
        <w:rPr>
          <w:sz w:val="20"/>
          <w:szCs w:val="20"/>
          <w:color w:val="auto"/>
        </w:rPr>
      </w:pPr>
    </w:p>
    <w:p>
      <w:pPr>
        <w:ind w:left="260" w:hanging="255"/>
        <w:spacing w:after="0"/>
        <w:tabs>
          <w:tab w:leader="none" w:pos="26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have reviewed this Annual Report on Form 10-K of Dycom Industries, Inc.;</w:t>
      </w:r>
    </w:p>
    <w:p>
      <w:pPr>
        <w:spacing w:after="0" w:line="199" w:lineRule="exact"/>
        <w:rPr>
          <w:rFonts w:ascii="Times New Roman" w:cs="Times New Roman" w:eastAsia="Times New Roman" w:hAnsi="Times New Roman"/>
          <w:sz w:val="14"/>
          <w:szCs w:val="14"/>
          <w:color w:val="auto"/>
        </w:rPr>
      </w:pPr>
    </w:p>
    <w:p>
      <w:pPr>
        <w:ind w:left="260" w:right="140" w:hanging="255"/>
        <w:spacing w:after="0" w:line="287" w:lineRule="auto"/>
        <w:tabs>
          <w:tab w:leader="none" w:pos="26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5" w:lineRule="exact"/>
        <w:rPr>
          <w:rFonts w:ascii="Times New Roman" w:cs="Times New Roman" w:eastAsia="Times New Roman" w:hAnsi="Times New Roman"/>
          <w:sz w:val="14"/>
          <w:szCs w:val="14"/>
          <w:color w:val="auto"/>
        </w:rPr>
      </w:pPr>
    </w:p>
    <w:p>
      <w:pPr>
        <w:ind w:left="260" w:right="200" w:hanging="255"/>
        <w:spacing w:after="0" w:line="287" w:lineRule="auto"/>
        <w:tabs>
          <w:tab w:leader="none" w:pos="26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5" w:lineRule="exact"/>
        <w:rPr>
          <w:rFonts w:ascii="Times New Roman" w:cs="Times New Roman" w:eastAsia="Times New Roman" w:hAnsi="Times New Roman"/>
          <w:sz w:val="14"/>
          <w:szCs w:val="14"/>
          <w:color w:val="auto"/>
        </w:rPr>
      </w:pPr>
    </w:p>
    <w:p>
      <w:pPr>
        <w:ind w:left="260" w:right="60" w:hanging="255"/>
        <w:spacing w:after="0" w:line="287" w:lineRule="auto"/>
        <w:tabs>
          <w:tab w:leader="none" w:pos="26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5" w:lineRule="exact"/>
        <w:rPr>
          <w:rFonts w:ascii="Times New Roman" w:cs="Times New Roman" w:eastAsia="Times New Roman" w:hAnsi="Times New Roman"/>
          <w:sz w:val="14"/>
          <w:szCs w:val="14"/>
          <w:color w:val="auto"/>
        </w:rPr>
      </w:pPr>
    </w:p>
    <w:p>
      <w:pPr>
        <w:ind w:left="520" w:right="100" w:hanging="260"/>
        <w:spacing w:after="0" w:line="287" w:lineRule="auto"/>
        <w:tabs>
          <w:tab w:leader="none" w:pos="513" w:val="left"/>
        </w:tabs>
        <w:numPr>
          <w:ilvl w:val="1"/>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5" w:lineRule="exact"/>
        <w:rPr>
          <w:rFonts w:ascii="Times New Roman" w:cs="Times New Roman" w:eastAsia="Times New Roman" w:hAnsi="Times New Roman"/>
          <w:sz w:val="14"/>
          <w:szCs w:val="14"/>
          <w:color w:val="auto"/>
        </w:rPr>
      </w:pPr>
    </w:p>
    <w:p>
      <w:pPr>
        <w:ind w:left="520" w:right="540" w:hanging="260"/>
        <w:spacing w:after="0" w:line="287" w:lineRule="auto"/>
        <w:tabs>
          <w:tab w:leader="none" w:pos="510" w:val="left"/>
        </w:tabs>
        <w:numPr>
          <w:ilvl w:val="1"/>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5" w:lineRule="exact"/>
        <w:rPr>
          <w:rFonts w:ascii="Times New Roman" w:cs="Times New Roman" w:eastAsia="Times New Roman" w:hAnsi="Times New Roman"/>
          <w:sz w:val="14"/>
          <w:szCs w:val="14"/>
          <w:color w:val="auto"/>
        </w:rPr>
      </w:pPr>
    </w:p>
    <w:p>
      <w:pPr>
        <w:ind w:left="520" w:right="20" w:hanging="260"/>
        <w:spacing w:after="0" w:line="287" w:lineRule="auto"/>
        <w:tabs>
          <w:tab w:leader="none" w:pos="513" w:val="left"/>
        </w:tabs>
        <w:numPr>
          <w:ilvl w:val="1"/>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5" w:lineRule="exact"/>
        <w:rPr>
          <w:rFonts w:ascii="Times New Roman" w:cs="Times New Roman" w:eastAsia="Times New Roman" w:hAnsi="Times New Roman"/>
          <w:sz w:val="14"/>
          <w:szCs w:val="14"/>
          <w:color w:val="auto"/>
        </w:rPr>
      </w:pPr>
    </w:p>
    <w:p>
      <w:pPr>
        <w:ind w:left="520" w:right="120" w:hanging="260"/>
        <w:spacing w:after="0" w:line="287" w:lineRule="auto"/>
        <w:tabs>
          <w:tab w:leader="none" w:pos="510" w:val="left"/>
        </w:tabs>
        <w:numPr>
          <w:ilvl w:val="1"/>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45" w:lineRule="exact"/>
        <w:rPr>
          <w:rFonts w:ascii="Times New Roman" w:cs="Times New Roman" w:eastAsia="Times New Roman" w:hAnsi="Times New Roman"/>
          <w:sz w:val="14"/>
          <w:szCs w:val="14"/>
          <w:color w:val="auto"/>
        </w:rPr>
      </w:pPr>
    </w:p>
    <w:p>
      <w:pPr>
        <w:ind w:left="260" w:hanging="255"/>
        <w:spacing w:after="0" w:line="287" w:lineRule="auto"/>
        <w:tabs>
          <w:tab w:leader="none" w:pos="26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5" w:lineRule="exact"/>
        <w:rPr>
          <w:rFonts w:ascii="Times New Roman" w:cs="Times New Roman" w:eastAsia="Times New Roman" w:hAnsi="Times New Roman"/>
          <w:sz w:val="14"/>
          <w:szCs w:val="14"/>
          <w:color w:val="auto"/>
        </w:rPr>
      </w:pPr>
    </w:p>
    <w:p>
      <w:pPr>
        <w:ind w:left="520" w:hanging="260"/>
        <w:spacing w:after="0" w:line="287" w:lineRule="auto"/>
        <w:tabs>
          <w:tab w:leader="none" w:pos="513" w:val="left"/>
        </w:tabs>
        <w:numPr>
          <w:ilvl w:val="1"/>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5" w:lineRule="exact"/>
        <w:rPr>
          <w:rFonts w:ascii="Times New Roman" w:cs="Times New Roman" w:eastAsia="Times New Roman" w:hAnsi="Times New Roman"/>
          <w:sz w:val="14"/>
          <w:szCs w:val="14"/>
          <w:color w:val="auto"/>
        </w:rPr>
      </w:pPr>
    </w:p>
    <w:p>
      <w:pPr>
        <w:ind w:left="500" w:hanging="240"/>
        <w:spacing w:after="0"/>
        <w:tabs>
          <w:tab w:leader="none" w:pos="500" w:val="left"/>
        </w:tabs>
        <w:numPr>
          <w:ilvl w:val="1"/>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fraud, whether or not material, that involves management or other employees who have a significant role in the registrant’s internal control over financial reporting.</w:t>
      </w:r>
    </w:p>
    <w:p>
      <w:pPr>
        <w:spacing w:after="0" w:line="41" w:lineRule="exact"/>
        <w:rPr>
          <w:sz w:val="20"/>
          <w:szCs w:val="20"/>
          <w:color w:val="auto"/>
        </w:rPr>
      </w:pPr>
    </w:p>
    <w:p>
      <w:pPr>
        <w:ind w:left="20"/>
        <w:spacing w:after="0"/>
        <w:tabs>
          <w:tab w:leader="none" w:pos="720" w:val="left"/>
        </w:tabs>
        <w:rPr>
          <w:sz w:val="20"/>
          <w:szCs w:val="20"/>
          <w:color w:val="auto"/>
        </w:rPr>
      </w:pPr>
      <w:r>
        <w:rPr>
          <w:rFonts w:ascii="Times New Roman" w:cs="Times New Roman" w:eastAsia="Times New Roman" w:hAnsi="Times New Roman"/>
          <w:sz w:val="14"/>
          <w:szCs w:val="14"/>
          <w:color w:val="auto"/>
        </w:rPr>
        <w:t>Date:</w:t>
      </w:r>
      <w:r>
        <w:rPr>
          <w:sz w:val="20"/>
          <w:szCs w:val="20"/>
          <w:color w:val="auto"/>
        </w:rPr>
        <w:tab/>
      </w:r>
      <w:r>
        <w:rPr>
          <w:rFonts w:ascii="Times New Roman" w:cs="Times New Roman" w:eastAsia="Times New Roman" w:hAnsi="Times New Roman"/>
          <w:sz w:val="14"/>
          <w:szCs w:val="14"/>
          <w:color w:val="auto"/>
        </w:rPr>
        <w:t>February 28, 2025</w:t>
      </w:r>
    </w:p>
    <w:p>
      <w:pPr>
        <w:spacing w:after="0" w:line="10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/s/ H. Andrew DeFerrari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wp:posOffset>
            </wp:positionV>
            <wp:extent cx="3105785" cy="698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54">
                      <a:extLst>
                        <a:ext uri="{28A0092B-C50C-407E-A947-70E740481C1C}"/>
                      </a:extLst>
                    </a:blip>
                    <a:srcRect/>
                    <a:stretch>
                      <a:fillRect/>
                    </a:stretch>
                  </pic:blipFill>
                  <pic:spPr bwMode="auto">
                    <a:xfrm>
                      <a:off x="0" y="0"/>
                      <a:ext cx="3105785" cy="6985"/>
                    </a:xfrm>
                    <a:prstGeom prst="rect">
                      <a:avLst/>
                    </a:prstGeom>
                    <a:noFill/>
                  </pic:spPr>
                </pic:pic>
              </a:graphicData>
            </a:graphic>
          </wp:anchor>
        </w:drawing>
      </w:r>
    </w:p>
    <w:p>
      <w:pPr>
        <w:spacing w:after="0" w:line="1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H. Andrew DeFerrari</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Senior Vice President and Chief Financial Officer</w:t>
      </w:r>
    </w:p>
    <w:p>
      <w:pPr>
        <w:sectPr>
          <w:pgSz w:w="11900" w:h="16838" w:orient="portrait"/>
          <w:cols w:equalWidth="0" w:num="1">
            <w:col w:w="11280"/>
          </w:cols>
          <w:pgMar w:left="300" w:top="123" w:right="319" w:bottom="1440" w:gutter="0" w:footer="0" w:header="0"/>
        </w:sectPr>
      </w:pPr>
    </w:p>
    <w:bookmarkStart w:id="100" w:name="page101"/>
    <w:bookmarkEnd w:id="100"/>
    <w:p>
      <w:pPr>
        <w:jc w:val="right"/>
        <w:spacing w:after="0"/>
        <w:rPr>
          <w:sz w:val="20"/>
          <w:szCs w:val="20"/>
          <w:color w:val="auto"/>
        </w:rPr>
      </w:pPr>
      <w:r>
        <w:rPr>
          <w:rFonts w:ascii="Times New Roman" w:cs="Times New Roman" w:eastAsia="Times New Roman" w:hAnsi="Times New Roman"/>
          <w:sz w:val="14"/>
          <w:szCs w:val="14"/>
          <w:b w:val="1"/>
          <w:bCs w:val="1"/>
          <w:color w:val="auto"/>
        </w:rPr>
        <w:t>Exhibit 32.1</w:t>
      </w: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DYCOM INDUSTRIES, INC.</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CERTIFICATION OF CHIEF EXECUTIVE OFFICER PURSUANT TO</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SECTION 906 OF THE SARBANES-OXLEY ACT OF 2002</w:t>
      </w:r>
    </w:p>
    <w:p>
      <w:pPr>
        <w:spacing w:after="0" w:line="376" w:lineRule="exact"/>
        <w:rPr>
          <w:sz w:val="20"/>
          <w:szCs w:val="20"/>
          <w:color w:val="auto"/>
        </w:rPr>
      </w:pPr>
    </w:p>
    <w:p>
      <w:pPr>
        <w:ind w:right="20"/>
        <w:spacing w:after="0" w:line="287" w:lineRule="auto"/>
        <w:rPr>
          <w:sz w:val="20"/>
          <w:szCs w:val="20"/>
          <w:color w:val="auto"/>
        </w:rPr>
      </w:pPr>
      <w:r>
        <w:rPr>
          <w:rFonts w:ascii="Times New Roman" w:cs="Times New Roman" w:eastAsia="Times New Roman" w:hAnsi="Times New Roman"/>
          <w:sz w:val="14"/>
          <w:szCs w:val="14"/>
          <w:color w:val="auto"/>
        </w:rPr>
        <w:t>In connection with the Annual Report of Dycom Industries, Inc. (the “Company”) on Form 10-K for the period ending January 25, 2025, as filed with the Securities and Exchange Commission on the date hereof (the “Report”), the undersigned hereby certifies that to the best of his knowledge:</w:t>
      </w:r>
    </w:p>
    <w:p>
      <w:pPr>
        <w:spacing w:after="0" w:line="145" w:lineRule="exact"/>
        <w:rPr>
          <w:sz w:val="20"/>
          <w:szCs w:val="20"/>
          <w:color w:val="auto"/>
        </w:rPr>
      </w:pPr>
    </w:p>
    <w:p>
      <w:pPr>
        <w:ind w:left="520" w:hanging="260"/>
        <w:spacing w:after="0"/>
        <w:tabs>
          <w:tab w:leader="none" w:pos="52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Report fully complies with the requirements of Section 13(a) or 15(d) of the Securities Exchange Act of 1934; and</w:t>
      </w:r>
    </w:p>
    <w:p>
      <w:pPr>
        <w:spacing w:after="0" w:line="199"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information contained in the Report fairly presents, in all material respects, the financial condition and results of operations of the Company.</w:t>
      </w:r>
    </w:p>
    <w:p>
      <w:pPr>
        <w:spacing w:after="0" w:line="41" w:lineRule="exact"/>
        <w:rPr>
          <w:sz w:val="20"/>
          <w:szCs w:val="20"/>
          <w:color w:val="auto"/>
        </w:rPr>
      </w:pPr>
    </w:p>
    <w:p>
      <w:pPr>
        <w:ind w:left="280"/>
        <w:spacing w:after="0"/>
        <w:tabs>
          <w:tab w:leader="none" w:pos="940" w:val="left"/>
        </w:tabs>
        <w:rPr>
          <w:sz w:val="20"/>
          <w:szCs w:val="20"/>
          <w:color w:val="auto"/>
        </w:rPr>
      </w:pPr>
      <w:r>
        <w:rPr>
          <w:rFonts w:ascii="Times New Roman" w:cs="Times New Roman" w:eastAsia="Times New Roman" w:hAnsi="Times New Roman"/>
          <w:sz w:val="14"/>
          <w:szCs w:val="14"/>
          <w:color w:val="auto"/>
        </w:rPr>
        <w:t>Date:</w:t>
      </w:r>
      <w:r>
        <w:rPr>
          <w:sz w:val="20"/>
          <w:szCs w:val="20"/>
          <w:color w:val="auto"/>
        </w:rPr>
        <w:tab/>
      </w:r>
      <w:r>
        <w:rPr>
          <w:rFonts w:ascii="Times New Roman" w:cs="Times New Roman" w:eastAsia="Times New Roman" w:hAnsi="Times New Roman"/>
          <w:sz w:val="14"/>
          <w:szCs w:val="14"/>
          <w:color w:val="auto"/>
        </w:rPr>
        <w:t>February 28, 2025</w:t>
      </w:r>
    </w:p>
    <w:p>
      <w:pPr>
        <w:spacing w:after="0" w:line="104"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4"/>
          <w:szCs w:val="14"/>
          <w:color w:val="auto"/>
        </w:rPr>
        <w:t>/s/ Daniel S. Peyovich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165100</wp:posOffset>
            </wp:positionH>
            <wp:positionV relativeFrom="paragraph">
              <wp:posOffset>14605</wp:posOffset>
            </wp:positionV>
            <wp:extent cx="2566670" cy="698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55">
                      <a:extLst>
                        <a:ext uri="{28A0092B-C50C-407E-A947-70E740481C1C}"/>
                      </a:extLst>
                    </a:blip>
                    <a:srcRect/>
                    <a:stretch>
                      <a:fillRect/>
                    </a:stretch>
                  </pic:blipFill>
                  <pic:spPr bwMode="auto">
                    <a:xfrm>
                      <a:off x="0" y="0"/>
                      <a:ext cx="2566670" cy="6985"/>
                    </a:xfrm>
                    <a:prstGeom prst="rect">
                      <a:avLst/>
                    </a:prstGeom>
                    <a:noFill/>
                  </pic:spPr>
                </pic:pic>
              </a:graphicData>
            </a:graphic>
          </wp:anchor>
        </w:drawing>
      </w:r>
    </w:p>
    <w:p>
      <w:pPr>
        <w:spacing w:after="0" w:line="1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4"/>
          <w:szCs w:val="14"/>
          <w:color w:val="auto"/>
        </w:rPr>
        <w:t>Daniel S. Peyovich</w:t>
      </w:r>
    </w:p>
    <w:p>
      <w:pPr>
        <w:spacing w:after="0" w:line="2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4"/>
          <w:szCs w:val="14"/>
          <w:color w:val="auto"/>
        </w:rPr>
        <w:t>President and Chief Executive Officer</w:t>
      </w:r>
    </w:p>
    <w:p>
      <w:pPr>
        <w:spacing w:after="0" w:line="270" w:lineRule="exact"/>
        <w:rPr>
          <w:sz w:val="20"/>
          <w:szCs w:val="20"/>
          <w:color w:val="auto"/>
        </w:rPr>
      </w:pPr>
    </w:p>
    <w:p>
      <w:pPr>
        <w:ind w:right="180"/>
        <w:spacing w:after="0" w:line="287" w:lineRule="auto"/>
        <w:rPr>
          <w:sz w:val="20"/>
          <w:szCs w:val="20"/>
          <w:color w:val="auto"/>
        </w:rPr>
      </w:pPr>
      <w:r>
        <w:rPr>
          <w:rFonts w:ascii="Times New Roman" w:cs="Times New Roman" w:eastAsia="Times New Roman" w:hAnsi="Times New Roman"/>
          <w:sz w:val="14"/>
          <w:szCs w:val="14"/>
          <w:color w:val="auto"/>
        </w:rPr>
        <w:t>A signed original of this written statement required by Section 1350 of Chapter 63 of Title 18 of the United States Code, as adopted pursuant to Section 906 of the Sarbanes-Oxley Act of 2002, has been provided to Dycom Industries, Inc. and will be retained by Dycom Industries, Inc. and furnished to the Securities and Exchange Commission or its staff upon request.</w:t>
      </w:r>
    </w:p>
    <w:p>
      <w:pPr>
        <w:spacing w:after="0" w:line="145" w:lineRule="exact"/>
        <w:rPr>
          <w:sz w:val="20"/>
          <w:szCs w:val="20"/>
          <w:color w:val="auto"/>
        </w:rPr>
      </w:pPr>
    </w:p>
    <w:p>
      <w:pPr>
        <w:ind w:right="160"/>
        <w:spacing w:after="0" w:line="270" w:lineRule="auto"/>
        <w:rPr>
          <w:sz w:val="20"/>
          <w:szCs w:val="20"/>
          <w:color w:val="auto"/>
        </w:rPr>
      </w:pPr>
      <w:r>
        <w:rPr>
          <w:rFonts w:ascii="Times New Roman" w:cs="Times New Roman" w:eastAsia="Times New Roman" w:hAnsi="Times New Roman"/>
          <w:sz w:val="14"/>
          <w:szCs w:val="14"/>
          <w:color w:val="auto"/>
        </w:rPr>
        <w:t>This certification will not be deemed “filed” for purposes of Section 18 of the Securities Exchange Act of 1934, or otherwise subject to the liability of that section. This certification will not be deemed to be incorporated by reference into any filing under the Securities Act of 1933 or the Securities Exchange Act of 1934 even if the document with which it is submitted to the Securities and Exchange Commission is so incorporated by reference.</w:t>
      </w:r>
    </w:p>
    <w:p>
      <w:pPr>
        <w:sectPr>
          <w:pgSz w:w="11900" w:h="16838" w:orient="portrait"/>
          <w:cols w:equalWidth="0" w:num="1">
            <w:col w:w="11280"/>
          </w:cols>
          <w:pgMar w:left="300" w:top="123" w:right="319" w:bottom="1440" w:gutter="0" w:footer="0" w:header="0"/>
        </w:sectPr>
      </w:pPr>
    </w:p>
    <w:bookmarkStart w:id="101" w:name="page102"/>
    <w:bookmarkEnd w:id="101"/>
    <w:p>
      <w:pPr>
        <w:jc w:val="right"/>
        <w:spacing w:after="0"/>
        <w:rPr>
          <w:sz w:val="20"/>
          <w:szCs w:val="20"/>
          <w:color w:val="auto"/>
        </w:rPr>
      </w:pPr>
      <w:r>
        <w:rPr>
          <w:rFonts w:ascii="Times New Roman" w:cs="Times New Roman" w:eastAsia="Times New Roman" w:hAnsi="Times New Roman"/>
          <w:sz w:val="14"/>
          <w:szCs w:val="14"/>
          <w:b w:val="1"/>
          <w:bCs w:val="1"/>
          <w:color w:val="auto"/>
        </w:rPr>
        <w:t>Exhibit 32.2</w:t>
      </w: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DYCOM INDUSTRIES, INC.</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CERTIFICATION OF CHIEF FINANCIAL OFFICER PURSUANT TO</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SECTION 906 OF THE SARBANES-OXLEY ACT OF 2002</w:t>
      </w:r>
    </w:p>
    <w:p>
      <w:pPr>
        <w:spacing w:after="0" w:line="376" w:lineRule="exact"/>
        <w:rPr>
          <w:sz w:val="20"/>
          <w:szCs w:val="20"/>
          <w:color w:val="auto"/>
        </w:rPr>
      </w:pPr>
    </w:p>
    <w:p>
      <w:pPr>
        <w:ind w:right="20"/>
        <w:spacing w:after="0" w:line="287" w:lineRule="auto"/>
        <w:rPr>
          <w:sz w:val="20"/>
          <w:szCs w:val="20"/>
          <w:color w:val="auto"/>
        </w:rPr>
      </w:pPr>
      <w:r>
        <w:rPr>
          <w:rFonts w:ascii="Times New Roman" w:cs="Times New Roman" w:eastAsia="Times New Roman" w:hAnsi="Times New Roman"/>
          <w:sz w:val="14"/>
          <w:szCs w:val="14"/>
          <w:color w:val="auto"/>
        </w:rPr>
        <w:t>In connection with the Annual Report of Dycom Industries, Inc. (the “Company”) on Form 10-K for the period ending January 25, 2025, as filed with the Securities and Exchange Commission on the date hereof (the “Report”), the undersigned hereby certifies that to the best of his knowledge:</w:t>
      </w:r>
    </w:p>
    <w:p>
      <w:pPr>
        <w:spacing w:after="0" w:line="145" w:lineRule="exact"/>
        <w:rPr>
          <w:sz w:val="20"/>
          <w:szCs w:val="20"/>
          <w:color w:val="auto"/>
        </w:rPr>
      </w:pPr>
    </w:p>
    <w:p>
      <w:pPr>
        <w:ind w:left="520" w:hanging="260"/>
        <w:spacing w:after="0"/>
        <w:tabs>
          <w:tab w:leader="none" w:pos="52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Report fully complies with the requirements of Section 13(a) or 15(d) of the Securities Exchange Act of 1934; and</w:t>
      </w:r>
    </w:p>
    <w:p>
      <w:pPr>
        <w:spacing w:after="0" w:line="199"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information contained in the Report fairly presents, in all material respects, the financial condition and results of operations of the Company.</w:t>
      </w:r>
    </w:p>
    <w:p>
      <w:pPr>
        <w:spacing w:after="0" w:line="41" w:lineRule="exact"/>
        <w:rPr>
          <w:sz w:val="20"/>
          <w:szCs w:val="20"/>
          <w:color w:val="auto"/>
        </w:rPr>
      </w:pPr>
    </w:p>
    <w:p>
      <w:pPr>
        <w:ind w:left="20"/>
        <w:spacing w:after="0"/>
        <w:tabs>
          <w:tab w:leader="none" w:pos="720" w:val="left"/>
        </w:tabs>
        <w:rPr>
          <w:sz w:val="20"/>
          <w:szCs w:val="20"/>
          <w:color w:val="auto"/>
        </w:rPr>
      </w:pPr>
      <w:r>
        <w:rPr>
          <w:rFonts w:ascii="Times New Roman" w:cs="Times New Roman" w:eastAsia="Times New Roman" w:hAnsi="Times New Roman"/>
          <w:sz w:val="14"/>
          <w:szCs w:val="14"/>
          <w:color w:val="auto"/>
        </w:rPr>
        <w:t>Date:</w:t>
      </w:r>
      <w:r>
        <w:rPr>
          <w:sz w:val="20"/>
          <w:szCs w:val="20"/>
          <w:color w:val="auto"/>
        </w:rPr>
        <w:tab/>
      </w:r>
      <w:r>
        <w:rPr>
          <w:rFonts w:ascii="Times New Roman" w:cs="Times New Roman" w:eastAsia="Times New Roman" w:hAnsi="Times New Roman"/>
          <w:sz w:val="14"/>
          <w:szCs w:val="14"/>
          <w:color w:val="auto"/>
        </w:rPr>
        <w:t>February 28, 2025</w:t>
      </w:r>
    </w:p>
    <w:p>
      <w:pPr>
        <w:spacing w:after="0" w:line="10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/s/ H. Andrew DeFerrari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wp:posOffset>
            </wp:positionV>
            <wp:extent cx="3105785" cy="698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56">
                      <a:extLst>
                        <a:ext uri="{28A0092B-C50C-407E-A947-70E740481C1C}"/>
                      </a:extLst>
                    </a:blip>
                    <a:srcRect/>
                    <a:stretch>
                      <a:fillRect/>
                    </a:stretch>
                  </pic:blipFill>
                  <pic:spPr bwMode="auto">
                    <a:xfrm>
                      <a:off x="0" y="0"/>
                      <a:ext cx="3105785" cy="6985"/>
                    </a:xfrm>
                    <a:prstGeom prst="rect">
                      <a:avLst/>
                    </a:prstGeom>
                    <a:noFill/>
                  </pic:spPr>
                </pic:pic>
              </a:graphicData>
            </a:graphic>
          </wp:anchor>
        </w:drawing>
      </w:r>
    </w:p>
    <w:p>
      <w:pPr>
        <w:spacing w:after="0" w:line="1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H. Andrew DeFerrari</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Senior Vice President and Chief Financial Officer</w:t>
      </w:r>
    </w:p>
    <w:p>
      <w:pPr>
        <w:spacing w:after="0" w:line="270" w:lineRule="exact"/>
        <w:rPr>
          <w:sz w:val="20"/>
          <w:szCs w:val="20"/>
          <w:color w:val="auto"/>
        </w:rPr>
      </w:pPr>
    </w:p>
    <w:p>
      <w:pPr>
        <w:ind w:right="180"/>
        <w:spacing w:after="0" w:line="287" w:lineRule="auto"/>
        <w:rPr>
          <w:sz w:val="20"/>
          <w:szCs w:val="20"/>
          <w:color w:val="auto"/>
        </w:rPr>
      </w:pPr>
      <w:r>
        <w:rPr>
          <w:rFonts w:ascii="Times New Roman" w:cs="Times New Roman" w:eastAsia="Times New Roman" w:hAnsi="Times New Roman"/>
          <w:sz w:val="14"/>
          <w:szCs w:val="14"/>
          <w:color w:val="auto"/>
        </w:rPr>
        <w:t>A signed original of this written statement required by Section 1350 of Chapter 63 of Title 18 of the United States Code, as adopted pursuant to Section 906 of the Sarbanes-Oxley Act of 2002, has been provided to Dycom Industries, Inc. and will be retained by Dycom Industries, Inc. and furnished to the Securities and Exchange Commission or its staff upon request.</w:t>
      </w:r>
    </w:p>
    <w:p>
      <w:pPr>
        <w:spacing w:after="0" w:line="145" w:lineRule="exact"/>
        <w:rPr>
          <w:sz w:val="20"/>
          <w:szCs w:val="20"/>
          <w:color w:val="auto"/>
        </w:rPr>
      </w:pPr>
    </w:p>
    <w:p>
      <w:pPr>
        <w:ind w:right="160"/>
        <w:spacing w:after="0" w:line="270" w:lineRule="auto"/>
        <w:rPr>
          <w:sz w:val="20"/>
          <w:szCs w:val="20"/>
          <w:color w:val="auto"/>
        </w:rPr>
      </w:pPr>
      <w:r>
        <w:rPr>
          <w:rFonts w:ascii="Times New Roman" w:cs="Times New Roman" w:eastAsia="Times New Roman" w:hAnsi="Times New Roman"/>
          <w:sz w:val="14"/>
          <w:szCs w:val="14"/>
          <w:color w:val="auto"/>
        </w:rPr>
        <w:t>This certification will not be deemed “filed” for purposes of Section 18 of the Securities Exchange Act of 1934, or otherwise subject to the liability of that section. This certification will not be deemed to be incorporated by reference into any filing under the Securities Act of 1933 or the Securities Exchange Act of 1934 even if the document with which it is submitted to the Securities and Exchange Commission is so incorporated by reference.</w:t>
      </w:r>
    </w:p>
    <w:sectPr>
      <w:pgSz w:w="11900" w:h="16838" w:orient="portrait"/>
      <w:cols w:equalWidth="0" w:num="1">
        <w:col w:w="11280"/>
      </w:cols>
      <w:pgMar w:left="300" w:top="123"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DED7263"/>
    <w:multiLevelType w:val="hybridMultilevel"/>
    <w:lvl w:ilvl="0">
      <w:lvlJc w:val="left"/>
      <w:lvlText w:val="☒"/>
      <w:numFmt w:val="bullet"/>
      <w:start w:val="1"/>
    </w:lvl>
  </w:abstractNum>
  <w:abstractNum w:abstractNumId="1">
    <w:nsid w:val="7FDCC233"/>
    <w:multiLevelType w:val="hybridMultilevel"/>
    <w:lvl w:ilvl="0">
      <w:lvlJc w:val="left"/>
      <w:lvlText w:val="☐"/>
      <w:numFmt w:val="bullet"/>
      <w:start w:val="1"/>
    </w:lvl>
  </w:abstractNum>
  <w:abstractNum w:abstractNumId="2">
    <w:nsid w:val="1BEFD79F"/>
    <w:multiLevelType w:val="hybridMultilevel"/>
    <w:lvl w:ilvl="0">
      <w:lvlJc w:val="left"/>
      <w:lvlText w:val="•"/>
      <w:numFmt w:val="bullet"/>
      <w:start w:val="1"/>
    </w:lvl>
  </w:abstractNum>
  <w:abstractNum w:abstractNumId="3">
    <w:nsid w:val="41A7C4C9"/>
    <w:multiLevelType w:val="hybridMultilevel"/>
    <w:lvl w:ilvl="0">
      <w:lvlJc w:val="left"/>
      <w:lvlText w:val="•"/>
      <w:numFmt w:val="bullet"/>
      <w:start w:val="1"/>
    </w:lvl>
    <w:lvl w:ilvl="1">
      <w:lvlJc w:val="left"/>
      <w:lvlText w:val="•"/>
      <w:numFmt w:val="bullet"/>
      <w:start w:val="1"/>
    </w:lvl>
  </w:abstractNum>
  <w:abstractNum w:abstractNumId="4">
    <w:nsid w:val="6B68079A"/>
    <w:multiLevelType w:val="hybridMultilevel"/>
    <w:lvl w:ilvl="0">
      <w:lvlJc w:val="left"/>
      <w:lvlText w:val="(%1)"/>
      <w:numFmt w:val="decimal"/>
      <w:start w:val="1"/>
    </w:lvl>
  </w:abstractNum>
  <w:abstractNum w:abstractNumId="5">
    <w:nsid w:val="4E6AFB66"/>
    <w:multiLevelType w:val="hybridMultilevel"/>
    <w:lvl w:ilvl="0">
      <w:lvlJc w:val="left"/>
      <w:lvlText w:val="(%1)"/>
      <w:numFmt w:val="decimal"/>
      <w:start w:val="1"/>
    </w:lvl>
  </w:abstractNum>
  <w:abstractNum w:abstractNumId="6">
    <w:nsid w:val="25E45D32"/>
    <w:multiLevelType w:val="hybridMultilevel"/>
    <w:lvl w:ilvl="0">
      <w:lvlJc w:val="left"/>
      <w:lvlText w:val="(%1)"/>
      <w:numFmt w:val="decimal"/>
      <w:start w:val="1"/>
    </w:lvl>
  </w:abstractNum>
  <w:abstractNum w:abstractNumId="7">
    <w:nsid w:val="519B500D"/>
    <w:multiLevelType w:val="hybridMultilevel"/>
    <w:lvl w:ilvl="0">
      <w:lvlJc w:val="left"/>
      <w:lvlText w:val="(%1)"/>
      <w:numFmt w:val="decimal"/>
      <w:start w:val="1"/>
    </w:lvl>
  </w:abstractNum>
  <w:abstractNum w:abstractNumId="8">
    <w:nsid w:val="431BD7B7"/>
    <w:multiLevelType w:val="hybridMultilevel"/>
    <w:lvl w:ilvl="0">
      <w:lvlJc w:val="left"/>
      <w:lvlText w:val="(%1)"/>
      <w:numFmt w:val="decimal"/>
      <w:start w:val="1"/>
    </w:lvl>
  </w:abstractNum>
  <w:abstractNum w:abstractNumId="9">
    <w:nsid w:val="3F2DBA31"/>
    <w:multiLevelType w:val="hybridMultilevel"/>
    <w:lvl w:ilvl="0">
      <w:lvlJc w:val="left"/>
      <w:lvlText w:val="(%1)"/>
      <w:numFmt w:val="decimal"/>
      <w:start w:val="1"/>
    </w:lvl>
  </w:abstractNum>
  <w:abstractNum w:abstractNumId="10">
    <w:nsid w:val="7C83E458"/>
    <w:multiLevelType w:val="hybridMultilevel"/>
    <w:lvl w:ilvl="0">
      <w:lvlJc w:val="left"/>
      <w:lvlText w:val="%1."/>
      <w:numFmt w:val="decimal"/>
      <w:start w:val="10"/>
    </w:lvl>
  </w:abstractNum>
  <w:abstractNum w:abstractNumId="11">
    <w:nsid w:val="257130A3"/>
    <w:multiLevelType w:val="hybridMultilevel"/>
    <w:lvl w:ilvl="0">
      <w:lvlJc w:val="left"/>
      <w:lvlText w:val="(%1)"/>
      <w:numFmt w:val="decimal"/>
      <w:start w:val="1"/>
    </w:lvl>
  </w:abstractNum>
  <w:abstractNum w:abstractNumId="12">
    <w:nsid w:val="62BBD95A"/>
    <w:multiLevelType w:val="hybridMultilevel"/>
    <w:lvl w:ilvl="0">
      <w:lvlJc w:val="left"/>
      <w:lvlText w:val="(%1)"/>
      <w:numFmt w:val="decimal"/>
      <w:start w:val="1"/>
    </w:lvl>
  </w:abstractNum>
  <w:abstractNum w:abstractNumId="13">
    <w:nsid w:val="436C6125"/>
    <w:multiLevelType w:val="hybridMultilevel"/>
    <w:lvl w:ilvl="0">
      <w:lvlJc w:val="left"/>
      <w:lvlText w:val="(%1)"/>
      <w:numFmt w:val="decimal"/>
      <w:start w:val="1"/>
    </w:lvl>
  </w:abstractNum>
  <w:abstractNum w:abstractNumId="14">
    <w:nsid w:val="628C895D"/>
    <w:multiLevelType w:val="hybridMultilevel"/>
    <w:lvl w:ilvl="0">
      <w:lvlJc w:val="left"/>
      <w:lvlText w:val="•"/>
      <w:numFmt w:val="bullet"/>
      <w:start w:val="1"/>
    </w:lvl>
  </w:abstractNum>
  <w:abstractNum w:abstractNumId="15">
    <w:nsid w:val="333AB105"/>
    <w:multiLevelType w:val="hybridMultilevel"/>
    <w:lvl w:ilvl="0">
      <w:lvlJc w:val="left"/>
      <w:lvlText w:val="(%1)"/>
      <w:numFmt w:val="decimal"/>
      <w:start w:val="1"/>
    </w:lvl>
  </w:abstractNum>
  <w:abstractNum w:abstractNumId="16">
    <w:nsid w:val="721DA317"/>
    <w:multiLevelType w:val="hybridMultilevel"/>
    <w:lvl w:ilvl="0">
      <w:lvlJc w:val="left"/>
      <w:lvlText w:val="%1."/>
      <w:numFmt w:val="decimal"/>
      <w:start w:val="20"/>
    </w:lvl>
  </w:abstractNum>
  <w:abstractNum w:abstractNumId="17">
    <w:nsid w:val="2443A858"/>
    <w:multiLevelType w:val="hybridMultilevel"/>
    <w:lvl w:ilvl="0">
      <w:lvlJc w:val="left"/>
      <w:lvlText w:val="(%1)"/>
      <w:numFmt w:val="lowerRoman"/>
      <w:start w:val="2"/>
    </w:lvl>
  </w:abstractNum>
  <w:abstractNum w:abstractNumId="18">
    <w:nsid w:val="2D1D5AE9"/>
    <w:multiLevelType w:val="hybridMultilevel"/>
    <w:lvl w:ilvl="0">
      <w:lvlJc w:val="left"/>
      <w:lvlText w:val="(%1)"/>
      <w:numFmt w:val="lowerLetter"/>
      <w:start w:val="1"/>
    </w:lvl>
    <w:lvl w:ilvl="1">
      <w:lvlJc w:val="left"/>
      <w:lvlText w:val="%2."/>
      <w:numFmt w:val="decimal"/>
      <w:start w:val="1"/>
    </w:lvl>
  </w:abstractNum>
  <w:abstractNum w:abstractNumId="19">
    <w:nsid w:val="6763845E"/>
    <w:multiLevelType w:val="hybridMultilevel"/>
    <w:lvl w:ilvl="0">
      <w:lvlJc w:val="left"/>
      <w:lvlText w:val="%1"/>
      <w:numFmt w:val="decimal"/>
      <w:start w:val="97"/>
    </w:lvl>
  </w:abstractNum>
  <w:abstractNum w:abstractNumId="20">
    <w:nsid w:val="75A2A8D4"/>
    <w:multiLevelType w:val="hybridMultilevel"/>
    <w:lvl w:ilvl="0">
      <w:lvlJc w:val="left"/>
      <w:lvlText w:val="+"/>
      <w:numFmt w:val="bullet"/>
      <w:start w:val="1"/>
    </w:lvl>
  </w:abstractNum>
  <w:abstractNum w:abstractNumId="21">
    <w:nsid w:val="8EDBDAB"/>
    <w:multiLevelType w:val="hybridMultilevel"/>
    <w:lvl w:ilvl="0">
      <w:lvlJc w:val="left"/>
      <w:lvlText w:val="++"/>
      <w:numFmt w:val="bullet"/>
      <w:start w:val="1"/>
    </w:lvl>
  </w:abstractNum>
  <w:abstractNum w:abstractNumId="22">
    <w:nsid w:val="79838CB2"/>
    <w:multiLevelType w:val="hybridMultilevel"/>
    <w:lvl w:ilvl="0">
      <w:lvlJc w:val="left"/>
      <w:lvlText w:val="*"/>
      <w:numFmt w:val="bullet"/>
      <w:start w:val="1"/>
    </w:lvl>
  </w:abstractNum>
  <w:abstractNum w:abstractNumId="23">
    <w:nsid w:val="4353D0CD"/>
    <w:multiLevelType w:val="hybridMultilevel"/>
    <w:lvl w:ilvl="0">
      <w:lvlJc w:val="left"/>
      <w:lvlText w:val="%1."/>
      <w:numFmt w:val="decimal"/>
      <w:start w:val="1"/>
    </w:lvl>
    <w:lvl w:ilvl="1">
      <w:lvlJc w:val="left"/>
      <w:lvlText w:val="%2)"/>
      <w:numFmt w:val="lowerLetter"/>
      <w:start w:val="1"/>
    </w:lvl>
  </w:abstractNum>
  <w:abstractNum w:abstractNumId="24">
    <w:nsid w:val="B03E0C6"/>
    <w:multiLevelType w:val="hybridMultilevel"/>
    <w:lvl w:ilvl="0">
      <w:lvlJc w:val="left"/>
      <w:lvlText w:val="%1."/>
      <w:numFmt w:val="decimal"/>
      <w:start w:val="1"/>
    </w:lvl>
    <w:lvl w:ilvl="1">
      <w:lvlJc w:val="left"/>
      <w:lvlText w:val="%2)"/>
      <w:numFmt w:val="lowerLetter"/>
      <w:start w:val="1"/>
    </w:lvl>
  </w:abstractNum>
  <w:abstractNum w:abstractNumId="25">
    <w:nsid w:val="189A769B"/>
    <w:multiLevelType w:val="hybridMultilevel"/>
    <w:lvl w:ilvl="0">
      <w:lvlJc w:val="left"/>
      <w:lvlText w:val="%1."/>
      <w:numFmt w:val="decimal"/>
      <w:start w:val="1"/>
    </w:lvl>
  </w:abstractNum>
  <w:abstractNum w:abstractNumId="26">
    <w:nsid w:val="54E49EB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jpe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113" Type="http://schemas.openxmlformats.org/officeDocument/2006/relationships/image" Target="media/image89.png"/><Relationship Id="rId114" Type="http://schemas.openxmlformats.org/officeDocument/2006/relationships/image" Target="media/image90.png"/><Relationship Id="rId133" Type="http://schemas.openxmlformats.org/officeDocument/2006/relationships/image" Target="media/image91.png"/><Relationship Id="rId139" Type="http://schemas.openxmlformats.org/officeDocument/2006/relationships/image" Target="media/image92.png"/><Relationship Id="rId140" Type="http://schemas.openxmlformats.org/officeDocument/2006/relationships/image" Target="media/image93.png"/><Relationship Id="rId141" Type="http://schemas.openxmlformats.org/officeDocument/2006/relationships/image" Target="media/image94.png"/><Relationship Id="rId142" Type="http://schemas.openxmlformats.org/officeDocument/2006/relationships/image" Target="media/image95.png"/><Relationship Id="rId143" Type="http://schemas.openxmlformats.org/officeDocument/2006/relationships/image" Target="media/image96.png"/><Relationship Id="rId144" Type="http://schemas.openxmlformats.org/officeDocument/2006/relationships/image" Target="media/image97.png"/><Relationship Id="rId145" Type="http://schemas.openxmlformats.org/officeDocument/2006/relationships/image" Target="media/image98.png"/><Relationship Id="rId146" Type="http://schemas.openxmlformats.org/officeDocument/2006/relationships/image" Target="media/image99.png"/><Relationship Id="rId147" Type="http://schemas.openxmlformats.org/officeDocument/2006/relationships/image" Target="media/image100.png"/><Relationship Id="rId148" Type="http://schemas.openxmlformats.org/officeDocument/2006/relationships/image" Target="media/image101.png"/><Relationship Id="rId149" Type="http://schemas.openxmlformats.org/officeDocument/2006/relationships/image" Target="media/image102.png"/><Relationship Id="rId150" Type="http://schemas.openxmlformats.org/officeDocument/2006/relationships/image" Target="media/image103.png"/><Relationship Id="rId151" Type="http://schemas.openxmlformats.org/officeDocument/2006/relationships/image" Target="media/image104.png"/><Relationship Id="rId152" Type="http://schemas.openxmlformats.org/officeDocument/2006/relationships/image" Target="media/image105.png"/><Relationship Id="rId153" Type="http://schemas.openxmlformats.org/officeDocument/2006/relationships/image" Target="media/image106.png"/><Relationship Id="rId154" Type="http://schemas.openxmlformats.org/officeDocument/2006/relationships/image" Target="media/image107.png"/><Relationship Id="rId155" Type="http://schemas.openxmlformats.org/officeDocument/2006/relationships/image" Target="media/image108.png"/><Relationship Id="rId156" Type="http://schemas.openxmlformats.org/officeDocument/2006/relationships/image" Target="media/image109.png"/><Relationship Id="rId96" Type="http://schemas.openxmlformats.org/officeDocument/2006/relationships/hyperlink" Target="https://www.sec.gov/Archives/edgar/data/67215/000095014402006452/g76811exv3.txt" TargetMode="External"/><Relationship Id="rId97" Type="http://schemas.openxmlformats.org/officeDocument/2006/relationships/hyperlink" Target="https://www.sec.gov/ix?doc=/Archives/edgar/data/0000067215/000094787124000719/ss3778082_8k.htm" TargetMode="External"/><Relationship Id="rId98" Type="http://schemas.openxmlformats.org/officeDocument/2006/relationships/hyperlink" Target="https://www.sec.gov/Archives/edgar/data/0000067215/000006721521000026/a05indenture.htm" TargetMode="External"/><Relationship Id="rId99" Type="http://schemas.openxmlformats.org/officeDocument/2006/relationships/hyperlink" Target="https://www.sec.gov/Archives/edgar/data/67215/000006721522000011/dyfy202210kex42.htm" TargetMode="External"/><Relationship Id="rId100" Type="http://schemas.openxmlformats.org/officeDocument/2006/relationships/hyperlink" Target="https://www.sec.gov/Archives/edgar/data/67215/000006721511000035/exhibit10-1.htm" TargetMode="External"/><Relationship Id="rId101" Type="http://schemas.openxmlformats.org/officeDocument/2006/relationships/hyperlink" Target="https://www.sec.gov/Archives/edgar/data/67215/000006721512000041/exhibit103.htm" TargetMode="External"/><Relationship Id="rId102" Type="http://schemas.openxmlformats.org/officeDocument/2006/relationships/hyperlink" Target="https://www.sec.gov/Archives/edgar/data/67215/000006721512000041/exhibit104.htm" TargetMode="External"/><Relationship Id="rId103" Type="http://schemas.openxmlformats.org/officeDocument/2006/relationships/hyperlink" Target="https://www.sec.gov/Archives/edgar/data/0000067215/000006721521000010/dycomindustriesinc2012lo.htm" TargetMode="External"/><Relationship Id="rId104" Type="http://schemas.openxmlformats.org/officeDocument/2006/relationships/hyperlink" Target="https://www.sec.gov/Archives/edgar/data/67215/000006721522000011/amendmenttodycomindustri.htm" TargetMode="External"/><Relationship Id="rId105" Type="http://schemas.openxmlformats.org/officeDocument/2006/relationships/hyperlink" Target="https://www.sec.gov/Archives/edgar/data/67215/000006721522000025/dycomproxystatement.htm" TargetMode="External"/><Relationship Id="rId106" Type="http://schemas.openxmlformats.org/officeDocument/2006/relationships/hyperlink" Target="https://www.sec.gov/Archives/edgar/data/67215/000101968712004620/dycom_8k-ex1022.htm" TargetMode="External"/><Relationship Id="rId107" Type="http://schemas.openxmlformats.org/officeDocument/2006/relationships/hyperlink" Target="https://www.sec.gov/Archives/edgar/data/67215/000101968712004620/dycom_8k-ex1021.htm" TargetMode="External"/><Relationship Id="rId108" Type="http://schemas.openxmlformats.org/officeDocument/2006/relationships/hyperlink" Target="https://www.sec.gov/Archives/edgar/data/67215/000101968712004620/dycom_8k-ex1023.htm" TargetMode="External"/><Relationship Id="rId109" Type="http://schemas.openxmlformats.org/officeDocument/2006/relationships/hyperlink" Target="https://www.sec.gov/Archives/edgar/data/67215/000101968712004620/dycom_8k-ex1024.htm" TargetMode="External"/><Relationship Id="rId110" Type="http://schemas.openxmlformats.org/officeDocument/2006/relationships/hyperlink" Target="https://www.sec.gov/Archives/edgar/data/67215/000006721511000035/exhibit10-2.htm" TargetMode="External"/><Relationship Id="rId111" Type="http://schemas.openxmlformats.org/officeDocument/2006/relationships/hyperlink" Target="https://www.sec.gov/Archives/edgar/data/67215/000006721512000041/exhibit107.htm" TargetMode="External"/><Relationship Id="rId112" Type="http://schemas.openxmlformats.org/officeDocument/2006/relationships/hyperlink" Target="https://www.sec.gov/Archives/edgar/data/67215/000006721512000041/exhibit108.htm" TargetMode="External"/><Relationship Id="rId115" Type="http://schemas.openxmlformats.org/officeDocument/2006/relationships/hyperlink" Target="https://www.sec.gov/Archives/edgar/data/67215/000162612917000560/bp97933x1_def14a.htm" TargetMode="External"/><Relationship Id="rId116" Type="http://schemas.openxmlformats.org/officeDocument/2006/relationships/hyperlink" Target="https://www.sec.gov/ix?doc=/Archives/edgar/data/67215/000130817923000657/dy4130731-def14a.htm" TargetMode="External"/><Relationship Id="rId117" Type="http://schemas.openxmlformats.org/officeDocument/2006/relationships/hyperlink" Target="https://www.sec.gov/Archives/edgar/data/67215/000006721518000011/dyfy201810ktex1013.htm" TargetMode="External"/><Relationship Id="rId118" Type="http://schemas.openxmlformats.org/officeDocument/2006/relationships/hyperlink" Target="https://www.sec.gov/Archives/edgar/data/0000067215/000006721521000010/executionversionsenemplo.htm" TargetMode="External"/><Relationship Id="rId119" Type="http://schemas.openxmlformats.org/officeDocument/2006/relationships/hyperlink" Target="https://www.sec.gov/ix?doc=/Archives/edgar/data/0000067215/000094787124000569/ss3512736_8k.htm" TargetMode="External"/><Relationship Id="rId120" Type="http://schemas.openxmlformats.org/officeDocument/2006/relationships/hyperlink" Target="https://www.sec.gov/Archives/edgar/data/67215/000094787115000501/ss442542_1002.htm" TargetMode="External"/><Relationship Id="rId121" Type="http://schemas.openxmlformats.org/officeDocument/2006/relationships/hyperlink" Target="https://www.sec.gov/ix?doc=/Archives/edgar/data/0000067215/000094787124000318/ss3191503_8k.htm" TargetMode="External"/><Relationship Id="rId122" Type="http://schemas.openxmlformats.org/officeDocument/2006/relationships/hyperlink" Target="https://www.sec.gov/Archives/edgar/data/67215/000006721522000057/dyfy2023-jasontlawsonemplo.htm" TargetMode="External"/><Relationship Id="rId123" Type="http://schemas.openxmlformats.org/officeDocument/2006/relationships/hyperlink" Target="https://www.sec.gov/ix?doc=/Archives/edgar/data/0000067215/000006721525000002/dy-20250218.htm" TargetMode="External"/><Relationship Id="rId124" Type="http://schemas.openxmlformats.org/officeDocument/2006/relationships/hyperlink" Target="https://www.sec.gov/Archives/edgar/data/67215/000006721519000029/dyq2fy202010qex101.htm" TargetMode="External"/><Relationship Id="rId125" Type="http://schemas.openxmlformats.org/officeDocument/2006/relationships/hyperlink" Target="https://www.sec.gov/ix?doc=/Archives/edgar/data/0000067215/000094787124000794/ss3949877_8k.htm" TargetMode="External"/><Relationship Id="rId126" Type="http://schemas.openxmlformats.org/officeDocument/2006/relationships/hyperlink" Target="https://www.sec.gov/Archives/edgar/data/67215/000144757213000018/i12388.htm" TargetMode="External"/><Relationship Id="rId127" Type="http://schemas.openxmlformats.org/officeDocument/2006/relationships/hyperlink" Target="https://www.sec.gov/Archives/edgar/data/67215/000095012309040918/g20394exv10w22.htm" TargetMode="External"/><Relationship Id="rId128" Type="http://schemas.openxmlformats.org/officeDocument/2006/relationships/hyperlink" Target="https://www.sec.gov/Archives/edgar/data/67215/000119312512491000/d448307dex101.htm" TargetMode="External"/><Relationship Id="rId129" Type="http://schemas.openxmlformats.org/officeDocument/2006/relationships/hyperlink" Target="https://www.sec.gov/Archives/edgar/data/67215/000094787115000331/ss426988_ex1001.htm" TargetMode="External"/><Relationship Id="rId130" Type="http://schemas.openxmlformats.org/officeDocument/2006/relationships/hyperlink" Target="https://www.sec.gov/Archives/edgar/data/67215/000094787115000646/ss450466_ex1001.htm" TargetMode="External"/><Relationship Id="rId131" Type="http://schemas.openxmlformats.org/officeDocument/2006/relationships/hyperlink" Target="https://www.sec.gov/Archives/edgar/data/67215/000006721516000072/ex1014q16excreditagreement.htm" TargetMode="External"/><Relationship Id="rId132" Type="http://schemas.openxmlformats.org/officeDocument/2006/relationships/hyperlink" Target="https://www.sec.gov/Archives/edgar/data/67215/000006721516000087/ex101creditagreementfourth.htm" TargetMode="External"/><Relationship Id="rId134" Type="http://schemas.openxmlformats.org/officeDocument/2006/relationships/hyperlink" Target="https://www.sec.gov/Archives/edgar/data/67215/000006721517000014/dyq2201710qex101.htm" TargetMode="External"/><Relationship Id="rId135" Type="http://schemas.openxmlformats.org/officeDocument/2006/relationships/hyperlink" Target="https://www.sec.gov/Archives/edgar/data/67215/000094787118000828/ss111449_ex1001.htm" TargetMode="External"/><Relationship Id="rId136" Type="http://schemas.openxmlformats.org/officeDocument/2006/relationships/hyperlink" Target="https://www.sec.gov/Archives/edgar/data/0000067215/000006721521000026/dycom2021-firstamendment.htm" TargetMode="External"/><Relationship Id="rId137" Type="http://schemas.openxmlformats.org/officeDocument/2006/relationships/hyperlink" Target="https://www.sec.gov/ix?doc=/Archives/edgar/data/0000067215/000094787124000490/ss3393516_8k.htm" TargetMode="External"/><Relationship Id="rId138" Type="http://schemas.openxmlformats.org/officeDocument/2006/relationships/hyperlink" Target="https://www.sec.gov/ix?doc=/Archives/edgar/data/67215/000006721524000014/dy-20240127.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2025-02-28T08:35:48Z</dcterms:created>
  <dcterms:modified xsi:type="dcterms:W3CDTF">2025-02-28T08:35:48Z</dcterms:modified>
</cp:coreProperties>
</file>