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31" w:lineRule="exact"/>
        <w:rPr>
          <w:sz w:val="24"/>
          <w:szCs w:val="24"/>
          <w:color w:val="auto"/>
        </w:rPr>
      </w:pPr>
    </w:p>
    <w:p>
      <w:pPr>
        <w:ind w:right="1880" w:firstLine="8"/>
        <w:spacing w:after="0" w:line="286" w:lineRule="auto"/>
        <w:tabs>
          <w:tab w:leader="none" w:pos="21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May 2, 2026</w:t>
      </w:r>
    </w:p>
    <w:p>
      <w:pPr>
        <w:spacing w:after="0" w:line="290" w:lineRule="exact"/>
        <w:rPr>
          <w:sz w:val="24"/>
          <w:szCs w:val="24"/>
          <w:color w:val="auto"/>
        </w:rPr>
      </w:pPr>
    </w:p>
    <w:p>
      <w:pPr>
        <w:ind w:right="1860" w:firstLine="8"/>
        <w:spacing w:after="0" w:line="286" w:lineRule="auto"/>
        <w:tabs>
          <w:tab w:leader="none" w:pos="21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 to ________</w:t>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001-10613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u w:val="single" w:color="auto"/>
          <w:color w:val="auto"/>
        </w:rPr>
        <w:t>DYCOM INDUSTRIES, INC.</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Exact name of registrant as specified in its charter</w:t>
      </w:r>
      <w:r>
        <w:rPr>
          <w:rFonts w:ascii="Times New Roman" w:cs="Times New Roman" w:eastAsia="Times New Roman" w:hAnsi="Times New Roman"/>
          <w:sz w:val="18"/>
          <w:szCs w:val="18"/>
          <w:color w:val="auto"/>
        </w:rPr>
        <w:t>)</w:t>
      </w:r>
    </w:p>
    <w:p>
      <w:pPr>
        <w:spacing w:after="0" w:line="26" w:lineRule="exact"/>
        <w:rPr>
          <w:sz w:val="24"/>
          <w:szCs w:val="24"/>
          <w:color w:val="auto"/>
        </w:rPr>
      </w:pPr>
    </w:p>
    <w:tbl>
      <w:tblPr>
        <w:tblLayout w:type="fixed"/>
        <w:tblInd w:w="80" w:type="dxa"/>
        <w:tblCellMar>
          <w:top w:w="0" w:type="dxa"/>
          <w:left w:w="0" w:type="dxa"/>
          <w:bottom w:w="0" w:type="dxa"/>
          <w:right w:w="0" w:type="dxa"/>
        </w:tblCellMar>
      </w:tblPr>
      <w:tr>
        <w:trPr>
          <w:trHeight w:val="238"/>
        </w:trPr>
        <w:tc>
          <w:tcPr>
            <w:tcW w:w="5900" w:type="dxa"/>
            <w:vAlign w:val="bottom"/>
            <w:gridSpan w:val="2"/>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520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59-1277135</w:t>
            </w:r>
          </w:p>
        </w:tc>
      </w:tr>
      <w:tr>
        <w:trPr>
          <w:trHeight w:val="169"/>
        </w:trPr>
        <w:tc>
          <w:tcPr>
            <w:tcW w:w="39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State or other jurisdiction of incorporation or</w:t>
            </w:r>
          </w:p>
        </w:tc>
        <w:tc>
          <w:tcPr>
            <w:tcW w:w="1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I.R.S. Employer Identification No.</w:t>
            </w:r>
            <w:r>
              <w:rPr>
                <w:rFonts w:ascii="Times New Roman" w:cs="Times New Roman" w:eastAsia="Times New Roman" w:hAnsi="Times New Roman"/>
                <w:sz w:val="18"/>
                <w:szCs w:val="18"/>
                <w:color w:val="auto"/>
              </w:rPr>
              <w:t>)</w:t>
            </w:r>
          </w:p>
        </w:tc>
      </w:tr>
      <w:tr>
        <w:trPr>
          <w:trHeight w:val="236"/>
        </w:trPr>
        <w:tc>
          <w:tcPr>
            <w:tcW w:w="5900" w:type="dxa"/>
            <w:vAlign w:val="bottom"/>
            <w:gridSpan w:val="2"/>
          </w:tcPr>
          <w:p>
            <w:pPr>
              <w:jc w:val="center"/>
              <w:ind w:right="1830"/>
              <w:spacing w:after="0"/>
              <w:rPr>
                <w:sz w:val="20"/>
                <w:szCs w:val="20"/>
                <w:color w:val="auto"/>
              </w:rPr>
            </w:pPr>
            <w:r>
              <w:rPr>
                <w:rFonts w:ascii="Times New Roman" w:cs="Times New Roman" w:eastAsia="Times New Roman" w:hAnsi="Times New Roman"/>
                <w:sz w:val="18"/>
                <w:szCs w:val="18"/>
                <w:i w:val="1"/>
                <w:iCs w:val="1"/>
                <w:color w:val="auto"/>
                <w:w w:val="99"/>
              </w:rPr>
              <w:t>organization</w:t>
            </w:r>
            <w:r>
              <w:rPr>
                <w:rFonts w:ascii="Times New Roman" w:cs="Times New Roman" w:eastAsia="Times New Roman" w:hAnsi="Times New Roman"/>
                <w:sz w:val="18"/>
                <w:szCs w:val="18"/>
                <w:color w:val="auto"/>
                <w:w w:val="99"/>
              </w:rPr>
              <w:t>)</w:t>
            </w:r>
          </w:p>
        </w:tc>
        <w:tc>
          <w:tcPr>
            <w:tcW w:w="1180" w:type="dxa"/>
            <w:vAlign w:val="bottom"/>
          </w:tcPr>
          <w:p>
            <w:pPr>
              <w:spacing w:after="0"/>
              <w:rPr>
                <w:sz w:val="20"/>
                <w:szCs w:val="20"/>
                <w:color w:val="auto"/>
              </w:rPr>
            </w:pPr>
          </w:p>
        </w:tc>
        <w:tc>
          <w:tcPr>
            <w:tcW w:w="4020" w:type="dxa"/>
            <w:vAlign w:val="bottom"/>
          </w:tcPr>
          <w:p>
            <w:pPr>
              <w:spacing w:after="0"/>
              <w:rPr>
                <w:sz w:val="20"/>
                <w:szCs w:val="20"/>
                <w:color w:val="auto"/>
              </w:rPr>
            </w:pPr>
          </w:p>
        </w:tc>
      </w:tr>
      <w:tr>
        <w:trPr>
          <w:trHeight w:val="281"/>
        </w:trPr>
        <w:tc>
          <w:tcPr>
            <w:tcW w:w="3980" w:type="dxa"/>
            <w:vAlign w:val="bottom"/>
          </w:tcPr>
          <w:p>
            <w:pPr>
              <w:spacing w:after="0"/>
              <w:rPr>
                <w:sz w:val="24"/>
                <w:szCs w:val="24"/>
                <w:color w:val="auto"/>
              </w:rPr>
            </w:pPr>
          </w:p>
        </w:tc>
        <w:tc>
          <w:tcPr>
            <w:tcW w:w="712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300 Banyan Blvd., Suite 1101</w:t>
            </w:r>
          </w:p>
        </w:tc>
      </w:tr>
      <w:tr>
        <w:trPr>
          <w:trHeight w:val="238"/>
        </w:trPr>
        <w:tc>
          <w:tcPr>
            <w:tcW w:w="3980" w:type="dxa"/>
            <w:vAlign w:val="bottom"/>
          </w:tcPr>
          <w:p>
            <w:pPr>
              <w:spacing w:after="0"/>
              <w:rPr>
                <w:sz w:val="20"/>
                <w:szCs w:val="20"/>
                <w:color w:val="auto"/>
              </w:rPr>
            </w:pPr>
          </w:p>
        </w:tc>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West Palm Beach</w:t>
            </w:r>
          </w:p>
        </w:tc>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FL  33401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0</wp:posOffset>
            </wp:positionV>
            <wp:extent cx="19716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jc w:val="center"/>
        <w:ind w:right="20"/>
        <w:spacing w:after="0" w:line="23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including zip code</w:t>
      </w:r>
      <w:r>
        <w:rPr>
          <w:rFonts w:ascii="Times New Roman" w:cs="Times New Roman" w:eastAsia="Times New Roman" w:hAnsi="Times New Roman"/>
          <w:sz w:val="18"/>
          <w:szCs w:val="18"/>
          <w:color w:val="auto"/>
        </w:rPr>
        <w:t>)</w:t>
      </w: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(561) 627-7171</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Title of Each Class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3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 par value $0.33</w:t>
            </w:r>
          </w:p>
        </w:tc>
        <w:tc>
          <w:tcPr>
            <w:tcW w:w="16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1/3 per share</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DY</w:t>
            </w:r>
          </w:p>
        </w:tc>
        <w:tc>
          <w:tcPr>
            <w:tcW w:w="100" w:type="dxa"/>
            <w:vAlign w:val="bottom"/>
          </w:tcPr>
          <w:p>
            <w:pPr>
              <w:spacing w:after="0"/>
              <w:rPr>
                <w:sz w:val="20"/>
                <w:szCs w:val="20"/>
                <w:color w:val="auto"/>
              </w:rPr>
            </w:pPr>
          </w:p>
        </w:tc>
        <w:tc>
          <w:tcPr>
            <w:tcW w:w="4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 smaller reporting company, or an</w:t>
            </w:r>
          </w:p>
        </w:tc>
      </w:tr>
      <w:tr>
        <w:trPr>
          <w:trHeight w:val="216"/>
        </w:trPr>
        <w:tc>
          <w:tcPr>
            <w:tcW w:w="8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emerging growth company. See the definitions of “large accelerated filer,” “accelerated filer,” “smaller reporting</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company,” and “emerging growth</w:t>
            </w: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w:t>
            </w:r>
          </w:p>
        </w:tc>
        <w:tc>
          <w:tcPr>
            <w:tcW w:w="460" w:type="dxa"/>
            <w:vAlign w:val="bottom"/>
          </w:tcPr>
          <w:p>
            <w:pPr>
              <w:spacing w:after="0"/>
              <w:rPr>
                <w:sz w:val="18"/>
                <w:szCs w:val="18"/>
                <w:color w:val="auto"/>
              </w:rPr>
            </w:pPr>
          </w:p>
        </w:tc>
        <w:tc>
          <w:tcPr>
            <w:tcW w:w="16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Rule</w:t>
            </w:r>
          </w:p>
        </w:tc>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12b-2</w:t>
            </w:r>
          </w:p>
        </w:tc>
        <w:tc>
          <w:tcPr>
            <w:tcW w:w="21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of</w:t>
            </w:r>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w:t>
            </w:r>
          </w:p>
        </w:tc>
        <w:tc>
          <w:tcPr>
            <w:tcW w:w="640" w:type="dxa"/>
            <w:vAlign w:val="bottom"/>
          </w:tcPr>
          <w:p>
            <w:pPr>
              <w:spacing w:after="0"/>
              <w:rPr>
                <w:sz w:val="18"/>
                <w:szCs w:val="18"/>
                <w:color w:val="auto"/>
              </w:rPr>
            </w:pPr>
          </w:p>
        </w:tc>
        <w:tc>
          <w:tcPr>
            <w:tcW w:w="2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Exchange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Act.</w:t>
            </w: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500" w:type="dxa"/>
            <w:vAlign w:val="bottom"/>
          </w:tcPr>
          <w:p>
            <w:pPr>
              <w:spacing w:after="0"/>
              <w:rPr>
                <w:sz w:val="19"/>
                <w:szCs w:val="19"/>
                <w:color w:val="auto"/>
              </w:rPr>
            </w:pPr>
          </w:p>
        </w:tc>
        <w:tc>
          <w:tcPr>
            <w:tcW w:w="4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Accelerated filer</w:t>
            </w:r>
          </w:p>
        </w:tc>
        <w:tc>
          <w:tcPr>
            <w:tcW w:w="860" w:type="dxa"/>
            <w:vAlign w:val="bottom"/>
          </w:tcPr>
          <w:p>
            <w:pPr>
              <w:spacing w:after="0"/>
              <w:rPr>
                <w:sz w:val="19"/>
                <w:szCs w:val="19"/>
                <w:color w:val="auto"/>
              </w:rPr>
            </w:pPr>
          </w:p>
        </w:tc>
        <w:tc>
          <w:tcPr>
            <w:tcW w:w="216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w:t>
            </w:r>
          </w:p>
        </w:tc>
        <w:tc>
          <w:tcPr>
            <w:tcW w:w="600" w:type="dxa"/>
            <w:vAlign w:val="bottom"/>
          </w:tcPr>
          <w:p>
            <w:pPr>
              <w:spacing w:after="0"/>
              <w:rPr>
                <w:sz w:val="19"/>
                <w:szCs w:val="19"/>
                <w:color w:val="auto"/>
              </w:rPr>
            </w:pPr>
          </w:p>
        </w:tc>
        <w:tc>
          <w:tcPr>
            <w:tcW w:w="2660" w:type="dxa"/>
            <w:vAlign w:val="bottom"/>
            <w:gridSpan w:val="2"/>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w:t>
            </w:r>
          </w:p>
        </w:tc>
        <w:tc>
          <w:tcPr>
            <w:tcW w:w="580" w:type="dxa"/>
            <w:vAlign w:val="bottom"/>
          </w:tcPr>
          <w:p>
            <w:pPr>
              <w:jc w:val="right"/>
              <w:ind w:right="5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372"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There were 30,031,455 shares of common stock with a par value of $0.33 1/3 outstanding at May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3" w:right="339" w:bottom="1440" w:gutter="0" w:footer="0" w:header="0"/>
        </w:sectPr>
      </w:pPr>
    </w:p>
    <w:bookmarkStart w:id="1" w:name="page2"/>
    <w:bookmarkEnd w:id="1"/>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Dycom Industries, Inc.</w:t>
      </w:r>
    </w:p>
    <w:p>
      <w:pPr>
        <w:spacing w:after="0" w:line="31"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1120" w:type="dxa"/>
            <w:vAlign w:val="bottom"/>
            <w:gridSpan w:val="2"/>
          </w:tcPr>
          <w:p>
            <w:pPr>
              <w:spacing w:after="0"/>
              <w:rPr>
                <w:sz w:val="21"/>
                <w:szCs w:val="21"/>
                <w:color w:val="auto"/>
              </w:rPr>
            </w:pPr>
          </w:p>
        </w:tc>
        <w:tc>
          <w:tcPr>
            <w:tcW w:w="8360" w:type="dxa"/>
            <w:vAlign w:val="bottom"/>
            <w:gridSpan w:val="9"/>
          </w:tcPr>
          <w:p>
            <w:pPr>
              <w:ind w:left="500"/>
              <w:spacing w:after="0"/>
              <w:rPr>
                <w:sz w:val="20"/>
                <w:szCs w:val="20"/>
                <w:color w:val="auto"/>
              </w:rPr>
            </w:pPr>
            <w:r>
              <w:rPr>
                <w:rFonts w:ascii="Times New Roman" w:cs="Times New Roman" w:eastAsia="Times New Roman" w:hAnsi="Times New Roman"/>
                <w:sz w:val="18"/>
                <w:szCs w:val="18"/>
                <w:color w:val="0000FF"/>
              </w:rPr>
              <w:t>Financial Statements</w:t>
            </w:r>
          </w:p>
        </w:tc>
        <w:tc>
          <w:tcPr>
            <w:tcW w:w="1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120" w:type="dxa"/>
            <w:vAlign w:val="bottom"/>
            <w:gridSpan w:val="2"/>
          </w:tcPr>
          <w:p>
            <w:pPr>
              <w:spacing w:after="0"/>
              <w:rPr>
                <w:sz w:val="18"/>
                <w:szCs w:val="18"/>
                <w:color w:val="auto"/>
              </w:rPr>
            </w:pPr>
          </w:p>
        </w:tc>
        <w:tc>
          <w:tcPr>
            <w:tcW w:w="8360" w:type="dxa"/>
            <w:vAlign w:val="bottom"/>
            <w:gridSpan w:val="9"/>
          </w:tcPr>
          <w:p>
            <w:pPr>
              <w:ind w:left="50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28</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1120" w:type="dxa"/>
            <w:vAlign w:val="bottom"/>
            <w:gridSpan w:val="2"/>
          </w:tcPr>
          <w:p>
            <w:pPr>
              <w:spacing w:after="0"/>
              <w:rPr>
                <w:sz w:val="18"/>
                <w:szCs w:val="18"/>
                <w:color w:val="auto"/>
              </w:rPr>
            </w:pPr>
          </w:p>
        </w:tc>
        <w:tc>
          <w:tcPr>
            <w:tcW w:w="8360" w:type="dxa"/>
            <w:vAlign w:val="bottom"/>
            <w:gridSpan w:val="9"/>
          </w:tcPr>
          <w:p>
            <w:pPr>
              <w:ind w:left="50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39</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3520" w:type="dxa"/>
            <w:vAlign w:val="bottom"/>
            <w:tcBorders>
              <w:left w:val="single" w:sz="8" w:color="0000FF"/>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1120" w:type="dxa"/>
            <w:vAlign w:val="bottom"/>
            <w:gridSpan w:val="2"/>
          </w:tcPr>
          <w:p>
            <w:pPr>
              <w:spacing w:after="0"/>
              <w:rPr>
                <w:sz w:val="18"/>
                <w:szCs w:val="18"/>
                <w:color w:val="auto"/>
              </w:rPr>
            </w:pPr>
          </w:p>
        </w:tc>
        <w:tc>
          <w:tcPr>
            <w:tcW w:w="8360" w:type="dxa"/>
            <w:vAlign w:val="bottom"/>
            <w:gridSpan w:val="9"/>
          </w:tcPr>
          <w:p>
            <w:pPr>
              <w:ind w:left="50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40</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52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520"/>
        </w:trPr>
        <w:tc>
          <w:tcPr>
            <w:tcW w:w="100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1120" w:type="dxa"/>
            <w:vAlign w:val="bottom"/>
            <w:gridSpan w:val="2"/>
          </w:tcPr>
          <w:p>
            <w:pPr>
              <w:spacing w:after="0"/>
              <w:rPr>
                <w:sz w:val="21"/>
                <w:szCs w:val="21"/>
                <w:color w:val="auto"/>
              </w:rPr>
            </w:pPr>
          </w:p>
        </w:tc>
        <w:tc>
          <w:tcPr>
            <w:tcW w:w="8360" w:type="dxa"/>
            <w:vAlign w:val="bottom"/>
            <w:gridSpan w:val="9"/>
          </w:tcPr>
          <w:p>
            <w:pPr>
              <w:ind w:left="500"/>
              <w:spacing w:after="0"/>
              <w:rPr>
                <w:sz w:val="20"/>
                <w:szCs w:val="20"/>
                <w:color w:val="auto"/>
              </w:rPr>
            </w:pPr>
            <w:r>
              <w:rPr>
                <w:rFonts w:ascii="Times New Roman" w:cs="Times New Roman" w:eastAsia="Times New Roman" w:hAnsi="Times New Roman"/>
                <w:sz w:val="18"/>
                <w:szCs w:val="18"/>
                <w:color w:val="0000FF"/>
              </w:rPr>
              <w:t>Legal Proceedings</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41</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20" w:type="dxa"/>
            <w:vAlign w:val="bottom"/>
            <w:tcBorders>
              <w:left w:val="single" w:sz="8" w:color="0000FF"/>
            </w:tcBorders>
            <w:gridSpan w:val="3"/>
          </w:tcPr>
          <w:p>
            <w:pPr>
              <w:spacing w:after="0" w:line="20" w:lineRule="exact"/>
              <w:rPr>
                <w:sz w:val="1"/>
                <w:szCs w:val="1"/>
                <w:color w:val="auto"/>
              </w:rPr>
            </w:pPr>
          </w:p>
        </w:tc>
        <w:tc>
          <w:tcPr>
            <w:tcW w:w="352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8360" w:type="dxa"/>
            <w:vAlign w:val="bottom"/>
            <w:gridSpan w:val="9"/>
          </w:tcPr>
          <w:p>
            <w:pPr>
              <w:ind w:left="500"/>
              <w:spacing w:after="0"/>
              <w:rPr>
                <w:sz w:val="20"/>
                <w:szCs w:val="20"/>
                <w:color w:val="auto"/>
              </w:rPr>
            </w:pPr>
            <w:r>
              <w:rPr>
                <w:rFonts w:ascii="Times New Roman" w:cs="Times New Roman" w:eastAsia="Times New Roman" w:hAnsi="Times New Roman"/>
                <w:sz w:val="18"/>
                <w:szCs w:val="18"/>
                <w:color w:val="0000FF"/>
              </w:rPr>
              <w:t>Risk Factors</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41</w:t>
            </w:r>
          </w:p>
        </w:tc>
      </w:tr>
      <w:tr>
        <w:trPr>
          <w:trHeight w:val="20"/>
        </w:trPr>
        <w:tc>
          <w:tcPr>
            <w:tcW w:w="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52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000" w:type="dxa"/>
            <w:vAlign w:val="bottom"/>
          </w:tcPr>
          <w:p>
            <w:pPr>
              <w:spacing w:after="0"/>
              <w:rPr>
                <w:sz w:val="18"/>
                <w:szCs w:val="18"/>
                <w:color w:val="auto"/>
              </w:rPr>
            </w:pPr>
          </w:p>
        </w:tc>
        <w:tc>
          <w:tcPr>
            <w:tcW w:w="8360" w:type="dxa"/>
            <w:vAlign w:val="bottom"/>
            <w:gridSpan w:val="9"/>
          </w:tcPr>
          <w:p>
            <w:pPr>
              <w:ind w:left="50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41</w:t>
            </w:r>
          </w:p>
        </w:tc>
      </w:tr>
      <w:tr>
        <w:trPr>
          <w:trHeight w:val="20"/>
        </w:trPr>
        <w:tc>
          <w:tcPr>
            <w:tcW w:w="4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20" w:type="dxa"/>
            <w:vAlign w:val="bottom"/>
            <w:tcBorders>
              <w:left w:val="single" w:sz="8" w:color="0000FF"/>
            </w:tcBorders>
            <w:gridSpan w:val="3"/>
            <w:shd w:val="clear" w:color="auto" w:fill="0000FF"/>
          </w:tcPr>
          <w:p>
            <w:pPr>
              <w:spacing w:after="0" w:line="20" w:lineRule="exact"/>
              <w:rPr>
                <w:sz w:val="1"/>
                <w:szCs w:val="1"/>
                <w:color w:val="auto"/>
              </w:rPr>
            </w:pPr>
          </w:p>
        </w:tc>
        <w:tc>
          <w:tcPr>
            <w:tcW w:w="352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1120" w:type="dxa"/>
            <w:vAlign w:val="bottom"/>
            <w:gridSpan w:val="2"/>
          </w:tcPr>
          <w:p>
            <w:pPr>
              <w:spacing w:after="0"/>
              <w:rPr>
                <w:sz w:val="18"/>
                <w:szCs w:val="18"/>
                <w:color w:val="auto"/>
              </w:rPr>
            </w:pPr>
          </w:p>
        </w:tc>
        <w:tc>
          <w:tcPr>
            <w:tcW w:w="8360" w:type="dxa"/>
            <w:vAlign w:val="bottom"/>
            <w:gridSpan w:val="9"/>
          </w:tcPr>
          <w:p>
            <w:pPr>
              <w:ind w:left="500"/>
              <w:spacing w:after="0"/>
              <w:rPr>
                <w:sz w:val="20"/>
                <w:szCs w:val="20"/>
                <w:color w:val="auto"/>
              </w:rPr>
            </w:pPr>
            <w:r>
              <w:rPr>
                <w:rFonts w:ascii="Times New Roman" w:cs="Times New Roman" w:eastAsia="Times New Roman" w:hAnsi="Times New Roman"/>
                <w:sz w:val="18"/>
                <w:szCs w:val="18"/>
                <w:color w:val="0000FF"/>
              </w:rPr>
              <w:t>Other Information</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41</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540" w:type="dxa"/>
            <w:vAlign w:val="bottom"/>
            <w:tcBorders>
              <w:right w:val="single" w:sz="8" w:color="0000FF"/>
            </w:tcBorders>
            <w:gridSpan w:val="5"/>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1120" w:type="dxa"/>
            <w:vAlign w:val="bottom"/>
            <w:gridSpan w:val="2"/>
          </w:tcPr>
          <w:p>
            <w:pPr>
              <w:spacing w:after="0"/>
              <w:rPr>
                <w:sz w:val="18"/>
                <w:szCs w:val="18"/>
                <w:color w:val="auto"/>
              </w:rPr>
            </w:pPr>
          </w:p>
        </w:tc>
        <w:tc>
          <w:tcPr>
            <w:tcW w:w="8360" w:type="dxa"/>
            <w:vAlign w:val="bottom"/>
            <w:gridSpan w:val="9"/>
          </w:tcPr>
          <w:p>
            <w:pPr>
              <w:ind w:left="500"/>
              <w:spacing w:after="0"/>
              <w:rPr>
                <w:sz w:val="20"/>
                <w:szCs w:val="20"/>
                <w:color w:val="auto"/>
              </w:rPr>
            </w:pPr>
            <w:r>
              <w:rPr>
                <w:rFonts w:ascii="Times New Roman" w:cs="Times New Roman" w:eastAsia="Times New Roman" w:hAnsi="Times New Roman"/>
                <w:sz w:val="18"/>
                <w:szCs w:val="18"/>
                <w:color w:val="0000FF"/>
              </w:rPr>
              <w:t>Exhibits</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42</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79"/>
        </w:trPr>
        <w:tc>
          <w:tcPr>
            <w:tcW w:w="1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60" w:top="887" w:right="1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r>
        <w:rPr>
          <w:rFonts w:ascii="Times New Roman" w:cs="Times New Roman" w:eastAsia="Times New Roman" w:hAnsi="Times New Roman"/>
          <w:sz w:val="18"/>
          <w:szCs w:val="18"/>
          <w:b w:val="1"/>
          <w:bCs w:val="1"/>
          <w:i w:val="1"/>
          <w:iCs w:val="1"/>
          <w:color w:val="auto"/>
        </w:rPr>
        <w:t>. Financial Statements.</w:t>
      </w:r>
    </w:p>
    <w:p>
      <w:pPr>
        <w:spacing w:after="0" w:line="200" w:lineRule="exact"/>
        <w:rPr>
          <w:sz w:val="20"/>
          <w:szCs w:val="20"/>
          <w:color w:val="auto"/>
        </w:rPr>
      </w:pPr>
    </w:p>
    <w:p>
      <w:pPr>
        <w:spacing w:after="0" w:line="3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640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DYCOM INDUSTRIES, INC. AND SUBSIDIARIES</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680" w:type="dxa"/>
            <w:vAlign w:val="bottom"/>
            <w:gridSpan w:val="2"/>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4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(Dollars in thousands, except share amounts)</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4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280" w:type="dxa"/>
            <w:vAlign w:val="bottom"/>
          </w:tcPr>
          <w:p>
            <w:pPr>
              <w:spacing w:after="0"/>
              <w:rPr>
                <w:sz w:val="22"/>
                <w:szCs w:val="22"/>
                <w:color w:val="auto"/>
              </w:rPr>
            </w:pPr>
          </w:p>
        </w:tc>
        <w:tc>
          <w:tcPr>
            <w:tcW w:w="6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2"/>
                <w:szCs w:val="22"/>
                <w:color w:val="auto"/>
              </w:rPr>
            </w:pP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0" w:type="dxa"/>
            <w:vAlign w:val="bottom"/>
          </w:tcPr>
          <w:p>
            <w:pPr>
              <w:spacing w:after="0"/>
              <w:rPr>
                <w:sz w:val="1"/>
                <w:szCs w:val="1"/>
                <w:color w:val="auto"/>
              </w:rPr>
            </w:pPr>
          </w:p>
        </w:tc>
      </w:tr>
      <w:tr>
        <w:trPr>
          <w:trHeight w:val="211"/>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709,165</w:t>
            </w:r>
          </w:p>
        </w:tc>
        <w:tc>
          <w:tcPr>
            <w:tcW w:w="0" w:type="dxa"/>
            <w:vAlign w:val="bottom"/>
          </w:tcPr>
          <w:p>
            <w:pPr>
              <w:spacing w:after="0"/>
              <w:rPr>
                <w:sz w:val="1"/>
                <w:szCs w:val="1"/>
                <w:color w:val="auto"/>
              </w:rPr>
            </w:pPr>
          </w:p>
        </w:tc>
      </w:tr>
      <w:tr>
        <w:trPr>
          <w:trHeight w:val="230"/>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 (Note 6)</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1,980,558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1,696,973</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162,327</w:t>
            </w:r>
          </w:p>
        </w:tc>
        <w:tc>
          <w:tcPr>
            <w:tcW w:w="0" w:type="dxa"/>
            <w:vAlign w:val="bottom"/>
          </w:tcPr>
          <w:p>
            <w:pPr>
              <w:spacing w:after="0"/>
              <w:rPr>
                <w:sz w:val="1"/>
                <w:szCs w:val="1"/>
                <w:color w:val="auto"/>
              </w:rPr>
            </w:pPr>
          </w:p>
        </w:tc>
      </w:tr>
      <w:tr>
        <w:trPr>
          <w:trHeight w:val="229"/>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128,349</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receivable</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19,869</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50,653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40,212</w:t>
            </w:r>
          </w:p>
        </w:tc>
        <w:tc>
          <w:tcPr>
            <w:tcW w:w="0" w:type="dxa"/>
            <w:vAlign w:val="bottom"/>
          </w:tcPr>
          <w:p>
            <w:pPr>
              <w:spacing w:after="0"/>
              <w:rPr>
                <w:sz w:val="1"/>
                <w:szCs w:val="1"/>
                <w:color w:val="auto"/>
              </w:rPr>
            </w:pPr>
          </w:p>
        </w:tc>
      </w:tr>
      <w:tr>
        <w:trPr>
          <w:trHeight w:val="223"/>
        </w:trPr>
        <w:tc>
          <w:tcPr>
            <w:tcW w:w="7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2,970,357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2,756,895</w:t>
            </w:r>
          </w:p>
        </w:tc>
        <w:tc>
          <w:tcPr>
            <w:tcW w:w="0" w:type="dxa"/>
            <w:vAlign w:val="bottom"/>
          </w:tcPr>
          <w:p>
            <w:pPr>
              <w:spacing w:after="0"/>
              <w:rPr>
                <w:sz w:val="1"/>
                <w:szCs w:val="1"/>
                <w:color w:val="auto"/>
              </w:rPr>
            </w:pPr>
          </w:p>
        </w:tc>
      </w:tr>
      <w:tr>
        <w:trPr>
          <w:trHeight w:val="162"/>
        </w:trPr>
        <w:tc>
          <w:tcPr>
            <w:tcW w:w="768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575,376</w:t>
            </w:r>
          </w:p>
        </w:tc>
        <w:tc>
          <w:tcPr>
            <w:tcW w:w="0" w:type="dxa"/>
            <w:vAlign w:val="bottom"/>
          </w:tcPr>
          <w:p>
            <w:pPr>
              <w:spacing w:after="0"/>
              <w:rPr>
                <w:sz w:val="1"/>
                <w:szCs w:val="1"/>
                <w:color w:val="auto"/>
              </w:rPr>
            </w:pP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169,648</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1,457,077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1,443,435</w:t>
            </w:r>
          </w:p>
        </w:tc>
        <w:tc>
          <w:tcPr>
            <w:tcW w:w="0" w:type="dxa"/>
            <w:vAlign w:val="bottom"/>
          </w:tcPr>
          <w:p>
            <w:pPr>
              <w:spacing w:after="0"/>
              <w:rPr>
                <w:sz w:val="1"/>
                <w:szCs w:val="1"/>
                <w:color w:val="auto"/>
              </w:rPr>
            </w:pP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867,654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925,948</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117,487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107,880</w:t>
            </w:r>
          </w:p>
        </w:tc>
        <w:tc>
          <w:tcPr>
            <w:tcW w:w="0" w:type="dxa"/>
            <w:vAlign w:val="bottom"/>
          </w:tcPr>
          <w:p>
            <w:pPr>
              <w:spacing w:after="0"/>
              <w:rPr>
                <w:sz w:val="1"/>
                <w:szCs w:val="1"/>
                <w:color w:val="auto"/>
              </w:rPr>
            </w:pPr>
          </w:p>
        </w:tc>
      </w:tr>
      <w:tr>
        <w:trPr>
          <w:trHeight w:val="223"/>
        </w:trPr>
        <w:tc>
          <w:tcPr>
            <w:tcW w:w="7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6,180,400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5,979,182</w:t>
            </w:r>
          </w:p>
        </w:tc>
        <w:tc>
          <w:tcPr>
            <w:tcW w:w="0" w:type="dxa"/>
            <w:vAlign w:val="bottom"/>
          </w:tcPr>
          <w:p>
            <w:pPr>
              <w:spacing w:after="0"/>
              <w:rPr>
                <w:sz w:val="1"/>
                <w:szCs w:val="1"/>
                <w:color w:val="auto"/>
              </w:rPr>
            </w:pPr>
          </w:p>
        </w:tc>
      </w:tr>
      <w:tr>
        <w:trPr>
          <w:trHeight w:val="21"/>
        </w:trPr>
        <w:tc>
          <w:tcPr>
            <w:tcW w:w="7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768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497,263</w:t>
            </w:r>
          </w:p>
        </w:tc>
        <w:tc>
          <w:tcPr>
            <w:tcW w:w="0" w:type="dxa"/>
            <w:vAlign w:val="bottom"/>
          </w:tcPr>
          <w:p>
            <w:pPr>
              <w:spacing w:after="0"/>
              <w:rPr>
                <w:sz w:val="1"/>
                <w:szCs w:val="1"/>
                <w:color w:val="auto"/>
              </w:rPr>
            </w:pPr>
          </w:p>
        </w:tc>
      </w:tr>
      <w:tr>
        <w:trPr>
          <w:trHeight w:val="229"/>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portion of debt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158,503</w:t>
            </w:r>
          </w:p>
        </w:tc>
        <w:tc>
          <w:tcPr>
            <w:tcW w:w="0" w:type="dxa"/>
            <w:vAlign w:val="bottom"/>
          </w:tcPr>
          <w:p>
            <w:pPr>
              <w:spacing w:after="0"/>
              <w:rPr>
                <w:sz w:val="1"/>
                <w:szCs w:val="1"/>
                <w:color w:val="auto"/>
              </w:rPr>
            </w:pPr>
          </w:p>
        </w:tc>
      </w:tr>
      <w:tr>
        <w:trPr>
          <w:trHeight w:val="230"/>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insurance claims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47,594</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42,288</w:t>
            </w:r>
          </w:p>
        </w:tc>
        <w:tc>
          <w:tcPr>
            <w:tcW w:w="0" w:type="dxa"/>
            <w:vAlign w:val="bottom"/>
          </w:tcPr>
          <w:p>
            <w:pPr>
              <w:spacing w:after="0"/>
              <w:rPr>
                <w:sz w:val="1"/>
                <w:szCs w:val="1"/>
                <w:color w:val="auto"/>
              </w:rPr>
            </w:pPr>
          </w:p>
        </w:tc>
      </w:tr>
      <w:tr>
        <w:trPr>
          <w:trHeight w:val="229"/>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225,726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256,481</w:t>
            </w:r>
          </w:p>
        </w:tc>
        <w:tc>
          <w:tcPr>
            <w:tcW w:w="0" w:type="dxa"/>
            <w:vAlign w:val="bottom"/>
          </w:tcPr>
          <w:p>
            <w:pPr>
              <w:spacing w:after="0"/>
              <w:rPr>
                <w:sz w:val="1"/>
                <w:szCs w:val="1"/>
                <w:color w:val="auto"/>
              </w:rPr>
            </w:pPr>
          </w:p>
        </w:tc>
      </w:tr>
      <w:tr>
        <w:trPr>
          <w:trHeight w:val="228"/>
        </w:trPr>
        <w:tc>
          <w:tcPr>
            <w:tcW w:w="7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1,149,360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1,006,900</w:t>
            </w:r>
          </w:p>
        </w:tc>
        <w:tc>
          <w:tcPr>
            <w:tcW w:w="0" w:type="dxa"/>
            <w:vAlign w:val="bottom"/>
          </w:tcPr>
          <w:p>
            <w:pPr>
              <w:spacing w:after="0"/>
              <w:rPr>
                <w:sz w:val="1"/>
                <w:szCs w:val="1"/>
                <w:color w:val="auto"/>
              </w:rPr>
            </w:pPr>
          </w:p>
        </w:tc>
      </w:tr>
      <w:tr>
        <w:trPr>
          <w:trHeight w:val="49"/>
        </w:trPr>
        <w:tc>
          <w:tcPr>
            <w:tcW w:w="768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2,809,714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2,810,497</w:t>
            </w:r>
          </w:p>
        </w:tc>
        <w:tc>
          <w:tcPr>
            <w:tcW w:w="0" w:type="dxa"/>
            <w:vAlign w:val="bottom"/>
          </w:tcPr>
          <w:p>
            <w:pPr>
              <w:spacing w:after="0"/>
              <w:rPr>
                <w:sz w:val="1"/>
                <w:szCs w:val="1"/>
                <w:color w:val="auto"/>
              </w:rPr>
            </w:pP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insurance claims - non-current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57,977</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135,221</w:t>
            </w:r>
          </w:p>
        </w:tc>
        <w:tc>
          <w:tcPr>
            <w:tcW w:w="0" w:type="dxa"/>
            <w:vAlign w:val="bottom"/>
          </w:tcPr>
          <w:p>
            <w:pPr>
              <w:spacing w:after="0"/>
              <w:rPr>
                <w:sz w:val="1"/>
                <w:szCs w:val="1"/>
                <w:color w:val="auto"/>
              </w:rPr>
            </w:pP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liabilities, net - non-current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85,159</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24,292</w:t>
            </w:r>
          </w:p>
        </w:tc>
        <w:tc>
          <w:tcPr>
            <w:tcW w:w="0" w:type="dxa"/>
            <w:vAlign w:val="bottom"/>
          </w:tcPr>
          <w:p>
            <w:pPr>
              <w:spacing w:after="0"/>
              <w:rPr>
                <w:sz w:val="1"/>
                <w:szCs w:val="1"/>
                <w:color w:val="auto"/>
              </w:rPr>
            </w:pPr>
          </w:p>
        </w:tc>
      </w:tr>
      <w:tr>
        <w:trPr>
          <w:trHeight w:val="223"/>
        </w:trPr>
        <w:tc>
          <w:tcPr>
            <w:tcW w:w="7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4,284,696</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4,120,046</w:t>
            </w:r>
          </w:p>
        </w:tc>
        <w:tc>
          <w:tcPr>
            <w:tcW w:w="0" w:type="dxa"/>
            <w:vAlign w:val="bottom"/>
          </w:tcPr>
          <w:p>
            <w:pPr>
              <w:spacing w:after="0"/>
              <w:rPr>
                <w:sz w:val="1"/>
                <w:szCs w:val="1"/>
                <w:color w:val="auto"/>
              </w:rPr>
            </w:pPr>
          </w:p>
        </w:tc>
      </w:tr>
      <w:tr>
        <w:trPr>
          <w:trHeight w:val="264"/>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21)</w:t>
            </w: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par value $1.00 per share: 1,000,000 shares authorized: no shares issued and outstanding</w:t>
            </w:r>
          </w:p>
        </w:tc>
        <w:tc>
          <w:tcPr>
            <w:tcW w:w="2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6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par value $0.33 1/3 per share: 150,000,000 shares authorized: 30,024,974 and 29,969,648</w:t>
            </w: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381,659</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1,558,776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1,467,487</w:t>
            </w:r>
          </w:p>
        </w:tc>
        <w:tc>
          <w:tcPr>
            <w:tcW w:w="0" w:type="dxa"/>
            <w:vAlign w:val="bottom"/>
          </w:tcPr>
          <w:p>
            <w:pPr>
              <w:spacing w:after="0"/>
              <w:rPr>
                <w:sz w:val="1"/>
                <w:szCs w:val="1"/>
                <w:color w:val="auto"/>
              </w:rPr>
            </w:pPr>
          </w:p>
        </w:tc>
      </w:tr>
      <w:tr>
        <w:trPr>
          <w:trHeight w:val="223"/>
        </w:trPr>
        <w:tc>
          <w:tcPr>
            <w:tcW w:w="7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1,895,704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1,859,136</w:t>
            </w:r>
          </w:p>
        </w:tc>
        <w:tc>
          <w:tcPr>
            <w:tcW w:w="0" w:type="dxa"/>
            <w:vAlign w:val="bottom"/>
          </w:tcPr>
          <w:p>
            <w:pPr>
              <w:spacing w:after="0"/>
              <w:rPr>
                <w:sz w:val="1"/>
                <w:szCs w:val="1"/>
                <w:color w:val="auto"/>
              </w:rPr>
            </w:pPr>
          </w:p>
        </w:tc>
      </w:tr>
      <w:tr>
        <w:trPr>
          <w:trHeight w:val="223"/>
        </w:trPr>
        <w:tc>
          <w:tcPr>
            <w:tcW w:w="7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6,180,400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5,979,182</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1"/>
                <w:szCs w:val="21"/>
                <w:color w:val="auto"/>
              </w:rPr>
            </w:pPr>
          </w:p>
        </w:tc>
        <w:tc>
          <w:tcPr>
            <w:tcW w:w="6680" w:type="dxa"/>
            <w:vAlign w:val="bottom"/>
            <w:gridSpan w:val="2"/>
          </w:tcPr>
          <w:p>
            <w:pPr>
              <w:jc w:val="center"/>
              <w:ind w:left="1930"/>
              <w:spacing w:after="0"/>
              <w:rPr>
                <w:sz w:val="20"/>
                <w:szCs w:val="20"/>
                <w:color w:val="auto"/>
              </w:rPr>
            </w:pPr>
            <w:r>
              <w:rPr>
                <w:rFonts w:ascii="Times New Roman" w:cs="Times New Roman" w:eastAsia="Times New Roman" w:hAnsi="Times New Roman"/>
                <w:sz w:val="18"/>
                <w:szCs w:val="18"/>
                <w:color w:val="auto"/>
              </w:rPr>
              <w:t>See notes to the condensed consolidated financial statements.</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6520" w:type="dxa"/>
            <w:vAlign w:val="bottom"/>
            <w:gridSpan w:val="2"/>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9"/>
              </w:rPr>
              <w:t>DYCOM INDUSTRIES, INC. AND SUBSIDIARIES</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500" w:type="dxa"/>
            <w:vAlign w:val="bottom"/>
            <w:gridSpan w:val="5"/>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AND COMPREHENSIVE INCOME</w:t>
            </w:r>
          </w:p>
        </w:tc>
        <w:tc>
          <w:tcPr>
            <w:tcW w:w="146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240" w:type="dxa"/>
            <w:vAlign w:val="bottom"/>
          </w:tcPr>
          <w:p>
            <w:pPr>
              <w:jc w:val="center"/>
              <w:ind w:left="2350"/>
              <w:spacing w:after="0"/>
              <w:rPr>
                <w:sz w:val="20"/>
                <w:szCs w:val="20"/>
                <w:color w:val="auto"/>
              </w:rPr>
            </w:pPr>
            <w:r>
              <w:rPr>
                <w:rFonts w:ascii="Times New Roman" w:cs="Times New Roman" w:eastAsia="Times New Roman" w:hAnsi="Times New Roman"/>
                <w:sz w:val="18"/>
                <w:szCs w:val="18"/>
                <w:b w:val="1"/>
                <w:bCs w:val="1"/>
                <w:color w:val="auto"/>
                <w:w w:val="99"/>
              </w:rPr>
              <w:t>(Dollars in thousands, except share amounts)</w:t>
            </w: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240" w:type="dxa"/>
            <w:vAlign w:val="bottom"/>
          </w:tcPr>
          <w:p>
            <w:pPr>
              <w:jc w:val="center"/>
              <w:ind w:left="23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63"/>
        </w:trPr>
        <w:tc>
          <w:tcPr>
            <w:tcW w:w="128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44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7"/>
        </w:trPr>
        <w:tc>
          <w:tcPr>
            <w:tcW w:w="128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340" w:type="dxa"/>
            <w:vAlign w:val="bottom"/>
          </w:tcPr>
          <w:p>
            <w:pPr>
              <w:spacing w:after="0"/>
              <w:rPr>
                <w:sz w:val="20"/>
                <w:szCs w:val="20"/>
                <w:color w:val="auto"/>
              </w:rPr>
            </w:pP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April 26, 2025</w:t>
            </w:r>
          </w:p>
        </w:tc>
      </w:tr>
      <w:tr>
        <w:trPr>
          <w:trHeight w:val="257"/>
        </w:trPr>
        <w:tc>
          <w:tcPr>
            <w:tcW w:w="128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r>
      <w:tr>
        <w:trPr>
          <w:trHeight w:val="229"/>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1,964,782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1,258,608</w:t>
            </w:r>
          </w:p>
        </w:tc>
      </w:tr>
      <w:tr>
        <w:trPr>
          <w:trHeight w:val="291"/>
        </w:trPr>
        <w:tc>
          <w:tcPr>
            <w:tcW w:w="12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9"/>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earned revenues, excluding depreciation and amortization</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1,578,055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1,011,112</w:t>
            </w:r>
          </w:p>
        </w:tc>
      </w:tr>
      <w:tr>
        <w:trPr>
          <w:trHeight w:val="230"/>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103,726</w:t>
            </w:r>
          </w:p>
        </w:tc>
      </w:tr>
      <w:tr>
        <w:trPr>
          <w:trHeight w:val="229"/>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111,644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58,389</w:t>
            </w:r>
          </w:p>
        </w:tc>
      </w:tr>
      <w:tr>
        <w:trPr>
          <w:trHeight w:val="22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1,821,028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1,173,227</w:t>
            </w:r>
          </w:p>
        </w:tc>
      </w:tr>
      <w:tr>
        <w:trPr>
          <w:trHeight w:val="270"/>
        </w:trPr>
        <w:tc>
          <w:tcPr>
            <w:tcW w:w="7520" w:type="dxa"/>
            <w:vAlign w:val="bottom"/>
            <w:gridSpan w:val="2"/>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30"/>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(14,045)</w:t>
            </w:r>
          </w:p>
        </w:tc>
      </w:tr>
      <w:tr>
        <w:trPr>
          <w:trHeight w:val="229"/>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w:t>
            </w:r>
          </w:p>
        </w:tc>
      </w:tr>
      <w:tr>
        <w:trPr>
          <w:trHeight w:val="22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78,600</w:t>
            </w:r>
          </w:p>
        </w:tc>
      </w:tr>
      <w:tr>
        <w:trPr>
          <w:trHeight w:val="270"/>
        </w:trPr>
        <w:tc>
          <w:tcPr>
            <w:tcW w:w="7520" w:type="dxa"/>
            <w:vAlign w:val="bottom"/>
            <w:gridSpan w:val="2"/>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29"/>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17,552</w:t>
            </w:r>
          </w:p>
        </w:tc>
      </w:tr>
      <w:tr>
        <w:trPr>
          <w:trHeight w:val="270"/>
        </w:trPr>
        <w:tc>
          <w:tcPr>
            <w:tcW w:w="7520" w:type="dxa"/>
            <w:vAlign w:val="bottom"/>
            <w:gridSpan w:val="2"/>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spacing w:after="0"/>
              <w:rPr>
                <w:sz w:val="23"/>
                <w:szCs w:val="23"/>
                <w:color w:val="auto"/>
              </w:rPr>
            </w:pPr>
          </w:p>
        </w:tc>
      </w:tr>
      <w:tr>
        <w:trPr>
          <w:trHeight w:val="22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91,289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61,048</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6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29"/>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55"/>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0"/>
        </w:trPr>
        <w:tc>
          <w:tcPr>
            <w:tcW w:w="752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55"/>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0"/>
        </w:trPr>
        <w:tc>
          <w:tcPr>
            <w:tcW w:w="752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earnings per common share:</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7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29,972,366</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28,930,399</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6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30"/>
        </w:trPr>
        <w:tc>
          <w:tcPr>
            <w:tcW w:w="7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30,382,270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29,263,624</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6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See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768"/>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6460" w:type="dxa"/>
            <w:vAlign w:val="bottom"/>
            <w:gridSpan w:val="8"/>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DYCOM INDUSTRIES, INC. AND SUBSIDIARIES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700" w:type="dxa"/>
            <w:vAlign w:val="bottom"/>
            <w:gridSpan w:val="10"/>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STOCKHOLDERS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EQUITY</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6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8"/>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6"/>
        </w:trPr>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6"/>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230"/>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May 2, 2026</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345"/>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0" w:type="dxa"/>
            <w:vAlign w:val="bottom"/>
          </w:tcPr>
          <w:p>
            <w:pPr>
              <w:spacing w:after="0"/>
              <w:rPr>
                <w:sz w:val="24"/>
                <w:szCs w:val="24"/>
                <w:color w:val="auto"/>
              </w:rPr>
            </w:pPr>
          </w:p>
        </w:tc>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6"/>
        </w:trPr>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00" w:type="dxa"/>
            <w:vAlign w:val="bottom"/>
          </w:tcPr>
          <w:p>
            <w:pPr>
              <w:spacing w:after="0"/>
              <w:rPr>
                <w:sz w:val="22"/>
                <w:szCs w:val="22"/>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2"/>
                <w:szCs w:val="22"/>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60" w:type="dxa"/>
            <w:vAlign w:val="bottom"/>
          </w:tcPr>
          <w:p>
            <w:pPr>
              <w:spacing w:after="0"/>
              <w:rPr>
                <w:sz w:val="22"/>
                <w:szCs w:val="22"/>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22"/>
                <w:szCs w:val="22"/>
                <w:color w:val="auto"/>
              </w:rPr>
            </w:pPr>
          </w:p>
        </w:tc>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23"/>
        </w:trPr>
        <w:tc>
          <w:tcPr>
            <w:tcW w:w="40" w:type="dxa"/>
            <w:vAlign w:val="bottom"/>
          </w:tcPr>
          <w:p>
            <w:pPr>
              <w:spacing w:after="0"/>
              <w:rPr>
                <w:sz w:val="19"/>
                <w:szCs w:val="19"/>
                <w:color w:val="auto"/>
              </w:rPr>
            </w:pPr>
          </w:p>
        </w:tc>
        <w:tc>
          <w:tcPr>
            <w:tcW w:w="4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January 31, 2026</w:t>
            </w:r>
          </w:p>
        </w:tc>
        <w:tc>
          <w:tcPr>
            <w:tcW w:w="1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29,969,648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381,659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1,467,487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1,859,136</w:t>
            </w:r>
          </w:p>
        </w:tc>
      </w:tr>
      <w:tr>
        <w:trPr>
          <w:trHeight w:val="229"/>
        </w:trPr>
        <w:tc>
          <w:tcPr>
            <w:tcW w:w="4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10,573</w:t>
            </w:r>
          </w:p>
        </w:tc>
      </w:tr>
      <w:tr>
        <w:trPr>
          <w:trHeight w:val="230"/>
        </w:trPr>
        <w:tc>
          <w:tcPr>
            <w:tcW w:w="40" w:type="dxa"/>
            <w:vAlign w:val="bottom"/>
          </w:tcPr>
          <w:p>
            <w:pPr>
              <w:spacing w:after="0"/>
              <w:rPr>
                <w:sz w:val="19"/>
                <w:szCs w:val="19"/>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restricted stock, net of tax withholdings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(29,331)</w:t>
            </w:r>
          </w:p>
        </w:tc>
      </w:tr>
      <w:tr>
        <w:trPr>
          <w:trHeight w:val="229"/>
        </w:trPr>
        <w:tc>
          <w:tcPr>
            <w:tcW w:w="4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 of common stock, including applicable excise tax</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(35,963)</w:t>
            </w:r>
          </w:p>
        </w:tc>
      </w:tr>
      <w:tr>
        <w:trPr>
          <w:trHeight w:val="229"/>
        </w:trPr>
        <w:tc>
          <w:tcPr>
            <w:tcW w:w="40" w:type="dxa"/>
            <w:vAlign w:val="bottom"/>
          </w:tcPr>
          <w:p>
            <w:pPr>
              <w:spacing w:after="0"/>
              <w:rPr>
                <w:sz w:val="19"/>
                <w:szCs w:val="19"/>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91,289</w:t>
            </w:r>
          </w:p>
        </w:tc>
      </w:tr>
      <w:tr>
        <w:trPr>
          <w:trHeight w:val="223"/>
        </w:trPr>
        <w:tc>
          <w:tcPr>
            <w:tcW w:w="4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May 2, 2026</w:t>
            </w:r>
          </w:p>
        </w:tc>
        <w:tc>
          <w:tcPr>
            <w:tcW w:w="18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30,024,974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326,920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1,558,776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1,895,704</w:t>
            </w:r>
          </w:p>
        </w:tc>
      </w:tr>
      <w:tr>
        <w:trPr>
          <w:trHeight w:val="21"/>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73"/>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April 26, 2025</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358"/>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0" w:type="dxa"/>
            <w:vAlign w:val="bottom"/>
          </w:tcPr>
          <w:p>
            <w:pPr>
              <w:spacing w:after="0"/>
              <w:rPr>
                <w:sz w:val="24"/>
                <w:szCs w:val="24"/>
                <w:color w:val="auto"/>
              </w:rPr>
            </w:pPr>
          </w:p>
        </w:tc>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43"/>
        </w:trPr>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0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1"/>
                <w:szCs w:val="21"/>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60" w:type="dxa"/>
            <w:vAlign w:val="bottom"/>
          </w:tcPr>
          <w:p>
            <w:pPr>
              <w:spacing w:after="0"/>
              <w:rPr>
                <w:sz w:val="21"/>
                <w:szCs w:val="21"/>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21"/>
                <w:szCs w:val="21"/>
                <w:color w:val="auto"/>
              </w:rPr>
            </w:pPr>
          </w:p>
        </w:tc>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23"/>
        </w:trPr>
        <w:tc>
          <w:tcPr>
            <w:tcW w:w="40" w:type="dxa"/>
            <w:vAlign w:val="bottom"/>
          </w:tcPr>
          <w:p>
            <w:pPr>
              <w:spacing w:after="0"/>
              <w:rPr>
                <w:sz w:val="19"/>
                <w:szCs w:val="19"/>
                <w:color w:val="auto"/>
              </w:rPr>
            </w:pPr>
          </w:p>
        </w:tc>
        <w:tc>
          <w:tcPr>
            <w:tcW w:w="4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January 25, 2025</w:t>
            </w:r>
          </w:p>
        </w:tc>
        <w:tc>
          <w:tcPr>
            <w:tcW w:w="1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28,978,949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1,239,097</w:t>
            </w:r>
          </w:p>
        </w:tc>
      </w:tr>
      <w:tr>
        <w:trPr>
          <w:trHeight w:val="229"/>
        </w:trPr>
        <w:tc>
          <w:tcPr>
            <w:tcW w:w="4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9,099</w:t>
            </w:r>
          </w:p>
        </w:tc>
      </w:tr>
      <w:tr>
        <w:trPr>
          <w:trHeight w:val="229"/>
        </w:trPr>
        <w:tc>
          <w:tcPr>
            <w:tcW w:w="40" w:type="dxa"/>
            <w:vAlign w:val="bottom"/>
          </w:tcPr>
          <w:p>
            <w:pPr>
              <w:spacing w:after="0"/>
              <w:rPr>
                <w:sz w:val="19"/>
                <w:szCs w:val="19"/>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restricted stock, net of tax withholdings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w:t>
            </w:r>
          </w:p>
        </w:tc>
      </w:tr>
      <w:tr>
        <w:trPr>
          <w:trHeight w:val="230"/>
        </w:trPr>
        <w:tc>
          <w:tcPr>
            <w:tcW w:w="4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 of common stock, including applicable excise tax</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(30,185)</w:t>
            </w:r>
          </w:p>
        </w:tc>
      </w:tr>
      <w:tr>
        <w:trPr>
          <w:trHeight w:val="229"/>
        </w:trPr>
        <w:tc>
          <w:tcPr>
            <w:tcW w:w="40" w:type="dxa"/>
            <w:vAlign w:val="bottom"/>
          </w:tcPr>
          <w:p>
            <w:pPr>
              <w:spacing w:after="0"/>
              <w:rPr>
                <w:sz w:val="19"/>
                <w:szCs w:val="19"/>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61,048</w:t>
            </w:r>
          </w:p>
        </w:tc>
      </w:tr>
      <w:tr>
        <w:trPr>
          <w:trHeight w:val="223"/>
        </w:trPr>
        <w:tc>
          <w:tcPr>
            <w:tcW w:w="4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April 26, 2025</w:t>
            </w:r>
          </w:p>
        </w:tc>
        <w:tc>
          <w:tcPr>
            <w:tcW w:w="18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28,924,326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1,247,418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1,266,158</w:t>
            </w: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0"/>
        </w:trPr>
        <w:tc>
          <w:tcPr>
            <w:tcW w:w="1280" w:type="dxa"/>
            <w:vAlign w:val="bottom"/>
            <w:tcBorders>
              <w:top w:val="single" w:sz="8" w:color="0000FF"/>
            </w:tcBorders>
          </w:tcPr>
          <w:p>
            <w:pPr>
              <w:spacing w:after="0"/>
              <w:rPr>
                <w:sz w:val="24"/>
                <w:szCs w:val="24"/>
                <w:color w:val="auto"/>
              </w:rPr>
            </w:pPr>
          </w:p>
        </w:tc>
        <w:tc>
          <w:tcPr>
            <w:tcW w:w="6500" w:type="dxa"/>
            <w:vAlign w:val="bottom"/>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9"/>
              </w:rPr>
              <w:t>DYCOM INDUSTRIES, INC. AND SUBSIDIARIES</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28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500" w:type="dxa"/>
            <w:vAlign w:val="bottom"/>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50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22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00" w:type="dxa"/>
            <w:vAlign w:val="bottom"/>
          </w:tcPr>
          <w:p>
            <w:pPr>
              <w:spacing w:after="0"/>
              <w:rPr>
                <w:sz w:val="20"/>
                <w:szCs w:val="20"/>
                <w:color w:val="auto"/>
              </w:rPr>
            </w:pP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0" w:type="dxa"/>
            <w:vAlign w:val="bottom"/>
          </w:tcPr>
          <w:p>
            <w:pPr>
              <w:spacing w:after="0"/>
              <w:rPr>
                <w:sz w:val="1"/>
                <w:szCs w:val="1"/>
                <w:color w:val="auto"/>
              </w:rPr>
            </w:pPr>
          </w:p>
        </w:tc>
      </w:tr>
      <w:tr>
        <w:trPr>
          <w:trHeight w:val="216"/>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61,048</w:t>
            </w:r>
          </w:p>
        </w:tc>
        <w:tc>
          <w:tcPr>
            <w:tcW w:w="0" w:type="dxa"/>
            <w:vAlign w:val="bottom"/>
          </w:tcPr>
          <w:p>
            <w:pPr>
              <w:spacing w:after="0"/>
              <w:rPr>
                <w:sz w:val="1"/>
                <w:szCs w:val="1"/>
                <w:color w:val="auto"/>
              </w:rPr>
            </w:pPr>
          </w:p>
        </w:tc>
      </w:tr>
      <w:tr>
        <w:trPr>
          <w:trHeight w:val="229"/>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58,389</w:t>
            </w:r>
          </w:p>
        </w:tc>
        <w:tc>
          <w:tcPr>
            <w:tcW w:w="0" w:type="dxa"/>
            <w:vAlign w:val="bottom"/>
          </w:tcPr>
          <w:p>
            <w:pPr>
              <w:spacing w:after="0"/>
              <w:rPr>
                <w:sz w:val="1"/>
                <w:szCs w:val="1"/>
                <w:color w:val="auto"/>
              </w:rPr>
            </w:pPr>
          </w:p>
        </w:tc>
      </w:tr>
      <w:tr>
        <w:trPr>
          <w:trHeight w:val="229"/>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12,982</w:t>
            </w:r>
          </w:p>
        </w:tc>
        <w:tc>
          <w:tcPr>
            <w:tcW w:w="0" w:type="dxa"/>
            <w:vAlign w:val="bottom"/>
          </w:tcPr>
          <w:p>
            <w:pPr>
              <w:spacing w:after="0"/>
              <w:rPr>
                <w:sz w:val="1"/>
                <w:szCs w:val="1"/>
                <w:color w:val="auto"/>
              </w:rPr>
            </w:pPr>
          </w:p>
        </w:tc>
      </w:tr>
      <w:tr>
        <w:trPr>
          <w:trHeight w:val="229"/>
        </w:trPr>
        <w:tc>
          <w:tcPr>
            <w:tcW w:w="7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 provision (benefit)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0"/>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9,099</w:t>
            </w:r>
          </w:p>
        </w:tc>
        <w:tc>
          <w:tcPr>
            <w:tcW w:w="0" w:type="dxa"/>
            <w:vAlign w:val="bottom"/>
          </w:tcPr>
          <w:p>
            <w:pPr>
              <w:spacing w:after="0"/>
              <w:rPr>
                <w:sz w:val="1"/>
                <w:szCs w:val="1"/>
                <w:color w:val="auto"/>
              </w:rPr>
            </w:pPr>
          </w:p>
        </w:tc>
      </w:tr>
      <w:tr>
        <w:trPr>
          <w:trHeight w:val="229"/>
        </w:trPr>
        <w:tc>
          <w:tcPr>
            <w:tcW w:w="7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(recovery of) bad debt, net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Gain on sale of fixed assets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(9,773)</w:t>
            </w:r>
          </w:p>
        </w:tc>
        <w:tc>
          <w:tcPr>
            <w:tcW w:w="0" w:type="dxa"/>
            <w:vAlign w:val="bottom"/>
          </w:tcPr>
          <w:p>
            <w:pPr>
              <w:spacing w:after="0"/>
              <w:rPr>
                <w:sz w:val="1"/>
                <w:szCs w:val="1"/>
                <w:color w:val="auto"/>
              </w:rPr>
            </w:pPr>
          </w:p>
        </w:tc>
      </w:tr>
      <w:tr>
        <w:trPr>
          <w:trHeight w:val="229"/>
        </w:trPr>
        <w:tc>
          <w:tcPr>
            <w:tcW w:w="7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debt issuance costs and other</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29"/>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operating assets and liabilities, net of acquisitions: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(154,108)</w:t>
            </w:r>
          </w:p>
        </w:tc>
        <w:tc>
          <w:tcPr>
            <w:tcW w:w="0" w:type="dxa"/>
            <w:vAlign w:val="bottom"/>
          </w:tcPr>
          <w:p>
            <w:pPr>
              <w:spacing w:after="0"/>
              <w:rPr>
                <w:sz w:val="1"/>
                <w:szCs w:val="1"/>
                <w:color w:val="auto"/>
              </w:rPr>
            </w:pPr>
          </w:p>
        </w:tc>
      </w:tr>
      <w:tr>
        <w:trPr>
          <w:trHeight w:val="229"/>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Contract assets, net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(20,056)</w:t>
            </w:r>
          </w:p>
        </w:tc>
        <w:tc>
          <w:tcPr>
            <w:tcW w:w="0" w:type="dxa"/>
            <w:vAlign w:val="bottom"/>
          </w:tcPr>
          <w:p>
            <w:pPr>
              <w:spacing w:after="0"/>
              <w:rPr>
                <w:sz w:val="1"/>
                <w:szCs w:val="1"/>
                <w:color w:val="auto"/>
              </w:rPr>
            </w:pPr>
          </w:p>
        </w:tc>
      </w:tr>
      <w:tr>
        <w:trPr>
          <w:trHeight w:val="229"/>
        </w:trPr>
        <w:tc>
          <w:tcPr>
            <w:tcW w:w="7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 and inventories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w:t>
            </w:r>
          </w:p>
        </w:tc>
        <w:tc>
          <w:tcPr>
            <w:tcW w:w="0" w:type="dxa"/>
            <w:vAlign w:val="bottom"/>
          </w:tcPr>
          <w:p>
            <w:pPr>
              <w:spacing w:after="0"/>
              <w:rPr>
                <w:sz w:val="1"/>
                <w:szCs w:val="1"/>
                <w:color w:val="auto"/>
              </w:rPr>
            </w:pPr>
          </w:p>
        </w:tc>
      </w:tr>
      <w:tr>
        <w:trPr>
          <w:trHeight w:val="230"/>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(11,736)</w:t>
            </w:r>
          </w:p>
        </w:tc>
        <w:tc>
          <w:tcPr>
            <w:tcW w:w="0" w:type="dxa"/>
            <w:vAlign w:val="bottom"/>
          </w:tcPr>
          <w:p>
            <w:pPr>
              <w:spacing w:after="0"/>
              <w:rPr>
                <w:sz w:val="1"/>
                <w:szCs w:val="1"/>
                <w:color w:val="auto"/>
              </w:rPr>
            </w:pPr>
          </w:p>
        </w:tc>
      </w:tr>
      <w:tr>
        <w:trPr>
          <w:trHeight w:val="229"/>
        </w:trPr>
        <w:tc>
          <w:tcPr>
            <w:tcW w:w="7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 payable/receivable</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17,413</w:t>
            </w:r>
          </w:p>
        </w:tc>
        <w:tc>
          <w:tcPr>
            <w:tcW w:w="0" w:type="dxa"/>
            <w:vAlign w:val="bottom"/>
          </w:tcPr>
          <w:p>
            <w:pPr>
              <w:spacing w:after="0"/>
              <w:rPr>
                <w:sz w:val="1"/>
                <w:szCs w:val="1"/>
                <w:color w:val="auto"/>
              </w:rPr>
            </w:pPr>
          </w:p>
        </w:tc>
      </w:tr>
      <w:tr>
        <w:trPr>
          <w:trHeight w:val="230"/>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40,908</w:t>
            </w:r>
          </w:p>
        </w:tc>
        <w:tc>
          <w:tcPr>
            <w:tcW w:w="0" w:type="dxa"/>
            <w:vAlign w:val="bottom"/>
          </w:tcPr>
          <w:p>
            <w:pPr>
              <w:spacing w:after="0"/>
              <w:rPr>
                <w:sz w:val="1"/>
                <w:szCs w:val="1"/>
                <w:color w:val="auto"/>
              </w:rPr>
            </w:pPr>
          </w:p>
        </w:tc>
      </w:tr>
      <w:tr>
        <w:trPr>
          <w:trHeight w:val="236"/>
        </w:trPr>
        <w:tc>
          <w:tcPr>
            <w:tcW w:w="77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 insurance claims, operating lease liabilities, and other liabilities</w:t>
            </w:r>
          </w:p>
        </w:tc>
        <w:tc>
          <w:tcPr>
            <w:tcW w:w="2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(42,045)</w:t>
            </w:r>
          </w:p>
        </w:tc>
        <w:tc>
          <w:tcPr>
            <w:tcW w:w="0" w:type="dxa"/>
            <w:vAlign w:val="bottom"/>
          </w:tcPr>
          <w:p>
            <w:pPr>
              <w:spacing w:after="0"/>
              <w:rPr>
                <w:sz w:val="1"/>
                <w:szCs w:val="1"/>
                <w:color w:val="auto"/>
              </w:rPr>
            </w:pPr>
          </w:p>
        </w:tc>
      </w:tr>
      <w:tr>
        <w:trPr>
          <w:trHeight w:val="237"/>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(53,966)</w:t>
            </w:r>
          </w:p>
        </w:tc>
        <w:tc>
          <w:tcPr>
            <w:tcW w:w="0" w:type="dxa"/>
            <w:vAlign w:val="bottom"/>
          </w:tcPr>
          <w:p>
            <w:pPr>
              <w:spacing w:after="0"/>
              <w:rPr>
                <w:sz w:val="1"/>
                <w:szCs w:val="1"/>
                <w:color w:val="auto"/>
              </w:rPr>
            </w:pPr>
          </w:p>
        </w:tc>
      </w:tr>
      <w:tr>
        <w:trPr>
          <w:trHeight w:val="486"/>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(79,499)</w:t>
            </w:r>
          </w:p>
        </w:tc>
        <w:tc>
          <w:tcPr>
            <w:tcW w:w="0" w:type="dxa"/>
            <w:vAlign w:val="bottom"/>
          </w:tcPr>
          <w:p>
            <w:pPr>
              <w:spacing w:after="0"/>
              <w:rPr>
                <w:sz w:val="1"/>
                <w:szCs w:val="1"/>
                <w:color w:val="auto"/>
              </w:rPr>
            </w:pPr>
          </w:p>
        </w:tc>
      </w:tr>
      <w:tr>
        <w:trPr>
          <w:trHeight w:val="230"/>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10,900</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(80,356)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(68,599)</w:t>
            </w:r>
          </w:p>
        </w:tc>
        <w:tc>
          <w:tcPr>
            <w:tcW w:w="0" w:type="dxa"/>
            <w:vAlign w:val="bottom"/>
          </w:tcPr>
          <w:p>
            <w:pPr>
              <w:spacing w:after="0"/>
              <w:rPr>
                <w:sz w:val="1"/>
                <w:szCs w:val="1"/>
                <w:color w:val="auto"/>
              </w:rPr>
            </w:pPr>
          </w:p>
        </w:tc>
      </w:tr>
      <w:tr>
        <w:trPr>
          <w:trHeight w:val="486"/>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borrowings on senior credit agreement, including term loan</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285,000</w:t>
            </w:r>
          </w:p>
        </w:tc>
        <w:tc>
          <w:tcPr>
            <w:tcW w:w="0" w:type="dxa"/>
            <w:vAlign w:val="bottom"/>
          </w:tcPr>
          <w:p>
            <w:pPr>
              <w:spacing w:after="0"/>
              <w:rPr>
                <w:sz w:val="1"/>
                <w:szCs w:val="1"/>
                <w:color w:val="auto"/>
              </w:rPr>
            </w:pPr>
          </w:p>
        </w:tc>
      </w:tr>
      <w:tr>
        <w:trPr>
          <w:trHeight w:val="230"/>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Principal payments on senior credit agreement, including term loan</w:t>
            </w:r>
          </w:p>
        </w:tc>
        <w:tc>
          <w:tcPr>
            <w:tcW w:w="2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(196,000)</w:t>
            </w:r>
          </w:p>
        </w:tc>
        <w:tc>
          <w:tcPr>
            <w:tcW w:w="0" w:type="dxa"/>
            <w:vAlign w:val="bottom"/>
          </w:tcPr>
          <w:p>
            <w:pPr>
              <w:spacing w:after="0"/>
              <w:rPr>
                <w:sz w:val="1"/>
                <w:szCs w:val="1"/>
                <w:color w:val="auto"/>
              </w:rPr>
            </w:pPr>
          </w:p>
        </w:tc>
      </w:tr>
      <w:tr>
        <w:trPr>
          <w:trHeight w:val="229"/>
        </w:trPr>
        <w:tc>
          <w:tcPr>
            <w:tcW w:w="7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issuance costs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(30,185)</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stock tax withholdings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(65,397)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45,914</w:t>
            </w: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(76,651)</w:t>
            </w:r>
          </w:p>
        </w:tc>
        <w:tc>
          <w:tcPr>
            <w:tcW w:w="0" w:type="dxa"/>
            <w:vAlign w:val="bottom"/>
          </w:tcPr>
          <w:p>
            <w:pPr>
              <w:spacing w:after="0"/>
              <w:rPr>
                <w:sz w:val="1"/>
                <w:szCs w:val="1"/>
                <w:color w:val="auto"/>
              </w:rPr>
            </w:pPr>
          </w:p>
        </w:tc>
      </w:tr>
      <w:tr>
        <w:trPr>
          <w:trHeight w:val="270"/>
        </w:trPr>
        <w:tc>
          <w:tcPr>
            <w:tcW w:w="7780" w:type="dxa"/>
            <w:vAlign w:val="bottom"/>
            <w:gridSpan w:val="2"/>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 (Note 8)</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94,474</w:t>
            </w:r>
          </w:p>
        </w:tc>
        <w:tc>
          <w:tcPr>
            <w:tcW w:w="0" w:type="dxa"/>
            <w:vAlign w:val="bottom"/>
          </w:tcPr>
          <w:p>
            <w:pPr>
              <w:spacing w:after="0"/>
              <w:rPr>
                <w:sz w:val="1"/>
                <w:szCs w:val="1"/>
                <w:color w:val="auto"/>
              </w:rPr>
            </w:pPr>
          </w:p>
        </w:tc>
      </w:tr>
      <w:tr>
        <w:trPr>
          <w:trHeight w:val="54"/>
        </w:trPr>
        <w:tc>
          <w:tcPr>
            <w:tcW w:w="7780" w:type="dxa"/>
            <w:vAlign w:val="bottom"/>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 (Note 8)</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540,530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17,823</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jc w:val="center"/>
              <w:ind w:left="3370"/>
              <w:spacing w:after="0"/>
              <w:rPr>
                <w:sz w:val="20"/>
                <w:szCs w:val="20"/>
                <w:color w:val="auto"/>
              </w:rPr>
            </w:pPr>
            <w:r>
              <w:rPr>
                <w:rFonts w:ascii="Times New Roman" w:cs="Times New Roman" w:eastAsia="Times New Roman" w:hAnsi="Times New Roman"/>
                <w:sz w:val="18"/>
                <w:szCs w:val="18"/>
                <w:color w:val="auto"/>
                <w:w w:val="88"/>
              </w:rPr>
              <w:t>7</w:t>
            </w: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9"/>
        </w:trPr>
        <w:tc>
          <w:tcPr>
            <w:tcW w:w="77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6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763"/>
        </w:trPr>
        <w:tc>
          <w:tcPr>
            <w:tcW w:w="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other cash flow activities and non-cash investing and financing activities</w:t>
            </w:r>
            <w:r>
              <w:rPr>
                <w:rFonts w:ascii="Times New Roman" w:cs="Times New Roman" w:eastAsia="Times New Roman" w:hAnsi="Times New Roman"/>
                <w:sz w:val="18"/>
                <w:szCs w:val="18"/>
                <w:color w:val="auto"/>
              </w:rPr>
              <w:t>:</w:t>
            </w: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40,586</w:t>
            </w:r>
          </w:p>
        </w:tc>
        <w:tc>
          <w:tcPr>
            <w:tcW w:w="6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18,712</w:t>
            </w:r>
          </w:p>
        </w:tc>
      </w:tr>
      <w:tr>
        <w:trPr>
          <w:trHeight w:val="229"/>
        </w:trPr>
        <w:tc>
          <w:tcPr>
            <w:tcW w:w="20" w:type="dxa"/>
            <w:vAlign w:val="bottom"/>
          </w:tcPr>
          <w:p>
            <w:pPr>
              <w:spacing w:after="0"/>
              <w:rPr>
                <w:sz w:val="19"/>
                <w:szCs w:val="19"/>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taxes, net</w:t>
            </w: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1,876</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30"/>
        </w:trPr>
        <w:tc>
          <w:tcPr>
            <w:tcW w:w="20" w:type="dxa"/>
            <w:vAlign w:val="bottom"/>
          </w:tcPr>
          <w:p>
            <w:pPr>
              <w:spacing w:after="0"/>
              <w:rPr>
                <w:sz w:val="19"/>
                <w:szCs w:val="19"/>
                <w:color w:val="auto"/>
              </w:rPr>
            </w:pPr>
          </w:p>
        </w:tc>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capital assets included in accounts payable or other accrued liabilities at period end</w:t>
            </w: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7,173</w:t>
            </w:r>
          </w:p>
        </w:tc>
        <w:tc>
          <w:tcPr>
            <w:tcW w:w="6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w:t>
            </w:r>
          </w:p>
        </w:tc>
      </w:tr>
    </w:tbl>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the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Basis of Presentation</w:t>
      </w:r>
    </w:p>
    <w:p>
      <w:pPr>
        <w:spacing w:after="0" w:line="25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Dycom Industries, Inc. (“Dycom,” the “Company,” “we,” “our,” or “us”) is a leading provider of specialty contracting services focused on the digital infrastructure, telecommunications and utilities industries throughout the United States. These services include program management; planning; engineering and design; aerial, underground, and wireless construction; maintenance; and fulfillment services for telecommunications and digital infrastructure providers. We also provide underground facility locating services for various utilities, including telecommunications providers, as well as other construction and maintenance services for electric and gas utilities. Additionally, with the acquisition of Power Solutions, LLC (“Power Solutions”) in the fourth quarter of fiscal 2026, we provide comprehensive building infrastructure solutions, including electrical, energy management, security, and fire safety systems for data centers and other critical facilities. Dycom supplies the labor, tools, and equipment necessary to provide these services to its customers.</w:t>
      </w:r>
    </w:p>
    <w:p>
      <w:pPr>
        <w:spacing w:after="0" w:line="217" w:lineRule="exact"/>
        <w:rPr>
          <w:sz w:val="20"/>
          <w:szCs w:val="20"/>
          <w:color w:val="auto"/>
        </w:rPr>
      </w:pPr>
    </w:p>
    <w:p>
      <w:pPr>
        <w:jc w:val="both"/>
        <w:ind w:right="5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Accounting Period. </w:t>
      </w:r>
      <w:r>
        <w:rPr>
          <w:rFonts w:ascii="Times New Roman" w:cs="Times New Roman" w:eastAsia="Times New Roman" w:hAnsi="Times New Roman"/>
          <w:sz w:val="18"/>
          <w:szCs w:val="18"/>
          <w:color w:val="auto"/>
        </w:rPr>
        <w:t>Our fiscal year ends on the last Saturday in January. As a result, each fiscal year consists of either 52 weeks or 53 weeks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(with the additional week of operations occurring in the fourth quarter). Fiscal 2027 consists of 52 weeks of operations, while fiscal 2026 consisted of 53 weeks of operations.</w:t>
      </w:r>
    </w:p>
    <w:p>
      <w:pPr>
        <w:spacing w:after="0" w:line="20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accompanying unaudited condensed consolidated financial statements of the Company and its subsidiaries, all of which are wholly-owned, have been prepared in accordance with accounting principles generally accepted in the United States of America (“GAAP”) for interim financial information and with the instructions to Form 10-Q and Rule 10-01 of Regulation S-X of the U.S. Securities and Exchange Commission (“SEC”). Accordingly, they do not include all of the information and notes required by GAAP for annual financial statements and should be read in conjunction with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and Analysis of Financial Condition and Results of Operations </w:t>
      </w:r>
      <w:r>
        <w:rPr>
          <w:rFonts w:ascii="Times New Roman" w:cs="Times New Roman" w:eastAsia="Times New Roman" w:hAnsi="Times New Roman"/>
          <w:sz w:val="18"/>
          <w:szCs w:val="18"/>
          <w:color w:val="auto"/>
        </w:rPr>
        <w:t>contained in this report and the Company’s audited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the Company’s Annual Report on Form 10-K for fiscal 2026, filed with the SEC on March 9, 2026. In the opinion of management, all adjustments considered necessary for a fair statement of the results for the interim periods presented have been included. This includes all normal and recurring adjustments and elimination of intercompany accounts and transactions. Operating results for the interim period are not necessarily indicative of the results expected for any subsequent interim or annual period.</w:t>
      </w:r>
    </w:p>
    <w:p>
      <w:pPr>
        <w:spacing w:after="0" w:line="21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Segment Information. </w:t>
      </w:r>
      <w:r>
        <w:rPr>
          <w:rFonts w:ascii="Times New Roman" w:cs="Times New Roman" w:eastAsia="Times New Roman" w:hAnsi="Times New Roman"/>
          <w:sz w:val="18"/>
          <w:szCs w:val="18"/>
          <w:color w:val="auto"/>
        </w:rPr>
        <w:t>The Company operates in two reportable segments, Communications and Building Systems and services are provided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decentralized basis. Each operating segment consists of a subsidiary (or in certain instances, the combination of two or more subsidiaries), whose results are regularly reviewed by the Company’s Chief Executive Officer, the chief operating decision maker (“CODM”). All of the Company’s Communications operating segments have been aggregated into one reportable segment based on their similar economic characteristics, nature of services and production processes, type of customers, and service distribution methods. During fiscal 2026, following the acquisition of Power Solutions, LLC (“Power Solutions”), the CODM reevaluated the Company’s reportable segments, which resulted in the addition of the Building Systems segment as a component of management’s internal financial information used for operational decision-making. Beginning in fiscal 2026, the Company reports the results of the Building Systems segment separately as a reportable segment. The Building Systems segment specializes in providing comprehensive building infrastructure solutions, including electrical, energy management, security, and fire safety systems for data centers and other critical facilities. See Note 20,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for additional information.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Significant Accounting Policies and Estimates</w:t>
      </w:r>
    </w:p>
    <w:p>
      <w:pPr>
        <w:spacing w:after="0" w:line="256"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and critical accounting estimates described in the Company’s Annual Report on Form 10-K for fiscal 2026.</w:t>
      </w:r>
    </w:p>
    <w:p>
      <w:pPr>
        <w:spacing w:after="0" w:line="18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GAAP requires management to make certain estimates and assumptions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affect the amounts reported in these condensed consolidated financial statements and accompanying notes. These estimates are based on our historical experience and management’s understanding of current facts and circumstances. At the time they are made, we believe that such estimates are fair when considered in conjunction with the Company’s consolidated financial position and results of operations taken as a whole. However, actual results could differ materially from those estimates.</w:t>
      </w:r>
    </w:p>
    <w:p>
      <w:pPr>
        <w:spacing w:after="0" w:line="210" w:lineRule="exact"/>
        <w:rPr>
          <w:sz w:val="20"/>
          <w:szCs w:val="20"/>
          <w:color w:val="auto"/>
        </w:rPr>
      </w:pPr>
    </w:p>
    <w:p>
      <w:pPr>
        <w:ind w:right="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Per Share Data. </w:t>
      </w:r>
      <w:r>
        <w:rPr>
          <w:rFonts w:ascii="Times New Roman" w:cs="Times New Roman" w:eastAsia="Times New Roman" w:hAnsi="Times New Roman"/>
          <w:sz w:val="18"/>
          <w:szCs w:val="18"/>
          <w:color w:val="auto"/>
        </w:rPr>
        <w:t>Basic earnings per common share is computed based on the weighted average number of common shares outstanding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excluding unvested restricted share units. Diluted earnings per common share includes the weighted average number of common shares outstanding during the period and dilutive potential common shares arising from</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stock-based awards (including unvested restricted share units) if their inclusion is dilutive under the treasury stock method. Common stock equivalents related to stock-based awards are excluded from diluted earnings per common share calculations if their effect would be anti-dilutive.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Accounting Standards</w:t>
      </w:r>
    </w:p>
    <w:p>
      <w:pPr>
        <w:spacing w:after="0" w:line="256"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Recently issued accounting pronouncements are disclosed in the Company’s Annual Report on Form 10-K for fiscal 2026. As of the date of this Quarterly Report on Form 10-Q, there have been no changes in the expected dates of adoption or estimated effects on the Company’s condensed consolidated financial statements of recently issued accounting pronouncements from those disclosed in the Company’s Annual Report on Form 10-K for fiscal 2026. Further, there have been no additional accounting standards issued as of the date of this Quarterly Report on Form 10-Q that are applicable to the condensed consolidated financial statements of the Company.</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None.</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Accounting Standards Not Yet Adopted</w:t>
      </w:r>
    </w:p>
    <w:p>
      <w:pPr>
        <w:spacing w:after="0" w:line="241" w:lineRule="exact"/>
        <w:rPr>
          <w:sz w:val="20"/>
          <w:szCs w:val="20"/>
          <w:color w:val="auto"/>
        </w:rPr>
      </w:pPr>
    </w:p>
    <w:p>
      <w:pPr>
        <w:ind w:right="20" w:firstLine="324"/>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Income Statement-Reporting Comprehensive Income-Expense Disaggregation Disclosures (Subtopic 220-40): Disaggregation of Income Statement Expenses. </w:t>
      </w:r>
      <w:r>
        <w:rPr>
          <w:rFonts w:ascii="Times New Roman" w:cs="Times New Roman" w:eastAsia="Times New Roman" w:hAnsi="Times New Roman"/>
          <w:sz w:val="18"/>
          <w:szCs w:val="18"/>
          <w:color w:val="auto"/>
        </w:rPr>
        <w:t>In November 2024, the FASB issued ASU 2024-03, Income Statement (Subtopic 220-40): Disaggregation of Income Statement Expenses.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requires public entities to disclose, in the notes to the financial statements, specified information about certain costs and expenses at each interim and annual reporting period. In January 2025, the FASB issued ASU 2025-01, Income Statements (Subtopic 220-40): Clarifying the Effective Date. This ASU is effective for annual reporting periods beginning after December 15, 2026, and interim periods beginning after December 15, 2027, with early adoption permitted. We are currently evaluating the impact of the standard on our condensed consolidated financial statements.</w:t>
      </w:r>
    </w:p>
    <w:p>
      <w:pPr>
        <w:spacing w:after="0" w:line="213" w:lineRule="exact"/>
        <w:rPr>
          <w:sz w:val="20"/>
          <w:szCs w:val="20"/>
          <w:color w:val="auto"/>
        </w:rPr>
      </w:pPr>
    </w:p>
    <w:p>
      <w:pPr>
        <w:ind w:right="80" w:firstLine="324"/>
        <w:spacing w:after="0" w:line="241" w:lineRule="auto"/>
        <w:rPr>
          <w:sz w:val="20"/>
          <w:szCs w:val="20"/>
          <w:color w:val="auto"/>
        </w:rPr>
      </w:pPr>
      <w:r>
        <w:rPr>
          <w:rFonts w:ascii="Times New Roman" w:cs="Times New Roman" w:eastAsia="Times New Roman" w:hAnsi="Times New Roman"/>
          <w:sz w:val="18"/>
          <w:szCs w:val="18"/>
          <w:i w:val="1"/>
          <w:iCs w:val="1"/>
          <w:color w:val="auto"/>
        </w:rPr>
        <w:t>Intangibles - Goodwill and Other - Internal-Use Software (Subtopic 350-40): Targeted Improvements to the Accounting for Internal-Use Software</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2025, the FASB issued ASU 2025-06, Intangibles - Goodwill and Other - Internal-Use Software (Subtopic 350-40): Targeted Improvements to the Accounting for Internal-Use Software. The ASU modernizes the approach for internal-use software by eliminating the previous stage-based capitalization model so that the guidance is neutral to different software development projects. Entities may apply the guidance using a prospective, retrospective or modified transition approach. ASU 2025-06 is effective for fiscal years beginning after December 15, 2027. We are currently evaluating the impact of the standard on our condensed consolidated financial statements.</w:t>
      </w:r>
    </w:p>
    <w:p>
      <w:pPr>
        <w:spacing w:after="0" w:line="21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All other new accounting pronouncements that have been issued but not yet effective are currently being evaluated and at this time are not expected to have a material impact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b w:val="1"/>
          <w:bCs w:val="1"/>
          <w:i w:val="1"/>
          <w:iCs w:val="1"/>
          <w:color w:val="auto"/>
        </w:rPr>
        <w:t>. Computation of Earnings per Common Share</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common share (dollars in thousands, except per share amounts):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7"/>
        </w:trPr>
        <w:tc>
          <w:tcPr>
            <w:tcW w:w="7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80" w:type="dxa"/>
            <w:vAlign w:val="bottom"/>
          </w:tcPr>
          <w:p>
            <w:pPr>
              <w:spacing w:after="0"/>
              <w:rPr>
                <w:sz w:val="20"/>
                <w:szCs w:val="20"/>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April 26, 2025</w:t>
            </w:r>
          </w:p>
        </w:tc>
      </w:tr>
      <w:tr>
        <w:trPr>
          <w:trHeight w:val="254"/>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(numerator)</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55"/>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(denominator)</w:t>
            </w: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29,972,366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28,930,399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54"/>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29,972,366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28,930,399</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Potential shares of common stock arising from stock options, and unvested restricted share units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409,904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333,225</w:t>
            </w:r>
          </w:p>
        </w:tc>
      </w:tr>
      <w:tr>
        <w:trPr>
          <w:trHeight w:val="248"/>
        </w:trPr>
        <w:tc>
          <w:tcPr>
            <w:tcW w:w="7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shares-diluted (denominator)</w:t>
            </w: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30,382,270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29,263,624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54"/>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55"/>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weighted shares excluded from the calculation of earnings per common share</w:t>
            </w: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Acquisitions</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Fiscal 2026. </w:t>
      </w:r>
      <w:r>
        <w:rPr>
          <w:rFonts w:ascii="Times New Roman" w:cs="Times New Roman" w:eastAsia="Times New Roman" w:hAnsi="Times New Roman"/>
          <w:sz w:val="18"/>
          <w:szCs w:val="18"/>
          <w:color w:val="auto"/>
        </w:rPr>
        <w:t>During the fourth quarter of fiscal 2026, we acquired Power Solutions, LLC (“Power Solutions”), a company that provides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building infrastructure solutions, including electrical, energy management, security, and fire safety systems for data centers and other</w:t>
      </w:r>
    </w:p>
    <w:p>
      <w:pPr>
        <w:spacing w:after="0" w:line="219" w:lineRule="auto"/>
        <w:rPr>
          <w:sz w:val="20"/>
          <w:szCs w:val="20"/>
          <w:color w:val="auto"/>
        </w:rPr>
      </w:pPr>
      <w:r>
        <w:rPr>
          <w:rFonts w:ascii="Times New Roman" w:cs="Times New Roman" w:eastAsia="Times New Roman" w:hAnsi="Times New Roman"/>
          <w:sz w:val="18"/>
          <w:szCs w:val="18"/>
          <w:color w:val="auto"/>
        </w:rPr>
        <w:t>critical facilities in the Greater Washington D.C., Maryland, and Virginia area. This acquisition expands our service offerings and our customer base. The</w:t>
      </w:r>
    </w:p>
    <w:p>
      <w:pPr>
        <w:spacing w:after="0" w:line="234" w:lineRule="auto"/>
        <w:rPr>
          <w:sz w:val="20"/>
          <w:szCs w:val="20"/>
          <w:color w:val="auto"/>
        </w:rPr>
      </w:pPr>
      <w:r>
        <w:rPr>
          <w:rFonts w:ascii="Times New Roman" w:cs="Times New Roman" w:eastAsia="Times New Roman" w:hAnsi="Times New Roman"/>
          <w:sz w:val="18"/>
          <w:szCs w:val="18"/>
          <w:color w:val="auto"/>
        </w:rPr>
        <w:t>purchase price was valued at $1.95 billion as of the signing of the acquisition on a cash-free, debt-free basis. The value was subject to post-closing</w:t>
      </w:r>
    </w:p>
    <w:p>
      <w:pPr>
        <w:spacing w:after="0" w:line="235" w:lineRule="auto"/>
        <w:rPr>
          <w:sz w:val="20"/>
          <w:szCs w:val="20"/>
          <w:color w:val="auto"/>
        </w:rPr>
      </w:pPr>
      <w:r>
        <w:rPr>
          <w:rFonts w:ascii="Times New Roman" w:cs="Times New Roman" w:eastAsia="Times New Roman" w:hAnsi="Times New Roman"/>
          <w:sz w:val="18"/>
          <w:szCs w:val="18"/>
          <w:color w:val="auto"/>
        </w:rPr>
        <w:t>adjustment, including the final determination of cash, indebtedness and working capital balances. At the closing date, the funding of the acquisition</w:t>
      </w:r>
    </w:p>
    <w:p>
      <w:pPr>
        <w:spacing w:after="0" w:line="235" w:lineRule="auto"/>
        <w:rPr>
          <w:sz w:val="20"/>
          <w:szCs w:val="20"/>
          <w:color w:val="auto"/>
        </w:rPr>
      </w:pPr>
      <w:r>
        <w:rPr>
          <w:rFonts w:ascii="Times New Roman" w:cs="Times New Roman" w:eastAsia="Times New Roman" w:hAnsi="Times New Roman"/>
          <w:sz w:val="18"/>
          <w:szCs w:val="18"/>
          <w:color w:val="auto"/>
        </w:rPr>
        <w:t>included a cash payment of $1,644.9 million ($1,628.6 million net of cash acquired of $16.3 million), the issuance of 1,011,069 shares of Dycom common</w:t>
      </w:r>
    </w:p>
    <w:p>
      <w:pPr>
        <w:spacing w:after="0" w:line="235" w:lineRule="auto"/>
        <w:rPr>
          <w:sz w:val="20"/>
          <w:szCs w:val="20"/>
          <w:color w:val="auto"/>
        </w:rPr>
      </w:pPr>
      <w:r>
        <w:rPr>
          <w:rFonts w:ascii="Times New Roman" w:cs="Times New Roman" w:eastAsia="Times New Roman" w:hAnsi="Times New Roman"/>
          <w:sz w:val="18"/>
          <w:szCs w:val="18"/>
          <w:color w:val="auto"/>
        </w:rPr>
        <w:t>stock to the sellers valued at $351.0 million, and the assumption of seller indebtedness of $64.8 million. A post-closing working capital adjustment of</w:t>
      </w:r>
    </w:p>
    <w:p>
      <w:pPr>
        <w:spacing w:after="0" w:line="235" w:lineRule="auto"/>
        <w:rPr>
          <w:sz w:val="20"/>
          <w:szCs w:val="20"/>
          <w:color w:val="auto"/>
        </w:rPr>
      </w:pPr>
      <w:r>
        <w:rPr>
          <w:rFonts w:ascii="Times New Roman" w:cs="Times New Roman" w:eastAsia="Times New Roman" w:hAnsi="Times New Roman"/>
          <w:sz w:val="18"/>
          <w:szCs w:val="18"/>
          <w:color w:val="auto"/>
        </w:rPr>
        <w:t>$12.8 million was recorded during the first quarter of fiscal 2027. Total consideration was $2,008.7 million. The acquisition of Power Solutions resulted in</w:t>
      </w:r>
    </w:p>
    <w:p>
      <w:pPr>
        <w:spacing w:after="0" w:line="234" w:lineRule="auto"/>
        <w:rPr>
          <w:sz w:val="20"/>
          <w:szCs w:val="20"/>
          <w:color w:val="auto"/>
        </w:rPr>
      </w:pPr>
      <w:r>
        <w:rPr>
          <w:rFonts w:ascii="Times New Roman" w:cs="Times New Roman" w:eastAsia="Times New Roman" w:hAnsi="Times New Roman"/>
          <w:sz w:val="18"/>
          <w:szCs w:val="18"/>
          <w:color w:val="auto"/>
        </w:rPr>
        <w:t>the addition of a new operating segment which is also a new reportable segment – Building Systems. For additional information on our reportable</w:t>
      </w:r>
    </w:p>
    <w:p>
      <w:pPr>
        <w:spacing w:after="0" w:line="235" w:lineRule="auto"/>
        <w:rPr>
          <w:sz w:val="20"/>
          <w:szCs w:val="20"/>
          <w:color w:val="auto"/>
        </w:rPr>
      </w:pPr>
      <w:r>
        <w:rPr>
          <w:rFonts w:ascii="Times New Roman" w:cs="Times New Roman" w:eastAsia="Times New Roman" w:hAnsi="Times New Roman"/>
          <w:sz w:val="18"/>
          <w:szCs w:val="18"/>
          <w:color w:val="auto"/>
        </w:rPr>
        <w:t xml:space="preserve">segments, see Note 20,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The purchase price allocation for this business is preliminary and will be completed when valuations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and other amounts are finalized within the 12-month measurement period from the date of acquisition.</w:t>
      </w:r>
    </w:p>
    <w:p>
      <w:pPr>
        <w:spacing w:after="0" w:line="232"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purchase price of the acquired company was allocated based on the fair value of the assets acquired and the liabilities assumed on the date of acquisition. The excess purchase price over the estimated fair value of the net assets acquired was recognized as goodwill.</w:t>
      </w:r>
    </w:p>
    <w:p>
      <w:pPr>
        <w:spacing w:after="0" w:line="18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aggregate consideration paid and the estimated fair value of assets acquired and liabilities assumed as of the acquisition date (dollars in millions):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830"/>
        </w:trPr>
        <w:tc>
          <w:tcPr>
            <w:tcW w:w="1280" w:type="dxa"/>
            <w:vAlign w:val="bottom"/>
            <w:tcBorders>
              <w:top w:val="single" w:sz="8" w:color="0000FF"/>
              <w:bottom w:val="single" w:sz="8" w:color="CCEEFF"/>
            </w:tcBorders>
          </w:tcPr>
          <w:p>
            <w:pPr>
              <w:spacing w:after="0"/>
              <w:rPr>
                <w:sz w:val="24"/>
                <w:szCs w:val="24"/>
                <w:color w:val="auto"/>
              </w:rPr>
            </w:pPr>
          </w:p>
        </w:tc>
        <w:tc>
          <w:tcPr>
            <w:tcW w:w="8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Fiscal 2026</w:t>
            </w:r>
          </w:p>
        </w:tc>
      </w:tr>
      <w:tr>
        <w:trPr>
          <w:trHeight w:val="210"/>
        </w:trPr>
        <w:tc>
          <w:tcPr>
            <w:tcW w:w="9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9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and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30"/>
        </w:trPr>
        <w:tc>
          <w:tcPr>
            <w:tcW w:w="9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r>
      <w:tr>
        <w:trPr>
          <w:trHeight w:val="229"/>
        </w:trPr>
        <w:tc>
          <w:tcPr>
            <w:tcW w:w="9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9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9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9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1,124.4</w:t>
            </w:r>
          </w:p>
        </w:tc>
      </w:tr>
      <w:tr>
        <w:trPr>
          <w:trHeight w:val="230"/>
        </w:trPr>
        <w:tc>
          <w:tcPr>
            <w:tcW w:w="9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w:t>
            </w:r>
          </w:p>
        </w:tc>
      </w:tr>
      <w:tr>
        <w:trPr>
          <w:trHeight w:val="229"/>
        </w:trPr>
        <w:tc>
          <w:tcPr>
            <w:tcW w:w="9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3"/>
        </w:trPr>
        <w:tc>
          <w:tcPr>
            <w:tcW w:w="9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2,285.9</w:t>
            </w:r>
          </w:p>
        </w:tc>
      </w:tr>
      <w:tr>
        <w:trPr>
          <w:trHeight w:val="270"/>
        </w:trPr>
        <w:tc>
          <w:tcPr>
            <w:tcW w:w="9380" w:type="dxa"/>
            <w:vAlign w:val="bottom"/>
            <w:gridSpan w:val="2"/>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3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9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30"/>
        </w:trPr>
        <w:tc>
          <w:tcPr>
            <w:tcW w:w="9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29"/>
        </w:trPr>
        <w:tc>
          <w:tcPr>
            <w:tcW w:w="9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93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3"/>
        </w:trPr>
        <w:tc>
          <w:tcPr>
            <w:tcW w:w="9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r>
      <w:tr>
        <w:trPr>
          <w:trHeight w:val="270"/>
        </w:trPr>
        <w:tc>
          <w:tcPr>
            <w:tcW w:w="9380" w:type="dxa"/>
            <w:vAlign w:val="bottom"/>
            <w:tcBorders>
              <w:bottom w:val="single" w:sz="8" w:color="CCEEFF"/>
            </w:tcBorders>
            <w:gridSpan w:val="2"/>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r>
      <w:tr>
        <w:trPr>
          <w:trHeight w:val="248"/>
        </w:trPr>
        <w:tc>
          <w:tcPr>
            <w:tcW w:w="93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8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excess purchase price over the estimated fair value of the net assets acquired was recognized as goodwill. Goodwill and intangible assets total $1,899.4 million and are deductible for tax purposes. Accounts receivable, contract assets (liabilities) and current liabilities were either stated at their historical carrying values, which approximate fair value given the short-term nature of these assets and liabilities, or were stated at their fair values based on an evaluation of the current market value of such assets and liabilities. The estimate of fair value for fixed assets was based on an assessment of acquired assets’ condition as well as an evaluation of the current market value of such assets.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recorded intangible assets based on its estimate of fair value which consisted of the following (dollars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Estimated Useful Life</w:t>
            </w:r>
          </w:p>
        </w:tc>
        <w:tc>
          <w:tcPr>
            <w:tcW w:w="220" w:type="dxa"/>
            <w:vAlign w:val="bottom"/>
          </w:tcPr>
          <w:p>
            <w:pPr>
              <w:spacing w:after="0"/>
              <w:rPr>
                <w:sz w:val="18"/>
                <w:szCs w:val="18"/>
                <w:color w:val="auto"/>
              </w:rPr>
            </w:pPr>
          </w:p>
        </w:tc>
        <w:tc>
          <w:tcPr>
            <w:tcW w:w="1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Intangible Assets</w:t>
            </w:r>
          </w:p>
        </w:tc>
      </w:tr>
      <w:tr>
        <w:trPr>
          <w:trHeight w:val="237"/>
        </w:trPr>
        <w:tc>
          <w:tcPr>
            <w:tcW w:w="724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220" w:type="dxa"/>
            <w:vAlign w:val="bottom"/>
          </w:tcPr>
          <w:p>
            <w:pPr>
              <w:spacing w:after="0"/>
              <w:rPr>
                <w:sz w:val="20"/>
                <w:szCs w:val="20"/>
                <w:color w:val="auto"/>
              </w:rPr>
            </w:pPr>
          </w:p>
        </w:tc>
        <w:tc>
          <w:tcPr>
            <w:tcW w:w="17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Acquired</w:t>
            </w:r>
          </w:p>
        </w:tc>
      </w:tr>
      <w:tr>
        <w:trPr>
          <w:trHeight w:val="229"/>
        </w:trPr>
        <w:tc>
          <w:tcPr>
            <w:tcW w:w="7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w:t>
            </w:r>
          </w:p>
        </w:tc>
      </w:tr>
      <w:tr>
        <w:trPr>
          <w:trHeight w:val="230"/>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Backlog intangibles</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r>
      <w:tr>
        <w:trPr>
          <w:trHeight w:val="230"/>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3"/>
        </w:trPr>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intangible assets acquired</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775.0</w:t>
            </w:r>
          </w:p>
        </w:tc>
      </w:tr>
      <w:tr>
        <w:trPr>
          <w:trHeight w:val="20"/>
        </w:trPr>
        <w:tc>
          <w:tcPr>
            <w:tcW w:w="7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360" w:firstLine="324"/>
        <w:spacing w:after="0" w:line="258" w:lineRule="auto"/>
        <w:rPr>
          <w:sz w:val="20"/>
          <w:szCs w:val="20"/>
          <w:color w:val="auto"/>
        </w:rPr>
      </w:pPr>
      <w:r>
        <w:rPr>
          <w:rFonts w:ascii="Times New Roman" w:cs="Times New Roman" w:eastAsia="Times New Roman" w:hAnsi="Times New Roman"/>
          <w:sz w:val="18"/>
          <w:szCs w:val="18"/>
          <w:color w:val="auto"/>
        </w:rPr>
        <w:t>The valuation of intangible assets was determined using the income approach methodology. More specifically, the fair values of the customer relationships and the backlog intangibles were estimated using the multi-period excess earnings method, while the trade name was estimated using the relief-from-royalty method. Significant judgments and assumptions used in estimating management’s cash flow projections included projected revenue growth rates, profit margins, discount rates, customer attrition rates and royalty rates among others. The projected future cash flows are discounted to present value using an appropriate discount rate.</w:t>
      </w:r>
    </w:p>
    <w:p>
      <w:pPr>
        <w:spacing w:after="0" w:line="210"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 xml:space="preserve">Results of the business acquired are included our condensed consolidated financial statements from the date of acquisition and represents the newly formed Building Systems reportable segment. For additional information on our reportable segments, including the results of the Building Systems segment, see Note 20,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following unaudited supplemental pro forma results of operations for the Company have been provided for illustrative purposes only and may not be indicative of the actual results that would have been achieved by the combined companies for the periods presented or that may be achieved by the combined companies in the future (dollars in thousands).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838"/>
        </w:trPr>
        <w:tc>
          <w:tcPr>
            <w:tcW w:w="1280" w:type="dxa"/>
            <w:vAlign w:val="bottom"/>
            <w:tcBorders>
              <w:top w:val="single" w:sz="8" w:color="0000FF"/>
            </w:tcBorders>
          </w:tcPr>
          <w:p>
            <w:pPr>
              <w:spacing w:after="0"/>
              <w:rPr>
                <w:sz w:val="24"/>
                <w:szCs w:val="24"/>
                <w:color w:val="auto"/>
              </w:rPr>
            </w:pPr>
          </w:p>
        </w:tc>
        <w:tc>
          <w:tcPr>
            <w:tcW w:w="59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7"/>
        </w:trPr>
        <w:tc>
          <w:tcPr>
            <w:tcW w:w="1280" w:type="dxa"/>
            <w:vAlign w:val="bottom"/>
            <w:tcBorders>
              <w:bottom w:val="single" w:sz="8" w:color="CCEEFF"/>
            </w:tcBorders>
          </w:tcPr>
          <w:p>
            <w:pPr>
              <w:spacing w:after="0"/>
              <w:rPr>
                <w:sz w:val="20"/>
                <w:szCs w:val="20"/>
                <w:color w:val="auto"/>
              </w:rPr>
            </w:pPr>
          </w:p>
        </w:tc>
        <w:tc>
          <w:tcPr>
            <w:tcW w:w="59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3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April 26, 2025</w:t>
            </w:r>
          </w:p>
        </w:tc>
      </w:tr>
      <w:tr>
        <w:trPr>
          <w:trHeight w:val="22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1,964,782</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1,476,535</w:t>
            </w:r>
          </w:p>
        </w:tc>
      </w:tr>
      <w:tr>
        <w:trPr>
          <w:trHeight w:val="234"/>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91,289</w:t>
            </w:r>
          </w:p>
        </w:tc>
        <w:tc>
          <w:tcPr>
            <w:tcW w:w="3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36,655</w:t>
            </w:r>
          </w:p>
        </w:tc>
      </w:tr>
    </w:tbl>
    <w:p>
      <w:pPr>
        <w:spacing w:after="0" w:line="314"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pro forma combined results of operations for the three months ended April 26, 2025 were prepared by adjusting the historical results of Dycom to include the historical results of the business acquired in fiscal 2026 as if such acquisition had occurred at the beginning of fiscal 2025. These pro forma combined historical results were adjusted for the following: an increase in interest and other financing expenses as a result of the debt incurred by Dycom for the purpose of financing the acquisition of Power Solutions and cash consideration paid for the acquired business and an increase in amortization expense due to the intangible assets recorded. The pro forma combined results of operations do not include any adjustments to eliminate the impact of acquisition-related costs incurred by Dycom or the acquired business or any cost savings or other synergies that resulted or may result from the acquisitions.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Accounts Receivable, Contract Assets, and Contract Liabilities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provides further details on the balance sheet accounts of accounts receivable, net; contract assets; and contract liabilities.</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Accounts receivable, net, classified as current, consisted of the following (dollars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20" w:type="dxa"/>
            <w:vAlign w:val="bottom"/>
          </w:tcPr>
          <w:p>
            <w:pPr>
              <w:spacing w:after="0"/>
              <w:rPr>
                <w:sz w:val="21"/>
                <w:szCs w:val="21"/>
                <w:color w:val="auto"/>
              </w:rPr>
            </w:pPr>
          </w:p>
        </w:tc>
        <w:tc>
          <w:tcPr>
            <w:tcW w:w="17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January 31, 2026</w:t>
            </w:r>
          </w:p>
        </w:tc>
      </w:tr>
      <w:tr>
        <w:trPr>
          <w:trHeight w:val="230"/>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761,143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699,904</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1,105,804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880,364</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Retainage</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119,321</w:t>
            </w:r>
          </w:p>
        </w:tc>
      </w:tr>
      <w:tr>
        <w:trPr>
          <w:trHeight w:val="223"/>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1,983,444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1,699,589</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r>
      <w:tr>
        <w:trPr>
          <w:trHeight w:val="223"/>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1,980,558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1,696,973</w:t>
            </w:r>
          </w:p>
        </w:tc>
      </w:tr>
      <w:tr>
        <w:trPr>
          <w:trHeight w:val="21"/>
        </w:trPr>
        <w:tc>
          <w:tcPr>
            <w:tcW w:w="7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maintain an allowance for estimated losses on uncollected balances. The allowance for credit losses changed as follows (dollars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37"/>
        </w:trPr>
        <w:tc>
          <w:tcPr>
            <w:tcW w:w="7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20" w:type="dxa"/>
            <w:vAlign w:val="bottom"/>
          </w:tcPr>
          <w:p>
            <w:pPr>
              <w:spacing w:after="0"/>
              <w:rPr>
                <w:sz w:val="20"/>
                <w:szCs w:val="20"/>
                <w:color w:val="auto"/>
              </w:rPr>
            </w:pPr>
          </w:p>
        </w:tc>
        <w:tc>
          <w:tcPr>
            <w:tcW w:w="17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0" w:type="dxa"/>
            <w:vAlign w:val="bottom"/>
          </w:tcPr>
          <w:p>
            <w:pPr>
              <w:spacing w:after="0"/>
              <w:rPr>
                <w:sz w:val="1"/>
                <w:szCs w:val="1"/>
                <w:color w:val="auto"/>
              </w:rPr>
            </w:pPr>
          </w:p>
        </w:tc>
      </w:tr>
      <w:tr>
        <w:trPr>
          <w:trHeight w:val="230"/>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beginning of period</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(recovery of) bad debt</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charged against the allowance</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end of period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1"/>
        </w:trPr>
        <w:tc>
          <w:tcPr>
            <w:tcW w:w="71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Contract Assets and Contract Liabilities</w:t>
            </w: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contract assets consisted of the following (dollars in thousands):</w:t>
            </w: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20" w:type="dxa"/>
            <w:vAlign w:val="bottom"/>
          </w:tcPr>
          <w:p>
            <w:pPr>
              <w:spacing w:after="0"/>
              <w:rPr>
                <w:sz w:val="22"/>
                <w:szCs w:val="22"/>
                <w:color w:val="auto"/>
              </w:rPr>
            </w:pPr>
          </w:p>
        </w:tc>
        <w:tc>
          <w:tcPr>
            <w:tcW w:w="17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0" w:type="dxa"/>
            <w:vAlign w:val="bottom"/>
          </w:tcPr>
          <w:p>
            <w:pPr>
              <w:spacing w:after="0"/>
              <w:rPr>
                <w:sz w:val="1"/>
                <w:szCs w:val="1"/>
                <w:color w:val="auto"/>
              </w:rPr>
            </w:pPr>
          </w:p>
        </w:tc>
      </w:tr>
      <w:tr>
        <w:trPr>
          <w:trHeight w:val="230"/>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240,133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162,327</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158,503</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change in contract assets, net, primarily resulted from increased services performed under contracts consisting of multiple tasks. During the three months ended May 2, 2026, we performed services and recognized $122.7 million of contract revenues related to contract liabilities that existed at January 31, 2026.</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Customer Credit Concentration</w:t>
      </w:r>
    </w:p>
    <w:p>
      <w:pPr>
        <w:spacing w:after="0" w:line="25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Customers whose combined amounts of accounts receivable and contract assets, net, exceeded 10% of total combined accounts receivable and contract assets, net as of May 2, 2026 or January 31, 2026 were as follows (dollars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4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60" w:type="dxa"/>
            <w:vAlign w:val="bottom"/>
          </w:tcPr>
          <w:p>
            <w:pPr>
              <w:spacing w:after="0"/>
              <w:rPr>
                <w:sz w:val="21"/>
                <w:szCs w:val="21"/>
                <w:color w:val="auto"/>
              </w:rPr>
            </w:pPr>
          </w:p>
        </w:tc>
        <w:tc>
          <w:tcPr>
            <w:tcW w:w="27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January 31, 2026</w:t>
            </w:r>
          </w:p>
        </w:tc>
      </w:tr>
      <w:tr>
        <w:trPr>
          <w:trHeight w:val="229"/>
        </w:trPr>
        <w:tc>
          <w:tcPr>
            <w:tcW w:w="5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of Total</w:t>
            </w:r>
          </w:p>
        </w:tc>
      </w:tr>
      <w:tr>
        <w:trPr>
          <w:trHeight w:val="223"/>
        </w:trPr>
        <w:tc>
          <w:tcPr>
            <w:tcW w:w="514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Verizon Communications Inc. </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Charter Communications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Lumen Technologies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15.2%</w:t>
            </w:r>
          </w:p>
        </w:tc>
      </w:tr>
    </w:tbl>
    <w:p>
      <w:pPr>
        <w:spacing w:after="0" w:line="76" w:lineRule="exact"/>
        <w:rPr>
          <w:sz w:val="20"/>
          <w:szCs w:val="20"/>
          <w:color w:val="auto"/>
        </w:rPr>
      </w:pPr>
    </w:p>
    <w:p>
      <w:pPr>
        <w:ind w:right="200" w:firstLine="8"/>
        <w:spacing w:after="0" w:line="242" w:lineRule="auto"/>
        <w:tabs>
          <w:tab w:leader="none" w:pos="181"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January 20, 2026, Verizon Communications, Inc. completed its acquisition of Frontier Communications Corporation. As a result, amounts reported for Verizon Communications, Inc. include the respective balances for Frontier Communications Corporation retrospectively for all periods presented.</w:t>
      </w:r>
    </w:p>
    <w:p>
      <w:pPr>
        <w:spacing w:after="0" w:line="223"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We believe that none of our significant customers were experiencing financial difficulties that would materially impact the collectability of our total accounts receivable and contract assets, net, as of May 2, 2026 or January 31, 2026.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7. Other Current Assets and Other Assets</w:t>
            </w:r>
          </w:p>
        </w:tc>
        <w:tc>
          <w:tcPr>
            <w:tcW w:w="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 consisted of the following (dollars in thousands):</w:t>
            </w: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20" w:type="dxa"/>
            <w:vAlign w:val="bottom"/>
          </w:tcPr>
          <w:p>
            <w:pPr>
              <w:spacing w:after="0"/>
              <w:rPr>
                <w:sz w:val="22"/>
                <w:szCs w:val="22"/>
                <w:color w:val="auto"/>
              </w:rPr>
            </w:pPr>
          </w:p>
        </w:tc>
        <w:tc>
          <w:tcPr>
            <w:tcW w:w="17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0" w:type="dxa"/>
            <w:vAlign w:val="bottom"/>
          </w:tcPr>
          <w:p>
            <w:pPr>
              <w:spacing w:after="0"/>
              <w:rPr>
                <w:sz w:val="1"/>
                <w:szCs w:val="1"/>
                <w:color w:val="auto"/>
              </w:rPr>
            </w:pPr>
          </w:p>
        </w:tc>
      </w:tr>
      <w:tr>
        <w:trPr>
          <w:trHeight w:val="230"/>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27,764</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and other current assets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11,021</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on equipment sales</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40,212</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Other assets consisted of the following (dollars in thousands):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20" w:type="dxa"/>
            <w:vAlign w:val="bottom"/>
          </w:tcPr>
          <w:p>
            <w:pPr>
              <w:spacing w:after="0"/>
              <w:rPr>
                <w:sz w:val="22"/>
                <w:szCs w:val="22"/>
                <w:color w:val="auto"/>
              </w:rPr>
            </w:pPr>
          </w:p>
        </w:tc>
        <w:tc>
          <w:tcPr>
            <w:tcW w:w="17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0" w:type="dxa"/>
            <w:vAlign w:val="bottom"/>
          </w:tcPr>
          <w:p>
            <w:pPr>
              <w:spacing w:after="0"/>
              <w:rPr>
                <w:sz w:val="1"/>
                <w:szCs w:val="1"/>
                <w:color w:val="auto"/>
              </w:rPr>
            </w:pPr>
          </w:p>
        </w:tc>
      </w:tr>
      <w:tr>
        <w:trPr>
          <w:trHeight w:val="229"/>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cloud computing implementation costs</w:t>
            </w:r>
          </w:p>
        </w:tc>
        <w:tc>
          <w:tcPr>
            <w:tcW w:w="32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65,738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61,678</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recoveries/receivables for accrued insurance claims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8,570</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10,576</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26,724</w:t>
            </w:r>
          </w:p>
        </w:tc>
        <w:tc>
          <w:tcPr>
            <w:tcW w:w="0" w:type="dxa"/>
            <w:vAlign w:val="bottom"/>
          </w:tcPr>
          <w:p>
            <w:pPr>
              <w:spacing w:after="0"/>
              <w:rPr>
                <w:sz w:val="1"/>
                <w:szCs w:val="1"/>
                <w:color w:val="auto"/>
              </w:rPr>
            </w:pPr>
          </w:p>
        </w:tc>
      </w:tr>
      <w:tr>
        <w:trPr>
          <w:trHeight w:val="223"/>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117,487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107,880</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 xml:space="preserve">Amortization of capitalized cloud computing implementation costs that are included in general and administrative expense was $1.0 million and $0.4 million for the three months ended May 2, 2026 and April 26, 2025, respectively. See Note 11, </w:t>
      </w:r>
      <w:r>
        <w:rPr>
          <w:rFonts w:ascii="Times New Roman" w:cs="Times New Roman" w:eastAsia="Times New Roman" w:hAnsi="Times New Roman"/>
          <w:sz w:val="18"/>
          <w:szCs w:val="18"/>
          <w:i w:val="1"/>
          <w:iCs w:val="1"/>
          <w:color w:val="auto"/>
        </w:rPr>
        <w:t>Accrued Insurance Claims</w:t>
      </w:r>
      <w:r>
        <w:rPr>
          <w:rFonts w:ascii="Times New Roman" w:cs="Times New Roman" w:eastAsia="Times New Roman" w:hAnsi="Times New Roman"/>
          <w:sz w:val="18"/>
          <w:szCs w:val="18"/>
          <w:color w:val="auto"/>
        </w:rPr>
        <w:t>, for information on our Insurance recoveries/receivables.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Cash and Equivalents and Restricted Cash</w:t>
      </w:r>
    </w:p>
    <w:p>
      <w:pPr>
        <w:spacing w:after="0" w:line="229" w:lineRule="exact"/>
        <w:rPr>
          <w:sz w:val="20"/>
          <w:szCs w:val="20"/>
          <w:color w:val="auto"/>
        </w:rPr>
      </w:pPr>
    </w:p>
    <w:p>
      <w:pPr>
        <w:ind w:right="40" w:firstLine="324"/>
        <w:spacing w:after="0" w:line="271" w:lineRule="auto"/>
        <w:rPr>
          <w:sz w:val="20"/>
          <w:szCs w:val="20"/>
          <w:color w:val="auto"/>
        </w:rPr>
      </w:pPr>
      <w:r>
        <w:rPr>
          <w:rFonts w:ascii="Times New Roman" w:cs="Times New Roman" w:eastAsia="Times New Roman" w:hAnsi="Times New Roman"/>
          <w:sz w:val="18"/>
          <w:szCs w:val="18"/>
          <w:color w:val="auto"/>
        </w:rPr>
        <w:t>Amounts of cash and equivalents and restricted cash reported in the condensed consolidated statement of cash flows consisted of the following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20" w:type="dxa"/>
            <w:vAlign w:val="bottom"/>
          </w:tcPr>
          <w:p>
            <w:pPr>
              <w:spacing w:after="0"/>
              <w:rPr>
                <w:sz w:val="21"/>
                <w:szCs w:val="21"/>
                <w:color w:val="auto"/>
              </w:rPr>
            </w:pPr>
          </w:p>
        </w:tc>
        <w:tc>
          <w:tcPr>
            <w:tcW w:w="17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January 31, 2026</w:t>
            </w:r>
          </w:p>
        </w:tc>
      </w:tr>
      <w:tr>
        <w:trPr>
          <w:trHeight w:val="230"/>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equivalents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538,826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709,165</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w:t>
            </w: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30"/>
        </w:trPr>
        <w:tc>
          <w:tcPr>
            <w:tcW w:w="7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assets (long-term)</w:t>
            </w: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48"/>
        </w:trPr>
        <w:tc>
          <w:tcPr>
            <w:tcW w:w="7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equivalents and restricted cash</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710,869</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Property and Equipment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consisted of the following (dollars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1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Estimated Useful</w:t>
            </w:r>
          </w:p>
        </w:tc>
        <w:tc>
          <w:tcPr>
            <w:tcW w:w="320" w:type="dxa"/>
            <w:vAlign w:val="bottom"/>
          </w:tcPr>
          <w:p>
            <w:pPr>
              <w:spacing w:after="0"/>
              <w:rPr>
                <w:sz w:val="17"/>
                <w:szCs w:val="17"/>
                <w:color w:val="auto"/>
              </w:rPr>
            </w:pPr>
          </w:p>
        </w:tc>
        <w:tc>
          <w:tcPr>
            <w:tcW w:w="17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20" w:type="dxa"/>
            <w:vAlign w:val="bottom"/>
          </w:tcPr>
          <w:p>
            <w:pPr>
              <w:spacing w:after="0"/>
              <w:rPr>
                <w:sz w:val="17"/>
                <w:szCs w:val="17"/>
                <w:color w:val="auto"/>
              </w:rPr>
            </w:pPr>
          </w:p>
        </w:tc>
        <w:tc>
          <w:tcPr>
            <w:tcW w:w="17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0" w:type="dxa"/>
            <w:vAlign w:val="bottom"/>
          </w:tcPr>
          <w:p>
            <w:pPr>
              <w:spacing w:after="0"/>
              <w:rPr>
                <w:sz w:val="1"/>
                <w:szCs w:val="1"/>
                <w:color w:val="auto"/>
              </w:rPr>
            </w:pPr>
          </w:p>
        </w:tc>
      </w:tr>
      <w:tr>
        <w:trPr>
          <w:trHeight w:val="250"/>
        </w:trPr>
        <w:tc>
          <w:tcPr>
            <w:tcW w:w="5220" w:type="dxa"/>
            <w:vAlign w:val="bottom"/>
          </w:tcPr>
          <w:p>
            <w:pPr>
              <w:spacing w:after="0"/>
              <w:rPr>
                <w:sz w:val="21"/>
                <w:szCs w:val="21"/>
                <w:color w:val="auto"/>
              </w:rPr>
            </w:pPr>
          </w:p>
        </w:tc>
        <w:tc>
          <w:tcPr>
            <w:tcW w:w="1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Lives (Years)</w:t>
            </w:r>
          </w:p>
        </w:tc>
        <w:tc>
          <w:tcPr>
            <w:tcW w:w="320" w:type="dxa"/>
            <w:vAlign w:val="bottom"/>
          </w:tcPr>
          <w:p>
            <w:pPr>
              <w:spacing w:after="0"/>
              <w:rPr>
                <w:sz w:val="21"/>
                <w:szCs w:val="21"/>
                <w:color w:val="auto"/>
              </w:rPr>
            </w:pPr>
          </w:p>
        </w:tc>
        <w:tc>
          <w:tcPr>
            <w:tcW w:w="176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25,005</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26,706</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1,008,988</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and machinery</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467,666</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142,881</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0" w:type="dxa"/>
            <w:vAlign w:val="bottom"/>
          </w:tcPr>
          <w:p>
            <w:pPr>
              <w:spacing w:after="0"/>
              <w:rPr>
                <w:sz w:val="1"/>
                <w:szCs w:val="1"/>
                <w:color w:val="auto"/>
              </w:rPr>
            </w:pPr>
          </w:p>
        </w:tc>
      </w:tr>
      <w:tr>
        <w:trPr>
          <w:trHeight w:val="223"/>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1,744,612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1,687,854</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(1,153,042)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(1,112,478)</w:t>
            </w:r>
          </w:p>
        </w:tc>
        <w:tc>
          <w:tcPr>
            <w:tcW w:w="0" w:type="dxa"/>
            <w:vAlign w:val="bottom"/>
          </w:tcPr>
          <w:p>
            <w:pPr>
              <w:spacing w:after="0"/>
              <w:rPr>
                <w:sz w:val="1"/>
                <w:szCs w:val="1"/>
                <w:color w:val="auto"/>
              </w:rPr>
            </w:pPr>
          </w:p>
        </w:tc>
      </w:tr>
      <w:tr>
        <w:trPr>
          <w:trHeight w:val="223"/>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591,570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575,376</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was $53.4 million and $46.4 million for the three months ended May 2, 2026 and April 26, 2025, respectively.</w:t>
      </w:r>
    </w:p>
    <w:p>
      <w:pPr>
        <w:spacing w:after="0" w:line="248" w:lineRule="exact"/>
        <w:rPr>
          <w:sz w:val="20"/>
          <w:szCs w:val="20"/>
          <w:color w:val="auto"/>
        </w:rPr>
      </w:pPr>
    </w:p>
    <w:p>
      <w:pPr>
        <w:ind w:left="340" w:right="8640" w:hanging="332"/>
        <w:spacing w:after="0" w:line="534" w:lineRule="auto"/>
        <w:tabs>
          <w:tab w:leader="none" w:pos="286"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Goodwill and Intangible Assets </w:t>
      </w:r>
      <w:r>
        <w:rPr>
          <w:rFonts w:ascii="Times New Roman" w:cs="Times New Roman" w:eastAsia="Times New Roman" w:hAnsi="Times New Roman"/>
          <w:sz w:val="18"/>
          <w:szCs w:val="18"/>
          <w:b w:val="1"/>
          <w:bCs w:val="1"/>
          <w:color w:val="auto"/>
        </w:rPr>
        <w:t>Goodwill</w:t>
      </w:r>
    </w:p>
    <w:p>
      <w:pPr>
        <w:spacing w:after="0" w:line="1" w:lineRule="exact"/>
        <w:rPr>
          <w:sz w:val="20"/>
          <w:szCs w:val="20"/>
          <w:color w:val="auto"/>
        </w:rPr>
      </w:pPr>
    </w:p>
    <w:p>
      <w:pPr>
        <w:ind w:right="340" w:firstLine="324"/>
        <w:spacing w:after="0" w:line="271" w:lineRule="auto"/>
        <w:rPr>
          <w:sz w:val="20"/>
          <w:szCs w:val="20"/>
          <w:color w:val="auto"/>
        </w:rPr>
      </w:pPr>
      <w:r>
        <w:rPr>
          <w:rFonts w:ascii="Times New Roman" w:cs="Times New Roman" w:eastAsia="Times New Roman" w:hAnsi="Times New Roman"/>
          <w:sz w:val="18"/>
          <w:szCs w:val="18"/>
          <w:color w:val="auto"/>
        </w:rPr>
        <w:t>The Company’s goodwill balance was $1,457.1 million and $1,443.4 million as of May 2, 2026 and January 31, 2026, respectively. Changes in the carrying amount of goodwill consisted of the following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160" w:type="dxa"/>
            <w:vAlign w:val="bottom"/>
          </w:tcPr>
          <w:p>
            <w:pPr>
              <w:spacing w:after="0"/>
              <w:rPr>
                <w:sz w:val="20"/>
                <w:szCs w:val="20"/>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Building Systems</w:t>
            </w:r>
          </w:p>
        </w:tc>
        <w:tc>
          <w:tcPr>
            <w:tcW w:w="380" w:type="dxa"/>
            <w:vAlign w:val="bottom"/>
          </w:tcPr>
          <w:p>
            <w:pPr>
              <w:spacing w:after="0"/>
              <w:rPr>
                <w:sz w:val="20"/>
                <w:szCs w:val="20"/>
                <w:color w:val="auto"/>
              </w:rPr>
            </w:pPr>
          </w:p>
        </w:tc>
        <w:tc>
          <w:tcPr>
            <w:tcW w:w="13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2026</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332,645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1,110,790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1,443,435</w:t>
            </w:r>
          </w:p>
        </w:tc>
      </w:tr>
      <w:tr>
        <w:trPr>
          <w:trHeight w:val="229"/>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adjustment from fiscal 2026 acquisitions</w:t>
            </w:r>
          </w:p>
        </w:tc>
        <w:tc>
          <w:tcPr>
            <w:tcW w:w="16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13,642</w:t>
            </w:r>
          </w:p>
        </w:tc>
      </w:tr>
      <w:tr>
        <w:trPr>
          <w:trHeight w:val="248"/>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May 2, 2026</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1,124,432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1,457,077</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aggregate goodwill balance as of May 2, 2026 and January 31, 2026 includes $249.0 million of accumulated impairment charges all of which relate to the Communications segment.</w:t>
      </w:r>
    </w:p>
    <w:p>
      <w:pPr>
        <w:spacing w:after="0" w:line="18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Company’s goodwill resides in multiple reporting units and primarily consists of expected synergies, together with the expansion of our geographic presence and service offerings, and the strengthening and expansion of our customer base from acquisitions. The profitability of individual reporting units may suffer periodically due to downturns in customer demand, increased costs of providing services, and the level of overall economic activity. Our customers may reduce capital expenditures and defer or cancel pending projects due to changes in technology, a slowing or uncertain economy, merger or acquisition activity, a decision to allocate resources to other areas of their business, or other reasons. The profitability of reporting units may also suffer if actual costs of providing services exceed the costs anticipated when the Company enters into contracts. Additionally, adverse conditions in the economy and future volatility in the equity and credit markets could impact the valuation of our reporting units. The cyclical nature of our business, the high level of competition existing within our industry, and the concentration of our revenues from a limited number of customers may also cause results to vary. These factors may affect individual reporting units disproportionately, relative to the Company as a whole. As a result, the performance of one or more of the reporting units could decline, resulting in an impairment of goodwill or intangible assets.</w:t>
      </w:r>
    </w:p>
    <w:p>
      <w:pPr>
        <w:spacing w:after="0" w:line="221" w:lineRule="exact"/>
        <w:rPr>
          <w:sz w:val="20"/>
          <w:szCs w:val="20"/>
          <w:color w:val="auto"/>
        </w:rPr>
      </w:pPr>
    </w:p>
    <w:p>
      <w:pPr>
        <w:jc w:val="both"/>
        <w:ind w:right="160" w:firstLine="324"/>
        <w:spacing w:after="0" w:line="262" w:lineRule="auto"/>
        <w:rPr>
          <w:sz w:val="20"/>
          <w:szCs w:val="20"/>
          <w:color w:val="auto"/>
        </w:rPr>
      </w:pPr>
      <w:r>
        <w:rPr>
          <w:rFonts w:ascii="Times New Roman" w:cs="Times New Roman" w:eastAsia="Times New Roman" w:hAnsi="Times New Roman"/>
          <w:sz w:val="18"/>
          <w:szCs w:val="18"/>
          <w:color w:val="auto"/>
        </w:rPr>
        <w:t>The Company performs its annual goodwill assessment as of the first day of the fourth fiscal quarter of each fiscal year. As a result of the Company’s fiscal 2026 period assessment, the Company determined that the fair values of each of the reporting units and the indefinite-lived intangible asset were in excess of their carrying values and no impairment had occurred. As of May 2, 2026, we believe the carrying amounts of goodwill and the indefinite-lived intangible asset are recoverable for all of our reporting units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intangible assets consisted of the following (dollars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2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12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20" w:type="dxa"/>
            <w:vAlign w:val="bottom"/>
          </w:tcPr>
          <w:p>
            <w:pPr>
              <w:spacing w:after="0"/>
              <w:rPr>
                <w:sz w:val="15"/>
                <w:szCs w:val="15"/>
                <w:color w:val="auto"/>
              </w:rPr>
            </w:pPr>
          </w:p>
        </w:tc>
        <w:tc>
          <w:tcPr>
            <w:tcW w:w="126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5"/>
                <w:szCs w:val="15"/>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6"/>
                <w:szCs w:val="16"/>
                <w:color w:val="auto"/>
              </w:rPr>
            </w:pPr>
          </w:p>
        </w:tc>
        <w:tc>
          <w:tcPr>
            <w:tcW w:w="12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6"/>
                <w:szCs w:val="16"/>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Intangible</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6"/>
                <w:szCs w:val="16"/>
                <w:color w:val="auto"/>
              </w:rPr>
            </w:pPr>
          </w:p>
        </w:tc>
        <w:tc>
          <w:tcPr>
            <w:tcW w:w="9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Intangible</w:t>
            </w: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12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Useful Lives</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320" w:type="dxa"/>
            <w:vAlign w:val="bottom"/>
          </w:tcPr>
          <w:p>
            <w:pPr>
              <w:spacing w:after="0"/>
              <w:rPr>
                <w:sz w:val="21"/>
                <w:szCs w:val="21"/>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60" w:type="dxa"/>
            <w:vAlign w:val="bottom"/>
          </w:tcPr>
          <w:p>
            <w:pPr>
              <w:spacing w:after="0"/>
              <w:rPr>
                <w:sz w:val="21"/>
                <w:szCs w:val="21"/>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21"/>
                <w:szCs w:val="21"/>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Assets, Net</w:t>
            </w:r>
          </w:p>
        </w:tc>
        <w:tc>
          <w:tcPr>
            <w:tcW w:w="160" w:type="dxa"/>
            <w:vAlign w:val="bottom"/>
          </w:tcPr>
          <w:p>
            <w:pPr>
              <w:spacing w:after="0"/>
              <w:rPr>
                <w:sz w:val="21"/>
                <w:szCs w:val="21"/>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21"/>
                <w:szCs w:val="21"/>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Assets, Net</w:t>
            </w:r>
          </w:p>
        </w:tc>
        <w:tc>
          <w:tcPr>
            <w:tcW w:w="0" w:type="dxa"/>
            <w:vAlign w:val="bottom"/>
          </w:tcPr>
          <w:p>
            <w:pPr>
              <w:spacing w:after="0"/>
              <w:rPr>
                <w:sz w:val="1"/>
                <w:szCs w:val="1"/>
                <w:color w:val="auto"/>
              </w:rPr>
            </w:pPr>
          </w:p>
        </w:tc>
      </w:tr>
      <w:tr>
        <w:trPr>
          <w:trHeight w:val="230"/>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1,032,417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330,753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701,664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1,032,417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306,094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726,323</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finite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43,902</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 indefinite</w:t>
            </w:r>
          </w:p>
        </w:tc>
        <w:tc>
          <w:tcPr>
            <w:tcW w:w="1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Indefinite</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backlog</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150,997</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2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1,284,172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416,518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867,654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1,284,172</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358,224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925,948</w:t>
            </w: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00" w:firstLine="324"/>
        <w:spacing w:after="0" w:line="289" w:lineRule="auto"/>
        <w:rPr>
          <w:sz w:val="20"/>
          <w:szCs w:val="20"/>
          <w:color w:val="auto"/>
        </w:rPr>
      </w:pPr>
      <w:r>
        <w:rPr>
          <w:rFonts w:ascii="Times New Roman" w:cs="Times New Roman" w:eastAsia="Times New Roman" w:hAnsi="Times New Roman"/>
          <w:sz w:val="17"/>
          <w:szCs w:val="17"/>
          <w:color w:val="auto"/>
        </w:rPr>
        <w:t>Amortization of our customer relationship intangibles and our backlog intangibles are recognized on an accelerated basis as a function of the expected economic benefit. Amortization of our other finite-lived intangibles is recognized on a straight-line basis over the estimated useful life. Amortization expense for finite-lived intangible assets was $58.3 million and $12.0 million for the three months ended May 2, 2026 and April 26, 2025, respectively.</w:t>
      </w:r>
    </w:p>
    <w:p>
      <w:pPr>
        <w:spacing w:after="0" w:line="185" w:lineRule="exact"/>
        <w:rPr>
          <w:sz w:val="20"/>
          <w:szCs w:val="20"/>
          <w:color w:val="auto"/>
        </w:rPr>
      </w:pPr>
    </w:p>
    <w:p>
      <w:pPr>
        <w:ind w:right="580" w:firstLine="324"/>
        <w:spacing w:after="0" w:line="271" w:lineRule="auto"/>
        <w:rPr>
          <w:sz w:val="20"/>
          <w:szCs w:val="20"/>
          <w:color w:val="auto"/>
        </w:rPr>
      </w:pPr>
      <w:r>
        <w:rPr>
          <w:rFonts w:ascii="Times New Roman" w:cs="Times New Roman" w:eastAsia="Times New Roman" w:hAnsi="Times New Roman"/>
          <w:sz w:val="18"/>
          <w:szCs w:val="18"/>
          <w:color w:val="auto"/>
        </w:rPr>
        <w:t>As of May 2, 2026, total amortization expense for existing finite-lived intangible assets for the next five fiscal years and thereafter is as follows (dollars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896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30"/>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2027</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163,830</w:t>
            </w:r>
          </w:p>
        </w:tc>
      </w:tr>
      <w:tr>
        <w:trPr>
          <w:trHeight w:val="229"/>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128,621</w:t>
            </w:r>
          </w:p>
        </w:tc>
      </w:tr>
      <w:tr>
        <w:trPr>
          <w:trHeight w:val="230"/>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91,808</w:t>
            </w:r>
          </w:p>
        </w:tc>
      </w:tr>
      <w:tr>
        <w:trPr>
          <w:trHeight w:val="230"/>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91,335</w:t>
            </w:r>
          </w:p>
        </w:tc>
      </w:tr>
      <w:tr>
        <w:trPr>
          <w:trHeight w:val="230"/>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4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63,774</w:t>
            </w:r>
          </w:p>
        </w:tc>
      </w:tr>
      <w:tr>
        <w:trPr>
          <w:trHeight w:val="229"/>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2032</w:t>
            </w:r>
          </w:p>
        </w:tc>
        <w:tc>
          <w:tcPr>
            <w:tcW w:w="4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61,039</w:t>
            </w:r>
          </w:p>
        </w:tc>
      </w:tr>
      <w:tr>
        <w:trPr>
          <w:trHeight w:val="230"/>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262,547</w:t>
            </w:r>
          </w:p>
        </w:tc>
      </w:tr>
      <w:tr>
        <w:trPr>
          <w:trHeight w:val="223"/>
        </w:trPr>
        <w:tc>
          <w:tcPr>
            <w:tcW w:w="8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862,954</w:t>
            </w:r>
          </w:p>
        </w:tc>
      </w:tr>
      <w:tr>
        <w:trPr>
          <w:trHeight w:val="20"/>
        </w:trPr>
        <w:tc>
          <w:tcPr>
            <w:tcW w:w="89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As of May 2, 2026, we believe that the carrying amounts of our intangible assets are recoverable. However, if adverse events were to occur or circumstances were to change indicating that the carrying amount of such assets may not be fully recoverable, the assets would be reviewed for impairment and the assets could be impaired.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Accrued Insurance Claims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For claims within our insurance program, we retain the risk of loss, up to certain annual stop-loss limits, for matters related to automobile liability, general liability (including damages associated with underground facility locating services), workers’ compensation, and employee group health. Losses for claims beyond our retained risk of loss are covered by insurance up to our coverage limits. Our Building Systems segment is fully insured for these risks through third-party insurance policies, and we do not retain the risk of loss for claims related to those operations.</w:t>
      </w:r>
    </w:p>
    <w:p>
      <w:pPr>
        <w:spacing w:after="0" w:line="207"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For workers’ compensation losses during fiscal 2027 and 2026, we retained the risk of loss up to $1.0 million on a per occurrence basis. This retention amount is applicable to all of the states in which we operate, except with respect to workers’ compensation insurance in two states in which we participate in state-sponsored insurance funds.</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automobile liability and general liability losses during fiscal 2027 and 2026, we retained the risk of loss up to $2.0 million on a per-occurrence</w:t>
      </w:r>
    </w:p>
    <w:p>
      <w:pPr>
        <w:spacing w:after="0" w:line="16"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basis for the first $5.0 million of insurance coverage. We also retained the risk of loss for the next $5.0 million on a per-occurrence basis for losses between $5.0 million and $10.0 million, if any.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are party to a stop-loss agreement for losses under our employee group health plan. For calendar year 2026, we retain the risk of loss on an annual basis, up to the first $750,000 of claims per participant.</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Amounts for total accrued insurance claims and insurance recoveries/receivables are as follows (dollars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20" w:type="dxa"/>
            <w:vAlign w:val="bottom"/>
          </w:tcPr>
          <w:p>
            <w:pPr>
              <w:spacing w:after="0"/>
              <w:rPr>
                <w:sz w:val="21"/>
                <w:szCs w:val="21"/>
                <w:color w:val="auto"/>
              </w:rPr>
            </w:pPr>
          </w:p>
        </w:tc>
        <w:tc>
          <w:tcPr>
            <w:tcW w:w="17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0" w:type="dxa"/>
            <w:vAlign w:val="bottom"/>
          </w:tcPr>
          <w:p>
            <w:pPr>
              <w:spacing w:after="0"/>
              <w:rPr>
                <w:sz w:val="1"/>
                <w:szCs w:val="1"/>
                <w:color w:val="auto"/>
              </w:rPr>
            </w:pPr>
          </w:p>
        </w:tc>
      </w:tr>
      <w:tr>
        <w:trPr>
          <w:trHeight w:val="230"/>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insurance claims - current</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47,594</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insurance claims - non-current</w:t>
            </w: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57,977</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insurance claims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105,571</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Insurance recoveries/receivables: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(included in 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8,570</w:t>
            </w:r>
          </w:p>
        </w:tc>
        <w:tc>
          <w:tcPr>
            <w:tcW w:w="0" w:type="dxa"/>
            <w:vAlign w:val="bottom"/>
          </w:tcPr>
          <w:p>
            <w:pPr>
              <w:spacing w:after="0"/>
              <w:rPr>
                <w:sz w:val="1"/>
                <w:szCs w:val="1"/>
                <w:color w:val="auto"/>
              </w:rPr>
            </w:pPr>
          </w:p>
        </w:tc>
      </w:tr>
      <w:tr>
        <w:trPr>
          <w:trHeight w:val="223"/>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 recoveries/receivables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8,570</w:t>
            </w:r>
          </w:p>
        </w:tc>
        <w:tc>
          <w:tcPr>
            <w:tcW w:w="0" w:type="dxa"/>
            <w:vAlign w:val="bottom"/>
          </w:tcPr>
          <w:p>
            <w:pPr>
              <w:spacing w:after="0"/>
              <w:rPr>
                <w:sz w:val="1"/>
                <w:szCs w:val="1"/>
                <w:color w:val="auto"/>
              </w:rPr>
            </w:pPr>
          </w:p>
        </w:tc>
      </w:tr>
      <w:tr>
        <w:trPr>
          <w:trHeight w:val="21"/>
        </w:trPr>
        <w:tc>
          <w:tcPr>
            <w:tcW w:w="7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Insurance recoveries/receivables represent the amount of accrued insurance claims that are covered by insurance as the amounts exceed the Company’s loss retention. During the three months ended May 2, 2026, total insurance recoveries/receivables increased as a result of additional claims that exceeded our loss retention. Accrued insurance claims increased by a corresponding amount.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Leases</w:t>
      </w:r>
    </w:p>
    <w:p>
      <w:pPr>
        <w:spacing w:after="0" w:line="256"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We lease the majority of our office facilities as well as certain equipment, all of which are accounted for as operating leases. These leases have remaining terms ranging from less than 1 year to approximately 12 years. Some leases include options to extend the lease for up to 5 years and others include options to terminate.</w:t>
      </w:r>
    </w:p>
    <w:p>
      <w:pPr>
        <w:spacing w:after="0" w:line="203" w:lineRule="exact"/>
        <w:rPr>
          <w:sz w:val="20"/>
          <w:szCs w:val="20"/>
          <w:color w:val="auto"/>
        </w:rPr>
      </w:pPr>
    </w:p>
    <w:p>
      <w:pPr>
        <w:ind w:right="140"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components of lease cost recognized in the condensed consolidated statements of operations for the three months ended May 2, 2026 and April 26, 2025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9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7"/>
        </w:trPr>
        <w:tc>
          <w:tcPr>
            <w:tcW w:w="7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60" w:type="dxa"/>
            <w:vAlign w:val="bottom"/>
          </w:tcPr>
          <w:p>
            <w:pPr>
              <w:spacing w:after="0"/>
              <w:rPr>
                <w:sz w:val="20"/>
                <w:szCs w:val="20"/>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April 26, 2025</w:t>
            </w:r>
          </w:p>
        </w:tc>
      </w:tr>
      <w:tr>
        <w:trPr>
          <w:trHeight w:val="230"/>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 under long-term operating leases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12,982</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cost under short-term operating leases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w:t>
            </w:r>
          </w:p>
        </w:tc>
      </w:tr>
      <w:tr>
        <w:trPr>
          <w:trHeight w:val="230"/>
        </w:trPr>
        <w:tc>
          <w:tcPr>
            <w:tcW w:w="7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Variable lease cost under short-term and long-term operating leases</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22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17,897</w:t>
            </w:r>
          </w:p>
        </w:tc>
      </w:tr>
      <w:tr>
        <w:trPr>
          <w:trHeight w:val="21"/>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Variable lease cost primarily includes insurance, maintenance, and other operating expenses related to our leased office facilities.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operating lease liabilities related to long-term operating leases were $183.2 million as of May 2, 2026 and $177.5 million as of January 31, 2026.</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these liabilities is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1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January 31, 2026</w:t>
            </w:r>
          </w:p>
        </w:tc>
      </w:tr>
      <w:tr>
        <w:trPr>
          <w:trHeight w:val="230"/>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82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years</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years</w:t>
            </w:r>
          </w:p>
        </w:tc>
      </w:tr>
      <w:tr>
        <w:trPr>
          <w:trHeight w:val="23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846"/>
        </w:trPr>
        <w:tc>
          <w:tcPr>
            <w:tcW w:w="4200" w:type="dxa"/>
            <w:vAlign w:val="bottom"/>
          </w:tcPr>
          <w:p>
            <w:pPr>
              <w:spacing w:after="0"/>
              <w:rPr>
                <w:sz w:val="24"/>
                <w:szCs w:val="24"/>
                <w:color w:val="auto"/>
              </w:rPr>
            </w:pPr>
          </w:p>
        </w:tc>
        <w:tc>
          <w:tcPr>
            <w:tcW w:w="282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17</w:t>
            </w: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80" w:firstLine="324"/>
        <w:spacing w:after="0" w:line="271" w:lineRule="auto"/>
        <w:rPr>
          <w:sz w:val="20"/>
          <w:szCs w:val="20"/>
          <w:color w:val="auto"/>
        </w:rPr>
      </w:pPr>
      <w:r>
        <w:rPr>
          <w:rFonts w:ascii="Times New Roman" w:cs="Times New Roman" w:eastAsia="Times New Roman" w:hAnsi="Times New Roman"/>
          <w:sz w:val="18"/>
          <w:szCs w:val="18"/>
          <w:color w:val="auto"/>
        </w:rPr>
        <w:t>Supplemental cash flow information related to our long-term operating lease liabilities for the three months ended May 2, 2026 and April 26, 2025 is as follows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7"/>
        </w:trPr>
        <w:tc>
          <w:tcPr>
            <w:tcW w:w="7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20" w:type="dxa"/>
            <w:vAlign w:val="bottom"/>
          </w:tcPr>
          <w:p>
            <w:pPr>
              <w:spacing w:after="0"/>
              <w:rPr>
                <w:sz w:val="20"/>
                <w:szCs w:val="20"/>
                <w:color w:val="auto"/>
              </w:rPr>
            </w:pPr>
          </w:p>
        </w:tc>
        <w:tc>
          <w:tcPr>
            <w:tcW w:w="15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April 26, 2025</w:t>
            </w:r>
          </w:p>
        </w:tc>
      </w:tr>
      <w:tr>
        <w:trPr>
          <w:trHeight w:val="229"/>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12,231</w:t>
            </w: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19,762</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10,913</w:t>
            </w:r>
          </w:p>
        </w:tc>
      </w:tr>
    </w:tbl>
    <w:p>
      <w:pPr>
        <w:spacing w:after="0" w:line="314"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As of May 2, 2026, maturities of our lease liabilities under our long-term operating leases for the next five fiscal years and thereafter are as follows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4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2027</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37,518</w:t>
            </w:r>
          </w:p>
        </w:tc>
      </w:tr>
      <w:tr>
        <w:trPr>
          <w:trHeight w:val="22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43,107</w:t>
            </w: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34,087</w:t>
            </w:r>
          </w:p>
        </w:tc>
      </w:tr>
      <w:tr>
        <w:trPr>
          <w:trHeight w:val="22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23,916</w:t>
            </w: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18,148</w:t>
            </w:r>
          </w:p>
        </w:tc>
      </w:tr>
      <w:tr>
        <w:trPr>
          <w:trHeight w:val="22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2032</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12,932</w:t>
            </w:r>
          </w:p>
        </w:tc>
      </w:tr>
      <w:tr>
        <w:trPr>
          <w:trHeight w:val="22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51,992</w:t>
            </w:r>
          </w:p>
        </w:tc>
      </w:tr>
      <w:tr>
        <w:trPr>
          <w:trHeight w:val="223"/>
        </w:trPr>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221,700</w:t>
            </w:r>
          </w:p>
        </w:tc>
      </w:tr>
      <w:tr>
        <w:trPr>
          <w:trHeight w:val="22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(38,479)</w:t>
            </w:r>
          </w:p>
        </w:tc>
      </w:tr>
      <w:tr>
        <w:trPr>
          <w:trHeight w:val="223"/>
        </w:trPr>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183,221</w:t>
            </w:r>
          </w:p>
        </w:tc>
      </w:tr>
      <w:tr>
        <w:trPr>
          <w:trHeight w:val="20"/>
        </w:trPr>
        <w:tc>
          <w:tcPr>
            <w:tcW w:w="9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As of May 2, 2026, the Company had additional operating leases with total lease costs of $6.4 million that have not yet commenced. These leases will commence in fiscal 2027.</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13. Other Accrued Liabilities</w:t>
            </w:r>
          </w:p>
        </w:tc>
        <w:tc>
          <w:tcPr>
            <w:tcW w:w="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32"/>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accrued liabilities consisted of the following (dollars in thousands):</w:t>
            </w: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7"/>
        </w:trPr>
        <w:tc>
          <w:tcPr>
            <w:tcW w:w="7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20" w:type="dxa"/>
            <w:vAlign w:val="bottom"/>
          </w:tcPr>
          <w:p>
            <w:pPr>
              <w:spacing w:after="0"/>
              <w:rPr>
                <w:sz w:val="22"/>
                <w:szCs w:val="22"/>
                <w:color w:val="auto"/>
              </w:rPr>
            </w:pPr>
          </w:p>
        </w:tc>
        <w:tc>
          <w:tcPr>
            <w:tcW w:w="17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January 31, 2026</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construction costs and other accrued purchase orders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47,931</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taxes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49,653</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employee benefit and incentive plan costs</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117,515</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41,382</w:t>
            </w:r>
          </w:p>
        </w:tc>
      </w:tr>
      <w:tr>
        <w:trPr>
          <w:trHeight w:val="248"/>
        </w:trPr>
        <w:tc>
          <w:tcPr>
            <w:tcW w:w="7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256,481</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14.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net carrying value of our outstanding indebtedness (dollars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20" w:type="dxa"/>
            <w:vAlign w:val="bottom"/>
          </w:tcPr>
          <w:p>
            <w:pPr>
              <w:spacing w:after="0"/>
              <w:rPr>
                <w:sz w:val="21"/>
                <w:szCs w:val="21"/>
                <w:color w:val="auto"/>
              </w:rPr>
            </w:pPr>
          </w:p>
        </w:tc>
        <w:tc>
          <w:tcPr>
            <w:tcW w:w="17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January 31, 2026</w:t>
            </w:r>
          </w:p>
        </w:tc>
      </w:tr>
      <w:tr>
        <w:trPr>
          <w:trHeight w:val="230"/>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 - Term Loan A Facility (matures December 2030)</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1,526,170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1,525,422</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 - Term Loan B Facility (matures January 2033)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792,280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792,041</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4.50% senior notes, net (mature April 2029)</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497,034</w:t>
            </w:r>
          </w:p>
        </w:tc>
      </w:tr>
      <w:tr>
        <w:trPr>
          <w:trHeight w:val="223"/>
        </w:trPr>
        <w:tc>
          <w:tcPr>
            <w:tcW w:w="7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2,815,714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2,814,497</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2,809,714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2,810,497</w:t>
            </w:r>
          </w:p>
        </w:tc>
      </w:tr>
      <w:tr>
        <w:trPr>
          <w:trHeight w:val="20"/>
        </w:trPr>
        <w:tc>
          <w:tcPr>
            <w:tcW w:w="7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43" w:lineRule="exact"/>
        <w:rPr>
          <w:sz w:val="20"/>
          <w:szCs w:val="20"/>
          <w:color w:val="auto"/>
        </w:rPr>
      </w:pPr>
    </w:p>
    <w:p>
      <w:pPr>
        <w:ind w:right="20" w:firstLine="324"/>
        <w:spacing w:after="0" w:line="236" w:lineRule="auto"/>
        <w:rPr>
          <w:sz w:val="20"/>
          <w:szCs w:val="20"/>
          <w:color w:val="auto"/>
        </w:rPr>
      </w:pPr>
      <w:r>
        <w:rPr>
          <w:rFonts w:ascii="Times New Roman" w:cs="Times New Roman" w:eastAsia="Times New Roman" w:hAnsi="Times New Roman"/>
          <w:sz w:val="18"/>
          <w:szCs w:val="18"/>
          <w:color w:val="auto"/>
        </w:rPr>
        <w:t>The Company and certain of its subsidiaries are party to a credit agreement (defined below). The Company, the Guarantors (as defined therein) party thereto, the Term Loan B lender (as defined therein) party thereto and Bank of America, N.A. (“Bank of America”) as administrative and collateral agent (in such capacities and together with its successors and permitted assigns, the “Administrative Agent”), entered into that certain First Amendment to the Third Amended and Restated Credit Agreement (the “Amendment”), which amends that Third Amended and Restated Credit Agreement, dated as of December 23, 2025 by and among, the Company, the Guarantors from time to time party thereto, the Lenders (as defined therein) from time to time party thereto and the L/C Issues (as defined therein) from time to time party thereto and the Administrative Agent (the “Existing Credit Agreement”, and, the Existing Credit Agreement, as amended by the Amendment, the “Credit Agreement”). On December 23, 2025, we amended and restated the Credit Agreement to, among other things, establish a $600.0 million 364 day secured bridge loan facility (the “Bridge Facility”), increase the existing senior secured term loan A facility from $440.0 million to $1,540.0 million (the “Term Loan A Facility”), increase the commitments under the senior secured revolving credit facility from $650.0 million to $800.0 million (the “Revolving Credit Facility”) and extend the maturity date of the Term Loan A Facility and the Revolving Credit Facility. On January 27, 2026, we entered into the First Amendment to, among other things, establish an $800 million senior secured term loan B facility (the “Term Loan B Facility”), the proceeds of which were used to (i) refinance the Bridge Facility, (ii) pay the fees and expenses incurred in connection therewith and (iii) fund cash to the balance sheet of the Company. The Credit Agreement includes a revolving facility with a maximum revolver commitment of $800.0 million, a Term Loan A Facility in the principal amount of $1,540.0 million, and a Term Loan B Facility in the principal amount of $800.0 million. The Credit Agreement also includes a $225.0 million sublimit for the issuance of letters of credit and a $50.0 million sublimit for swingline loans. The maturity of the Revolving Credit Facility and Term Loan A Facility is December 23, 2030. The maturity of the Term Loan B Facility is January 27, 2033.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summarizes the net carrying value of the Term Loan A Facility as of May 2, 2026 and January 31, 2026 (dollars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40" w:type="dxa"/>
            <w:vAlign w:val="bottom"/>
          </w:tcPr>
          <w:p>
            <w:pPr>
              <w:spacing w:after="0"/>
              <w:rPr>
                <w:sz w:val="21"/>
                <w:szCs w:val="21"/>
                <w:color w:val="auto"/>
              </w:rPr>
            </w:pPr>
          </w:p>
        </w:tc>
        <w:tc>
          <w:tcPr>
            <w:tcW w:w="18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January 31, 2026</w:t>
            </w:r>
          </w:p>
        </w:tc>
      </w:tr>
      <w:tr>
        <w:trPr>
          <w:trHeight w:val="230"/>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 of Term Loan A Facility</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1,540,000</w:t>
            </w:r>
          </w:p>
        </w:tc>
      </w:tr>
      <w:tr>
        <w:trPr>
          <w:trHeight w:val="236"/>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issuance costs</w:t>
            </w: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(14,579)</w:t>
            </w:r>
          </w:p>
        </w:tc>
      </w:tr>
      <w:tr>
        <w:trPr>
          <w:trHeight w:val="255"/>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amount of Term Loan A Facility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1,526,170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1,525,422</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summarizes the net carrying value of the Term Loan B Facility as of May 2, 2026 and January 31, 2026 (dollars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40" w:type="dxa"/>
            <w:vAlign w:val="bottom"/>
          </w:tcPr>
          <w:p>
            <w:pPr>
              <w:spacing w:after="0"/>
              <w:rPr>
                <w:sz w:val="21"/>
                <w:szCs w:val="21"/>
                <w:color w:val="auto"/>
              </w:rPr>
            </w:pPr>
          </w:p>
        </w:tc>
        <w:tc>
          <w:tcPr>
            <w:tcW w:w="18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January 31, 2026</w:t>
            </w:r>
          </w:p>
        </w:tc>
      </w:tr>
      <w:tr>
        <w:trPr>
          <w:trHeight w:val="230"/>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 of Term Loan B Facility</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Debt issuance costs</w:t>
            </w:r>
          </w:p>
        </w:tc>
        <w:tc>
          <w:tcPr>
            <w:tcW w:w="3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w:t>
            </w:r>
          </w:p>
        </w:tc>
      </w:tr>
      <w:tr>
        <w:trPr>
          <w:trHeight w:val="236"/>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Original Issue Discount</w:t>
            </w:r>
          </w:p>
        </w:tc>
        <w:tc>
          <w:tcPr>
            <w:tcW w:w="34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carrying amount of Term Loan B Facility</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792,280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792,041</w:t>
            </w:r>
          </w:p>
        </w:tc>
      </w:tr>
      <w:tr>
        <w:trPr>
          <w:trHeight w:val="20"/>
        </w:trPr>
        <w:tc>
          <w:tcPr>
            <w:tcW w:w="7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Subject to certain conditions, the Credit Agreement provides us with the ability to enter into one or more incremental facilities either by increasing the revolving commitments under the Credit Agreement and/or by establishing one or more additional term loans, up to the sum of (i) $927.0 million and</w:t>
      </w:r>
    </w:p>
    <w:p>
      <w:pPr>
        <w:ind w:right="60" w:firstLine="8"/>
        <w:spacing w:after="0" w:line="252" w:lineRule="auto"/>
        <w:tabs>
          <w:tab w:leader="none" w:pos="2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amount such that, after giving effect to such incremental facilities on a pro forma basis (assuming that the amount of the incremental commitments are fully drawn and funded), the consolidated senior secured net leverage ratio does not exceed 3.50 to 1.00. The consolidated senior secured net leverage ratio is the ratio of our consolidated senior secured indebtedness reduced by (i) unrestricted cash and equivalents in excess of $25.0 million to our trailing four-quarter consolidated earnings before interest, taxes, depreciation, and amortization (“EBITDA”), as defined by the Credit Agreement, (ii) subordinated indebtedness, as defined in the Credit Agreement and (iii) unsecured indebtedness, as defined in the Credit Agreement. Borrowings under the Credit Agreement are guaranteed by substantially all of our domestic subsidiaries and secured by substantially all of the assets of the Borrowers and the Guarantors (subject to customary exceptions).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Under our Credit Agreement, borrowings bear interest at the rates described below based upon our consolidated net leverage ratio, which is the ratio of our consolidated total funded debt reduced by unrestricted cash and equivalents in excess of $25.0 million to our trailing four-quarter consolidated EBITDA, as defined by our Credit Agreement. In addition, we incur certain fees for unused balances and letters of credit at the rates described below, also based upon our consolidated net leverage ratio. The weighted average interest rates and fees for balances under our Credit Agreement as of May 2, 2026 and January 31, 2026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476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Weighted Average Rate End of Period</w:t>
            </w:r>
          </w:p>
        </w:tc>
      </w:tr>
      <w:tr>
        <w:trPr>
          <w:trHeight w:val="236"/>
        </w:trPr>
        <w:tc>
          <w:tcPr>
            <w:tcW w:w="2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4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3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January 31, 2026</w:t>
            </w:r>
          </w:p>
        </w:tc>
      </w:tr>
      <w:tr>
        <w:trPr>
          <w:trHeight w:val="230"/>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 Term A SOFR Loans</w:t>
            </w:r>
          </w:p>
        </w:tc>
        <w:tc>
          <w:tcPr>
            <w:tcW w:w="9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1.375%</w:t>
            </w:r>
          </w:p>
        </w:tc>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- 2.00% plus Term SOFR</w:t>
            </w:r>
          </w:p>
        </w:tc>
        <w:tc>
          <w:tcPr>
            <w:tcW w:w="2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5.40%</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6.02%</w:t>
            </w: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 Base Rate Loans</w:t>
            </w:r>
          </w:p>
        </w:tc>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0.375%</w:t>
            </w:r>
          </w:p>
        </w:tc>
        <w:tc>
          <w:tcPr>
            <w:tcW w:w="2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- 1.00% plus Base rate</w:t>
            </w:r>
            <w:r>
              <w:rPr>
                <w:rFonts w:ascii="Times New Roman" w:cs="Times New Roman" w:eastAsia="Times New Roman" w:hAnsi="Times New Roman"/>
                <w:sz w:val="23"/>
                <w:szCs w:val="23"/>
                <w:color w:val="auto"/>
                <w:vertAlign w:val="superscript"/>
              </w:rPr>
              <w:t>(1)</w:t>
            </w:r>
          </w:p>
        </w:tc>
        <w:tc>
          <w:tcPr>
            <w:tcW w:w="2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 Term B SOFR Loans</w:t>
            </w:r>
          </w:p>
        </w:tc>
        <w:tc>
          <w:tcPr>
            <w:tcW w:w="3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1.75% plus Term SOFR</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5.40%</w:t>
            </w: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Unused Revolver Commitment</w:t>
            </w:r>
          </w:p>
        </w:tc>
        <w:tc>
          <w:tcPr>
            <w:tcW w:w="3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0.20% - 0.40%</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0.35%</w:t>
            </w:r>
          </w:p>
        </w:tc>
        <w:tc>
          <w:tcPr>
            <w:tcW w:w="10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0.30%</w:t>
            </w:r>
          </w:p>
        </w:tc>
      </w:tr>
      <w:tr>
        <w:trPr>
          <w:trHeight w:val="22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1.375%</w:t>
            </w:r>
          </w:p>
        </w:tc>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- 2.00%</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1.63%</w:t>
            </w:r>
          </w:p>
        </w:tc>
      </w:tr>
      <w:tr>
        <w:trPr>
          <w:trHeight w:val="234"/>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Letters of Credit</w:t>
            </w:r>
          </w:p>
        </w:tc>
        <w:tc>
          <w:tcPr>
            <w:tcW w:w="3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0.6875% -1.00%</w:t>
            </w:r>
          </w:p>
        </w:tc>
        <w:tc>
          <w:tcPr>
            <w:tcW w:w="2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314" w:lineRule="exact"/>
        <w:rPr>
          <w:sz w:val="20"/>
          <w:szCs w:val="20"/>
          <w:color w:val="auto"/>
        </w:rPr>
      </w:pPr>
    </w:p>
    <w:p>
      <w:pPr>
        <w:jc w:val="both"/>
        <w:ind w:right="60" w:firstLine="8"/>
        <w:spacing w:after="0" w:line="280" w:lineRule="auto"/>
        <w:tabs>
          <w:tab w:leader="none" w:pos="165"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Base rate is described in the Credit Agreement as the highest of (i) the Federal Funds Rate plus 0.50%, (ii) the administrative agent’s prime rate, and (iii) the Term Secured Overnight Financing Rate (“SOFR”) plus 1.00% and, if such rate is less than zero, such rate shall be deemed zero. “Term SOFR” will be the published forward-looking SOFR rate for the applicable interest period plus a 0.10% spread adjustment and if such rate is less than zero, such rate shall be deemed zero. There were no outstanding borrowings under our revolving facility as of May 2, 2026 and January 31, 2026.</w:t>
      </w:r>
    </w:p>
    <w:p>
      <w:pPr>
        <w:spacing w:after="0" w:line="195"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Standby letters of credit of approximately $53.6 million issued as part of our insurance program, were outstanding under our Credit Agreement as of May 2, 2026 and January 31, 2026.</w:t>
      </w:r>
    </w:p>
    <w:p>
      <w:pPr>
        <w:spacing w:after="0" w:line="189" w:lineRule="exact"/>
        <w:rPr>
          <w:sz w:val="20"/>
          <w:szCs w:val="20"/>
          <w:color w:val="auto"/>
        </w:rPr>
      </w:pPr>
    </w:p>
    <w:p>
      <w:pPr>
        <w:ind w:right="60" w:firstLine="324"/>
        <w:spacing w:after="0" w:line="243" w:lineRule="auto"/>
        <w:rPr>
          <w:sz w:val="20"/>
          <w:szCs w:val="20"/>
          <w:color w:val="auto"/>
        </w:rPr>
      </w:pPr>
      <w:r>
        <w:rPr>
          <w:rFonts w:ascii="Times New Roman" w:cs="Times New Roman" w:eastAsia="Times New Roman" w:hAnsi="Times New Roman"/>
          <w:sz w:val="18"/>
          <w:szCs w:val="18"/>
          <w:color w:val="auto"/>
        </w:rPr>
        <w:t>Our Credit Agreement contains a financial covenant that requires us to maintain a consolidated net leverage ratio of not greater than (A) until the last day of the first fiscal quarter ending after the second anniversary of December 23, 2025, 4.50 to 1.00, and (B) thereafter, 4.00:1.00, as measured at the end of each fiscal quarter, and provides for certain increases to this ratio in connection with permitted acquisitions. The consolidated net leverage ratio is the ratio of our consolidated indebtedness reduced by unrestricted cash and cash equivalents in excess of $25.0 million to our trailing four-quarter consolidated earnings before interest, taxes, depreciation, and amortization as defined by our Credit Agreement. The agreement also contains a financial covenant that requires us to maintain a consolidated interest coverage ratio, which is the ratio of our trailing four-quarter consolidated EBITDA to our consolidated interest expense, each as defined by our Credit Agreement, of not less than 2.50 to 1.00, as measured at the end of each fiscal quarter. At May 2, 2026 and January 31, 2026, we were in compliance with the financial covenants of our Credit Agreement and had borrowing availability under our revolving facility of $746.4 million as determined by the most restrictive covenant. For calculation purposes, applicable cash on hand is netted against the funded debt amount as permitted in the Credit Agreement.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4.50% Senior Notes Due 2029</w:t>
      </w:r>
    </w:p>
    <w:p>
      <w:pPr>
        <w:spacing w:after="0" w:line="256"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On April 1, 2021, we issued $500.0 million aggregate principal amount of 4.50% senior notes due 2029 (the “2029 Notes”). The 2029 Notes are guaranteed on a senior unsecured basis, jointly and severally, by all of our domestic subsidiaries that guarantee the Credit Agreement.</w:t>
      </w:r>
    </w:p>
    <w:p>
      <w:pPr>
        <w:spacing w:after="0" w:line="189" w:lineRule="exact"/>
        <w:rPr>
          <w:sz w:val="20"/>
          <w:szCs w:val="20"/>
          <w:color w:val="auto"/>
        </w:rPr>
      </w:pPr>
    </w:p>
    <w:p>
      <w:pPr>
        <w:ind w:right="120" w:firstLine="324"/>
        <w:spacing w:after="0" w:line="247" w:lineRule="auto"/>
        <w:rPr>
          <w:sz w:val="20"/>
          <w:szCs w:val="20"/>
          <w:color w:val="auto"/>
        </w:rPr>
      </w:pPr>
      <w:r>
        <w:rPr>
          <w:rFonts w:ascii="Times New Roman" w:cs="Times New Roman" w:eastAsia="Times New Roman" w:hAnsi="Times New Roman"/>
          <w:sz w:val="18"/>
          <w:szCs w:val="18"/>
          <w:color w:val="auto"/>
        </w:rPr>
        <w:t>The indenture governing the 2029 Notes contains certain covenants that limit, among other things, our ability and the ability of certain of our subsidiaries to (i) incur additional debt and issue certain preferred stock, (ii) pay certain dividends on, repurchase, or make distributions in respect of, our and our subsidiaries’ capital stock or make other payments restricted by the indenture, (iii) enter into agreements that place limitations on distributions made from certain of our subsidiaries, (iv) guarantee certain debt, (v) make certain investments, (vi) sell or exchange certain assets, (vii) enter into transactions with affiliates, (viii) create certain liens, and (ix) consolidate, merge or transfer all or substantially all of our or our Subsidiaries’ assets. These covenants are subject to a number of exceptions, limitations and qualifications as set forth in the indenture governing the 2029 Notes.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net carrying value of the 2029 Notes as of May 2, 2026 and January 31, 2026 (dollars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40" w:type="dxa"/>
            <w:vAlign w:val="bottom"/>
          </w:tcPr>
          <w:p>
            <w:pPr>
              <w:spacing w:after="0"/>
              <w:rPr>
                <w:sz w:val="21"/>
                <w:szCs w:val="21"/>
                <w:color w:val="auto"/>
              </w:rPr>
            </w:pPr>
          </w:p>
        </w:tc>
        <w:tc>
          <w:tcPr>
            <w:tcW w:w="18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January 31, 2026</w:t>
            </w:r>
          </w:p>
        </w:tc>
      </w:tr>
      <w:tr>
        <w:trPr>
          <w:trHeight w:val="229"/>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 of 2029 Notes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issuance costs</w:t>
            </w: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amount of 2029 Notes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497,034</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fair value of the 2029 Notes, net of debt issuance costs. The fair value of the 2029 Notes is based on the closing trading price per $100 of the 2029 Notes as of the last day of trading (Level 2), which was $97.73 and $98.44 as of May 2, 2026 and January 31, 2026, respectively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40" w:type="dxa"/>
            <w:vAlign w:val="bottom"/>
          </w:tcPr>
          <w:p>
            <w:pPr>
              <w:spacing w:after="0"/>
              <w:rPr>
                <w:sz w:val="21"/>
                <w:szCs w:val="21"/>
                <w:color w:val="auto"/>
              </w:rPr>
            </w:pPr>
          </w:p>
        </w:tc>
        <w:tc>
          <w:tcPr>
            <w:tcW w:w="18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January 31, 2026</w:t>
            </w:r>
          </w:p>
        </w:tc>
      </w:tr>
      <w:tr>
        <w:trPr>
          <w:trHeight w:val="230"/>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principal amount of 2029 Notes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492,200</w:t>
            </w:r>
          </w:p>
        </w:tc>
      </w:tr>
      <w:tr>
        <w:trPr>
          <w:trHeight w:val="236"/>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issuance costs</w:t>
            </w: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w:t>
            </w:r>
          </w:p>
        </w:tc>
      </w:tr>
      <w:tr>
        <w:trPr>
          <w:trHeight w:val="255"/>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2029 Notes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489,234</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15. Income Taxes</w:t>
      </w:r>
    </w:p>
    <w:p>
      <w:pPr>
        <w:spacing w:after="0" w:line="25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effective income tax rate was 14.5% and 22.3% for the three months ended May 2, 2026 and April 26, 2025, respectively. The interim income tax provisions are based on the effective income tax rate expected to be applicable for the full fiscal year, adjusted for specific items that are required to be recognized in the period in which they occur. The effective tax rate differs from the statutory rate primarily due to the difference in income tax rates from state to state where work was performed, non-deductible and non-taxable items, tax credits recognized, the tax effects of the vesting and exercise of share-based awards, and changes in unrecognized tax benefits. Deferred tax assets and liabilities are based on the enacted tax rate that will apply in future periods when such assets and liabilities are expected to be settled or realized.</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16. Other (Expense) Income, Net</w:t>
            </w: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59"/>
        </w:trPr>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components of other (expense) income, net, were as follows (dollars in thousands):</w:t>
            </w: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63"/>
        </w:trPr>
        <w:tc>
          <w:tcPr>
            <w:tcW w:w="73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7"/>
        </w:trPr>
        <w:tc>
          <w:tcPr>
            <w:tcW w:w="7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60" w:type="dxa"/>
            <w:vAlign w:val="bottom"/>
          </w:tcPr>
          <w:p>
            <w:pPr>
              <w:spacing w:after="0"/>
              <w:rPr>
                <w:sz w:val="20"/>
                <w:szCs w:val="20"/>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April 26, 2025</w:t>
            </w:r>
          </w:p>
        </w:tc>
      </w:tr>
      <w:tr>
        <w:trPr>
          <w:trHeight w:val="229"/>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fixed assets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8"/>
              </w:rPr>
              <w:t>9,773</w:t>
            </w:r>
          </w:p>
        </w:tc>
      </w:tr>
      <w:tr>
        <w:trPr>
          <w:trHeight w:val="23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Miscellaneous expense, net</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left="950"/>
              <w:spacing w:after="0"/>
              <w:rPr>
                <w:sz w:val="20"/>
                <w:szCs w:val="20"/>
                <w:color w:val="auto"/>
              </w:rPr>
            </w:pPr>
            <w:r>
              <w:rPr>
                <w:rFonts w:ascii="Times New Roman" w:cs="Times New Roman" w:eastAsia="Times New Roman" w:hAnsi="Times New Roman"/>
                <w:sz w:val="18"/>
                <w:szCs w:val="18"/>
                <w:color w:val="auto"/>
                <w:w w:val="98"/>
              </w:rPr>
              <w:t>(3,505)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color w:val="auto"/>
              </w:rPr>
              <w:t>(2,509)</w:t>
            </w:r>
          </w:p>
        </w:tc>
      </w:tr>
      <w:tr>
        <w:trPr>
          <w:trHeight w:val="248"/>
        </w:trPr>
        <w:tc>
          <w:tcPr>
            <w:tcW w:w="7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8"/>
              </w:rPr>
              <w:t>(1,510)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8"/>
              </w:rPr>
              <w:t>7,264</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participate in a vendor payment program sponsored by one of our customers. Eligible accounts receivable from this customer are included in the program and payment is received pursuant to a non-recourse sale to a bank partner. This program effectively reduces the time to collect these receivables as compared to that customer’s standard payment terms. We incur 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discount fee to the bank on the payments received that is included as an expense component in miscellaneous expense, net, in the table above.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17. Capital Stock</w:t>
      </w:r>
    </w:p>
    <w:p>
      <w:pPr>
        <w:spacing w:after="0" w:line="25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Repurchases of Common Stock. </w:t>
      </w:r>
      <w:r>
        <w:rPr>
          <w:rFonts w:ascii="Times New Roman" w:cs="Times New Roman" w:eastAsia="Times New Roman" w:hAnsi="Times New Roman"/>
          <w:sz w:val="18"/>
          <w:szCs w:val="18"/>
          <w:color w:val="auto"/>
        </w:rPr>
        <w:t>On February 26, 2025, the Company announced that its Board of Directors authorized a new $150 million program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shares of the Company’s outstanding common stock through August 25, 2026 in open market or private transactions. During the three months ended May 2, 2026, the Company repurchased 100,000 shares of common stock, at an average price of $359.63, for $36.0 million. As of May 2, 2026, $83.9 million of the authorization was available for repurchases.</w:t>
      </w:r>
    </w:p>
    <w:p>
      <w:pPr>
        <w:spacing w:after="0" w:line="207" w:lineRule="exact"/>
        <w:rPr>
          <w:sz w:val="20"/>
          <w:szCs w:val="20"/>
          <w:color w:val="auto"/>
        </w:rPr>
      </w:pPr>
    </w:p>
    <w:p>
      <w:pPr>
        <w:ind w:right="1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Restricted Stock Tax Withholdings. </w:t>
      </w:r>
      <w:r>
        <w:rPr>
          <w:rFonts w:ascii="Times New Roman" w:cs="Times New Roman" w:eastAsia="Times New Roman" w:hAnsi="Times New Roman"/>
          <w:sz w:val="18"/>
          <w:szCs w:val="18"/>
          <w:color w:val="auto"/>
        </w:rPr>
        <w:t>During the three months ended May 2, 2026 and April 26, 2025, we withheld 85,724 shares totaling $29.3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83,835 shares totaling $12.9 million, respectively, to meet payroll tax withholding obligations arising from the vesting of restricted share units. All shares withheld have been cancelled. Shares of common stock withheld for tax withholdings do not reduce our total share repurchase authority.</w:t>
      </w:r>
    </w:p>
    <w:p>
      <w:pPr>
        <w:spacing w:after="0" w:line="202"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Upon cancellation of shares repurchased or withheld for tax withholdings, the excess over par value is recorded as a reduction of additional paid-in capital until the balance is reduced to zero, with any additional excess recorded as a reduction of retained earnings.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18. Stock-Based Awards</w:t>
      </w:r>
    </w:p>
    <w:p>
      <w:pPr>
        <w:spacing w:after="0" w:line="256"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We have certain stock-based compensation plans under which we grant stock-based awards, including common stock, stock options, time-based restricted share units (“RSUs”), and performance-based restricted share units (“Performance RSUs”) to attract, retain, and reward talented employees, officers, and directors, and to align stockholder and employee interests.</w:t>
      </w:r>
    </w:p>
    <w:p>
      <w:pPr>
        <w:spacing w:after="0" w:line="203"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Compensation expense for stock-based awards is based on fair value at the measurement date. This expense fluctuates over time as a function of the duration of vesting periods of the stock-based awards and the Company’s performance, as measured by criteria set forth in performance-based awards. Stock-based compensation expense is included in general and administrative expenses in the condensed consolidated statements of operations and the amount of expense ultimately recognized depends on the quantity of awards that actually vest. Accordingly, stock-based compensation expense may vary from period to period.</w:t>
      </w:r>
    </w:p>
    <w:p>
      <w:pPr>
        <w:spacing w:after="0" w:line="21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performance criteria for the Company’s performance-based equity awards utilize the Company’s operating earnings (adjusted for certain amounts) as a percentage of contract revenues for the applicable annual period (a “Performance Year”) and its Performance Year operating cash flow level (adjusted for certain amounts). Additionally, certain awards include three-year performance measures that, if met, result in supplemental shares awarded. For Performance RSUs, the Company evaluates compensation expense quarterly and recognizes expense for performance-based awards only if it determines it is probable that performance criteria for the awards will be met.</w:t>
      </w:r>
    </w:p>
    <w:p>
      <w:pPr>
        <w:spacing w:after="0" w:line="210" w:lineRule="exact"/>
        <w:rPr>
          <w:sz w:val="20"/>
          <w:szCs w:val="20"/>
          <w:color w:val="auto"/>
        </w:rPr>
      </w:pPr>
    </w:p>
    <w:p>
      <w:pPr>
        <w:ind w:right="440" w:firstLine="324"/>
        <w:spacing w:after="0" w:line="271" w:lineRule="auto"/>
        <w:rPr>
          <w:sz w:val="20"/>
          <w:szCs w:val="20"/>
          <w:color w:val="auto"/>
        </w:rPr>
      </w:pPr>
      <w:r>
        <w:rPr>
          <w:rFonts w:ascii="Times New Roman" w:cs="Times New Roman" w:eastAsia="Times New Roman" w:hAnsi="Times New Roman"/>
          <w:sz w:val="18"/>
          <w:szCs w:val="18"/>
          <w:color w:val="auto"/>
        </w:rPr>
        <w:t>Stock-based compensation expense and the related tax benefit recognized during the three months ended May 2, 2026 and April 26, 2025 were as follows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9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6"/>
        </w:trPr>
        <w:tc>
          <w:tcPr>
            <w:tcW w:w="7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80" w:type="dxa"/>
            <w:vAlign w:val="bottom"/>
          </w:tcPr>
          <w:p>
            <w:pPr>
              <w:spacing w:after="0"/>
              <w:rPr>
                <w:sz w:val="20"/>
                <w:szCs w:val="20"/>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April 26, 2025</w:t>
            </w:r>
          </w:p>
        </w:tc>
      </w:tr>
      <w:tr>
        <w:trPr>
          <w:trHeight w:val="230"/>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9,099</w:t>
            </w:r>
          </w:p>
        </w:tc>
      </w:tr>
      <w:tr>
        <w:trPr>
          <w:trHeight w:val="234"/>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effect of stock-based compensation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r>
    </w:tbl>
    <w:p>
      <w:pPr>
        <w:spacing w:after="0" w:line="314"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May 2, 2026 and April 26, 2025, the Company realized $12.5 million and $2.2 million of net excess tax benefits, respectively, related to the vesting and exercise of share-based awards.</w:t>
      </w:r>
    </w:p>
    <w:p>
      <w:pPr>
        <w:spacing w:after="0" w:line="18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As of May 2, 2026, we had unrecognized compensation expense related to stock options, RSUs, and target Performance RSUs (based on the Company’s expected achievement of performance measures) of $0.6 million, $53.9 million, and $20.1 million, respectively. This expense will be recognized over a weighted-average number of years of 1.6, 2.4, and 1.5, respectively, based on the average remaining service periods for the awards. We may recognize an additional $13.7 million in compensation expense in future periods after May 2, 2026 if the maximum number of Performance RSUs is earned based on certain performance measures being met.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stock option award activity during the three months ended May 2, 2026:</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2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0" w:type="dxa"/>
            <w:vAlign w:val="bottom"/>
          </w:tcPr>
          <w:p>
            <w:pPr>
              <w:spacing w:after="0"/>
              <w:rPr>
                <w:sz w:val="1"/>
                <w:szCs w:val="1"/>
                <w:color w:val="auto"/>
              </w:rPr>
            </w:pPr>
          </w:p>
        </w:tc>
      </w:tr>
      <w:tr>
        <w:trPr>
          <w:trHeight w:val="176"/>
        </w:trPr>
        <w:tc>
          <w:tcPr>
            <w:tcW w:w="7220" w:type="dxa"/>
            <w:vAlign w:val="bottom"/>
          </w:tcPr>
          <w:p>
            <w:pPr>
              <w:spacing w:after="0"/>
              <w:rPr>
                <w:sz w:val="15"/>
                <w:szCs w:val="15"/>
                <w:color w:val="auto"/>
              </w:rPr>
            </w:pPr>
          </w:p>
        </w:tc>
        <w:tc>
          <w:tcPr>
            <w:tcW w:w="1320" w:type="dxa"/>
            <w:vAlign w:val="bottom"/>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50"/>
        </w:trPr>
        <w:tc>
          <w:tcPr>
            <w:tcW w:w="72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31, 2026</w:t>
            </w: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109.55</w:t>
            </w:r>
          </w:p>
        </w:tc>
        <w:tc>
          <w:tcPr>
            <w:tcW w:w="0" w:type="dxa"/>
            <w:vAlign w:val="bottom"/>
          </w:tcPr>
          <w:p>
            <w:pPr>
              <w:spacing w:after="0"/>
              <w:rPr>
                <w:sz w:val="1"/>
                <w:szCs w:val="1"/>
                <w:color w:val="auto"/>
              </w:rPr>
            </w:pPr>
          </w:p>
        </w:tc>
      </w:tr>
      <w:tr>
        <w:trPr>
          <w:trHeight w:val="23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as of May 2, 2026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72,240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109.55</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Exercisable options as of May 2, 2026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97.91</w:t>
            </w:r>
          </w:p>
        </w:tc>
        <w:tc>
          <w:tcPr>
            <w:tcW w:w="0" w:type="dxa"/>
            <w:vAlign w:val="bottom"/>
          </w:tcPr>
          <w:p>
            <w:pPr>
              <w:spacing w:after="0"/>
              <w:rPr>
                <w:sz w:val="1"/>
                <w:szCs w:val="1"/>
                <w:color w:val="auto"/>
              </w:rPr>
            </w:pPr>
          </w:p>
        </w:tc>
      </w:tr>
      <w:tr>
        <w:trPr>
          <w:trHeight w:val="21"/>
        </w:trPr>
        <w:tc>
          <w:tcPr>
            <w:tcW w:w="7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RSUs and Performance RSUs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RSU and Performance RSU award activity during the three months ended May 2, 2026:</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00" w:type="dxa"/>
            <w:vAlign w:val="bottom"/>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gridSpan w:val="3"/>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2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RSUs</w:t>
            </w:r>
          </w:p>
        </w:tc>
        <w:tc>
          <w:tcPr>
            <w:tcW w:w="1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tcBorders>
              <w:bottom w:val="single" w:sz="8" w:color="auto"/>
            </w:tcBorders>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Performance RSUs</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17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Share Units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100" w:type="dxa"/>
            <w:vAlign w:val="bottom"/>
          </w:tcPr>
          <w:p>
            <w:pPr>
              <w:spacing w:after="0"/>
              <w:rPr>
                <w:sz w:val="15"/>
                <w:szCs w:val="15"/>
                <w:color w:val="auto"/>
              </w:rPr>
            </w:pPr>
          </w:p>
        </w:tc>
        <w:tc>
          <w:tcPr>
            <w:tcW w:w="17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Share Units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50"/>
        </w:trPr>
        <w:tc>
          <w:tcPr>
            <w:tcW w:w="3500" w:type="dxa"/>
            <w:vAlign w:val="bottom"/>
          </w:tcPr>
          <w:p>
            <w:pPr>
              <w:spacing w:after="0"/>
              <w:rPr>
                <w:sz w:val="21"/>
                <w:szCs w:val="21"/>
                <w:color w:val="auto"/>
              </w:rPr>
            </w:pPr>
          </w:p>
        </w:tc>
        <w:tc>
          <w:tcPr>
            <w:tcW w:w="17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c>
          <w:tcPr>
            <w:tcW w:w="17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c>
          <w:tcPr>
            <w:tcW w:w="0" w:type="dxa"/>
            <w:vAlign w:val="bottom"/>
          </w:tcPr>
          <w:p>
            <w:pPr>
              <w:spacing w:after="0"/>
              <w:rPr>
                <w:sz w:val="1"/>
                <w:szCs w:val="1"/>
                <w:color w:val="auto"/>
              </w:rPr>
            </w:pPr>
          </w:p>
        </w:tc>
      </w:tr>
      <w:tr>
        <w:trPr>
          <w:trHeight w:val="230"/>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31, 2026</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339,118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149.51</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269,403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74,507</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349.68</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units 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(115,998)</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128.40</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123.85</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or cancelled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360" w:type="dxa"/>
            <w:vAlign w:val="bottom"/>
            <w:tcBorders>
              <w:bottom w:val="single" w:sz="8" w:color="CCEEFF"/>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153.95</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(31,296)</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130.83</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May 2, 2026</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291,826</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206.98</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165,749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220.45</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total number of granted Performance RSUs presented above consists of 26,347 target shares and 26,347 supplemental shares. The total number of Performance RSUs outstanding as of May 2, 2026 consists of 92,650 target shares and 73,099 supplemental shares. With respect to the Company’s Performance Year ended January 31, 2026, the Company added 26,799 supplemental shares and cancelled 27,890 supplemental shares during the three months ended May 2, 2026, as a result of the performance period criteria not being met.</w:t>
      </w:r>
    </w:p>
    <w:p>
      <w:pPr>
        <w:spacing w:after="0" w:line="203" w:lineRule="exact"/>
        <w:rPr>
          <w:sz w:val="20"/>
          <w:szCs w:val="20"/>
          <w:color w:val="auto"/>
        </w:rPr>
      </w:pPr>
    </w:p>
    <w:p>
      <w:pPr>
        <w:ind w:left="340" w:right="7160" w:hanging="332"/>
        <w:spacing w:after="0" w:line="534" w:lineRule="auto"/>
        <w:tabs>
          <w:tab w:leader="none" w:pos="286"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Customer Concentration and Revenue Information </w:t>
      </w:r>
      <w:r>
        <w:rPr>
          <w:rFonts w:ascii="Times New Roman" w:cs="Times New Roman" w:eastAsia="Times New Roman" w:hAnsi="Times New Roman"/>
          <w:sz w:val="18"/>
          <w:szCs w:val="18"/>
          <w:b w:val="1"/>
          <w:bCs w:val="1"/>
          <w:color w:val="auto"/>
        </w:rPr>
        <w:t>Geographic Location</w:t>
      </w:r>
    </w:p>
    <w:p>
      <w:pPr>
        <w:ind w:left="3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provide services throughout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Significant Customers</w:t>
      </w:r>
    </w:p>
    <w:p>
      <w:pPr>
        <w:spacing w:after="0" w:line="256" w:lineRule="exact"/>
        <w:rPr>
          <w:sz w:val="20"/>
          <w:szCs w:val="20"/>
          <w:color w:val="auto"/>
        </w:rPr>
      </w:pPr>
    </w:p>
    <w:p>
      <w:pPr>
        <w:ind w:right="220" w:firstLine="648"/>
        <w:spacing w:after="0" w:line="287" w:lineRule="auto"/>
        <w:rPr>
          <w:sz w:val="20"/>
          <w:szCs w:val="20"/>
          <w:color w:val="auto"/>
        </w:rPr>
      </w:pPr>
      <w:r>
        <w:rPr>
          <w:rFonts w:ascii="Times New Roman" w:cs="Times New Roman" w:eastAsia="Times New Roman" w:hAnsi="Times New Roman"/>
          <w:sz w:val="17"/>
          <w:szCs w:val="17"/>
          <w:color w:val="auto"/>
        </w:rPr>
        <w:t>Our customer base is highly concentrated. Customers whose contract revenues exceeded 10% of total contract revenues during the three months ended May 2, 2026 or April 26, 2025, as well as total contract revenues from all other customers combined, were as follows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For the Three Months Ended</w:t>
            </w:r>
          </w:p>
        </w:tc>
        <w:tc>
          <w:tcPr>
            <w:tcW w:w="980" w:type="dxa"/>
            <w:vAlign w:val="bottom"/>
            <w:tcBorders>
              <w:bottom w:val="single" w:sz="8" w:color="auto"/>
            </w:tcBorders>
          </w:tcPr>
          <w:p>
            <w:pPr>
              <w:spacing w:after="0"/>
              <w:rPr>
                <w:sz w:val="21"/>
                <w:szCs w:val="21"/>
                <w:color w:val="auto"/>
              </w:rPr>
            </w:pPr>
          </w:p>
        </w:tc>
      </w:tr>
      <w:tr>
        <w:trPr>
          <w:trHeight w:val="237"/>
        </w:trPr>
        <w:tc>
          <w:tcPr>
            <w:tcW w:w="7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0"/>
                <w:szCs w:val="20"/>
                <w:color w:val="auto"/>
              </w:rPr>
            </w:pPr>
          </w:p>
        </w:tc>
        <w:tc>
          <w:tcPr>
            <w:tcW w:w="192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April 26, 2025</w:t>
            </w:r>
          </w:p>
        </w:tc>
      </w:tr>
      <w:tr>
        <w:trPr>
          <w:trHeight w:val="237"/>
        </w:trPr>
        <w:tc>
          <w:tcPr>
            <w:tcW w:w="70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29"/>
        </w:trPr>
        <w:tc>
          <w:tcPr>
            <w:tcW w:w="7020" w:type="dxa"/>
            <w:vAlign w:val="bottom"/>
            <w:tcBorders>
              <w:top w:val="single" w:sz="8" w:color="CCEEFF"/>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AT&amp;T Inc. </w:t>
            </w:r>
            <w:r>
              <w:rPr>
                <w:rFonts w:ascii="Times New Roman" w:cs="Times New Roman" w:eastAsia="Times New Roman" w:hAnsi="Times New Roman"/>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25.8%</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Verizon Communications Inc. </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13.7%</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customers combined</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1,312.8</w:t>
            </w:r>
          </w:p>
        </w:tc>
        <w:tc>
          <w:tcPr>
            <w:tcW w:w="10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66.8%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60.5%</w:t>
            </w:r>
          </w:p>
        </w:tc>
      </w:tr>
      <w:tr>
        <w:trPr>
          <w:trHeight w:val="223"/>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contract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1,964.8</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1,258.6</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7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right="140" w:firstLine="8"/>
        <w:spacing w:after="0" w:line="248" w:lineRule="auto"/>
        <w:tabs>
          <w:tab w:leader="none" w:pos="181"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February 2, 2026, AT&amp;T Inc. completed its acquisition of substantially all of the mass markets fiber business from Lumen Technologies Inc. As a result, amounts reported for AT&amp;T Inc. in the current fiscal year include revenues from the mass markets fiber business to the extent they have transferred from Lumen Technologies Inc.</w:t>
      </w:r>
    </w:p>
    <w:p>
      <w:pPr>
        <w:ind w:right="220" w:firstLine="8"/>
        <w:spacing w:after="0" w:line="263" w:lineRule="auto"/>
        <w:tabs>
          <w:tab w:leader="none" w:pos="165"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On January 20, 2026, Verizon Communications, Inc. completed its acquisition of Frontier Communications Corporation. As a result, amounts reported for Verizon Communications, Inc. include the respective balances for Frontier Communications Corporation retrospectively for all periods presented.</w:t>
      </w:r>
    </w:p>
    <w:p>
      <w:pPr>
        <w:spacing w:after="0" w:line="201" w:lineRule="exact"/>
        <w:rPr>
          <w:sz w:val="20"/>
          <w:szCs w:val="20"/>
          <w:color w:val="auto"/>
        </w:rPr>
      </w:pPr>
    </w:p>
    <w:p>
      <w:pPr>
        <w:ind w:right="1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Note 6, </w:t>
      </w:r>
      <w:r>
        <w:rPr>
          <w:rFonts w:ascii="Times New Roman" w:cs="Times New Roman" w:eastAsia="Times New Roman" w:hAnsi="Times New Roman"/>
          <w:sz w:val="18"/>
          <w:szCs w:val="18"/>
          <w:i w:val="1"/>
          <w:iCs w:val="1"/>
          <w:color w:val="auto"/>
        </w:rPr>
        <w:t>Accounts Receivable, Contract Assets, and Contract Liabilities</w:t>
      </w:r>
      <w:r>
        <w:rPr>
          <w:rFonts w:ascii="Times New Roman" w:cs="Times New Roman" w:eastAsia="Times New Roman" w:hAnsi="Times New Roman"/>
          <w:sz w:val="18"/>
          <w:szCs w:val="18"/>
          <w:color w:val="auto"/>
        </w:rPr>
        <w:t>, for information on our customer credit concentration and collectability of trade accounts receivable and contract assets.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Customer Type</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contract revenues by customer type during the three months ended May 2, 2026 and April 26, 2025 were as follows (dollars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For the Three Months Ended</w:t>
            </w:r>
          </w:p>
        </w:tc>
        <w:tc>
          <w:tcPr>
            <w:tcW w:w="980" w:type="dxa"/>
            <w:vAlign w:val="bottom"/>
            <w:tcBorders>
              <w:bottom w:val="single" w:sz="8" w:color="auto"/>
            </w:tcBorders>
          </w:tcPr>
          <w:p>
            <w:pPr>
              <w:spacing w:after="0"/>
              <w:rPr>
                <w:sz w:val="21"/>
                <w:szCs w:val="21"/>
                <w:color w:val="auto"/>
              </w:rPr>
            </w:pPr>
          </w:p>
        </w:tc>
      </w:tr>
      <w:tr>
        <w:trPr>
          <w:trHeight w:val="236"/>
        </w:trPr>
        <w:tc>
          <w:tcPr>
            <w:tcW w:w="7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40" w:type="dxa"/>
            <w:vAlign w:val="bottom"/>
          </w:tcPr>
          <w:p>
            <w:pPr>
              <w:spacing w:after="0"/>
              <w:rPr>
                <w:sz w:val="20"/>
                <w:szCs w:val="20"/>
                <w:color w:val="auto"/>
              </w:rPr>
            </w:pPr>
          </w:p>
        </w:tc>
        <w:tc>
          <w:tcPr>
            <w:tcW w:w="192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April 26, 2025</w:t>
            </w:r>
          </w:p>
        </w:tc>
      </w:tr>
      <w:tr>
        <w:trPr>
          <w:trHeight w:val="237"/>
        </w:trPr>
        <w:tc>
          <w:tcPr>
            <w:tcW w:w="70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30"/>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1,569.4</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79.9%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1,258.6</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Systems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8"/>
        </w:trPr>
        <w:tc>
          <w:tcPr>
            <w:tcW w:w="70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contract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25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Master service agreements and other contractual agreements with customers contain customer-specified service requirements, such as discrete pricing for individual tasks. In most cases, our customers are not contractually committed to procure specific volumes of services under these agreements.</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Services are generally performed pursuant to these agreements in accordance with individual work orders. An individual work order generally is completed within one year. As a result, our remaining performance obligations under the work orders not yet completed is not meaningful in relation to our overall revenue at any given point in time. We apply the practical expedient in Accounting Standards Codification Topic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and do not disclose information about remaining performance obligations that have original expected durations of one year or less.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 Segment Reporting</w:t>
      </w:r>
    </w:p>
    <w:p>
      <w:pPr>
        <w:spacing w:after="0" w:line="243" w:lineRule="exact"/>
        <w:rPr>
          <w:sz w:val="20"/>
          <w:szCs w:val="20"/>
          <w:color w:val="auto"/>
        </w:rPr>
      </w:pPr>
    </w:p>
    <w:p>
      <w:pPr>
        <w:ind w:right="120" w:firstLine="324"/>
        <w:spacing w:after="0" w:line="245" w:lineRule="auto"/>
        <w:rPr>
          <w:sz w:val="20"/>
          <w:szCs w:val="20"/>
          <w:color w:val="auto"/>
        </w:rPr>
      </w:pPr>
      <w:r>
        <w:rPr>
          <w:rFonts w:ascii="Times New Roman" w:cs="Times New Roman" w:eastAsia="Times New Roman" w:hAnsi="Times New Roman"/>
          <w:sz w:val="18"/>
          <w:szCs w:val="18"/>
          <w:color w:val="auto"/>
        </w:rPr>
        <w:t xml:space="preserve">The Company operates in two reportable segments which derive revenues by providing specialty contracting services throughout the United States on a decentralized basis. Dycom’s reportable segments are: Communications and Building Systems. This segment structure reflects the financial information and reports used by the Company's Chief Executive Officer, the chief operating decision maker (CODM), to make decisions regarding the Company's business, including performance assessments and strategic and operational planning in compliance with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jc w:val="both"/>
        <w:ind w:firstLine="324"/>
        <w:spacing w:after="0" w:line="229" w:lineRule="auto"/>
        <w:rPr>
          <w:sz w:val="20"/>
          <w:szCs w:val="20"/>
          <w:color w:val="auto"/>
        </w:rPr>
      </w:pPr>
      <w:r>
        <w:rPr>
          <w:rFonts w:ascii="Times New Roman" w:cs="Times New Roman" w:eastAsia="Times New Roman" w:hAnsi="Times New Roman"/>
          <w:sz w:val="18"/>
          <w:szCs w:val="18"/>
          <w:i w:val="1"/>
          <w:iCs w:val="1"/>
          <w:color w:val="auto"/>
        </w:rPr>
        <w:t>Communications</w:t>
      </w:r>
      <w:r>
        <w:rPr>
          <w:rFonts w:ascii="Times New Roman" w:cs="Times New Roman" w:eastAsia="Times New Roman" w:hAnsi="Times New Roman"/>
          <w:sz w:val="18"/>
          <w:szCs w:val="18"/>
          <w:color w:val="auto"/>
        </w:rPr>
        <w:t>. The Communications segment provides specialty contracting services, including program management, planning; engineering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 aerial, underground, and wireless construction; maintenance; and fulfillment services for telecommunications and digital infrastructure providers. The Communications segment also provides underground facility locating services for various utilities and other construction and maintenance services for electric and gas utilities. The Communications segment services are provided by its operating segments that consist of a subsidiary (or in certain instances, the combination of two or more subsidiaries), whose results are regularly reviewed by the CODM. The Communications segment’s operating segments have been aggregated into one reportable segment based on their similar economic characteristics, nature of services and production processes, type of customers, and service distribution methods.</w:t>
      </w:r>
    </w:p>
    <w:p>
      <w:pPr>
        <w:spacing w:after="0" w:line="211" w:lineRule="exact"/>
        <w:rPr>
          <w:sz w:val="20"/>
          <w:szCs w:val="20"/>
          <w:color w:val="auto"/>
        </w:rPr>
      </w:pPr>
    </w:p>
    <w:p>
      <w:pPr>
        <w:jc w:val="both"/>
        <w:ind w:firstLine="324"/>
        <w:spacing w:after="0" w:line="230" w:lineRule="auto"/>
        <w:rPr>
          <w:sz w:val="20"/>
          <w:szCs w:val="20"/>
          <w:color w:val="auto"/>
        </w:rPr>
      </w:pPr>
      <w:r>
        <w:rPr>
          <w:rFonts w:ascii="Times New Roman" w:cs="Times New Roman" w:eastAsia="Times New Roman" w:hAnsi="Times New Roman"/>
          <w:sz w:val="18"/>
          <w:szCs w:val="18"/>
          <w:i w:val="1"/>
          <w:iCs w:val="1"/>
          <w:color w:val="auto"/>
        </w:rPr>
        <w:t>Building Systems</w:t>
      </w:r>
      <w:r>
        <w:rPr>
          <w:rFonts w:ascii="Times New Roman" w:cs="Times New Roman" w:eastAsia="Times New Roman" w:hAnsi="Times New Roman"/>
          <w:sz w:val="18"/>
          <w:szCs w:val="18"/>
          <w:color w:val="auto"/>
        </w:rPr>
        <w:t>. During fiscal 2026, following the acquisition of Power Solutions, the CODM reevaluated the Company’s reportable segments,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resulted in the addition of the Building Systems segment as a component of management’s internal financial information used for operational decision-making. Beginning in fiscal 2026, the Company has reported the results of the Building Systems segment separately as a reportable segment. The Building Systems segment reflects the results of Power Solutions following the acquisition on December 23, 2025. The Building Systems segment specializes in providing comprehensive building infrastructure solutions, including electrical, energy management, security, and fire safety systems for data centers and other critical facilities.</w:t>
      </w:r>
    </w:p>
    <w:p>
      <w:pPr>
        <w:spacing w:after="0" w:line="202" w:lineRule="exact"/>
        <w:rPr>
          <w:sz w:val="20"/>
          <w:szCs w:val="20"/>
          <w:color w:val="auto"/>
        </w:rPr>
      </w:pPr>
    </w:p>
    <w:p>
      <w:pPr>
        <w:jc w:val="both"/>
        <w:ind w:right="20" w:firstLine="324"/>
        <w:spacing w:after="0" w:line="236" w:lineRule="auto"/>
        <w:rPr>
          <w:sz w:val="20"/>
          <w:szCs w:val="20"/>
          <w:color w:val="auto"/>
        </w:rPr>
      </w:pPr>
      <w:r>
        <w:rPr>
          <w:rFonts w:ascii="Times New Roman" w:cs="Times New Roman" w:eastAsia="Times New Roman" w:hAnsi="Times New Roman"/>
          <w:sz w:val="18"/>
          <w:szCs w:val="18"/>
          <w:color w:val="auto"/>
        </w:rPr>
        <w:t>The key measure of segment profit or loss utilized by the CODM to assess performance of and allocate resources to the Company’s operating segments is income before income taxes. Significant segment expenses included in income before income taxes are cost of earned revenues, depreciation and amortization, and other segment items, which include general and administrative expenses, segment interest expense and other income (expense). The measure of segment assets regularly provided to the CODM is consistent with total assets as reported on the consolidated balance sheets.</w:t>
      </w:r>
    </w:p>
    <w:p>
      <w:pPr>
        <w:spacing w:after="0" w:line="19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CODM reviews contract revenues and income before income taxes compared to historical, forecasted and budgeted amounts to assess the performance of the Company’s operating segments and allocate resources.</w:t>
      </w:r>
    </w:p>
    <w:p>
      <w:pPr>
        <w:spacing w:after="0" w:line="20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Certain corporate costs are not allocated, including certain acquisition and integration costs, interest expense, net and senior notes, and loss on debt extinguishment.</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Segment financial information for the three months ended May 2, 2026 and April 26, 2025, was as follows (dollars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May 2, 2026</w:t>
            </w:r>
          </w:p>
        </w:tc>
        <w:tc>
          <w:tcPr>
            <w:tcW w:w="160" w:type="dxa"/>
            <w:vAlign w:val="bottom"/>
          </w:tcPr>
          <w:p>
            <w:pPr>
              <w:spacing w:after="0"/>
              <w:rPr>
                <w:sz w:val="21"/>
                <w:szCs w:val="21"/>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160" w:type="dxa"/>
            <w:vAlign w:val="bottom"/>
          </w:tcPr>
          <w:p>
            <w:pPr>
              <w:spacing w:after="0"/>
              <w:rPr>
                <w:sz w:val="21"/>
                <w:szCs w:val="21"/>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Building Systems</w:t>
            </w:r>
          </w:p>
        </w:tc>
        <w:tc>
          <w:tcPr>
            <w:tcW w:w="380" w:type="dxa"/>
            <w:vAlign w:val="bottom"/>
          </w:tcPr>
          <w:p>
            <w:pPr>
              <w:spacing w:after="0"/>
              <w:rPr>
                <w:sz w:val="21"/>
                <w:szCs w:val="21"/>
                <w:color w:val="auto"/>
              </w:rPr>
            </w:pPr>
          </w:p>
        </w:tc>
        <w:tc>
          <w:tcPr>
            <w:tcW w:w="13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1,964.8</w:t>
            </w: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earned revenues, excluding depreciation and amortization</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1,578.1</w:t>
            </w: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r>
        <w:trPr>
          <w:trHeight w:val="230"/>
        </w:trPr>
        <w:tc>
          <w:tcPr>
            <w:tcW w:w="58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0" w:type="dxa"/>
            <w:vAlign w:val="bottom"/>
          </w:tcPr>
          <w:p>
            <w:pPr>
              <w:spacing w:after="0"/>
              <w:rPr>
                <w:sz w:val="1"/>
                <w:szCs w:val="1"/>
                <w:color w:val="auto"/>
              </w:rPr>
            </w:pPr>
          </w:p>
        </w:tc>
      </w:tr>
      <w:tr>
        <w:trPr>
          <w:trHeight w:val="248"/>
        </w:trPr>
        <w:tc>
          <w:tcPr>
            <w:tcW w:w="5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income before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Corporate and non-allocated costs </w:t>
            </w:r>
            <w:r>
              <w:rPr>
                <w:rFonts w:ascii="Times New Roman" w:cs="Times New Roman" w:eastAsia="Times New Roman" w:hAnsi="Times New Roman"/>
                <w:sz w:val="23"/>
                <w:szCs w:val="23"/>
                <w:color w:val="auto"/>
                <w:vertAlign w:val="superscript"/>
              </w:rPr>
              <w:t>(2)</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48"/>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April 26, 2025</w:t>
            </w:r>
          </w:p>
        </w:tc>
        <w:tc>
          <w:tcPr>
            <w:tcW w:w="160" w:type="dxa"/>
            <w:vAlign w:val="bottom"/>
          </w:tcPr>
          <w:p>
            <w:pPr>
              <w:spacing w:after="0"/>
              <w:rPr>
                <w:sz w:val="24"/>
                <w:szCs w:val="24"/>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160" w:type="dxa"/>
            <w:vAlign w:val="bottom"/>
          </w:tcPr>
          <w:p>
            <w:pPr>
              <w:spacing w:after="0"/>
              <w:rPr>
                <w:sz w:val="24"/>
                <w:szCs w:val="24"/>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Building Systems</w:t>
            </w:r>
          </w:p>
        </w:tc>
        <w:tc>
          <w:tcPr>
            <w:tcW w:w="380" w:type="dxa"/>
            <w:vAlign w:val="bottom"/>
          </w:tcPr>
          <w:p>
            <w:pPr>
              <w:spacing w:after="0"/>
              <w:rPr>
                <w:sz w:val="24"/>
                <w:szCs w:val="24"/>
                <w:color w:val="auto"/>
              </w:rPr>
            </w:pPr>
          </w:p>
        </w:tc>
        <w:tc>
          <w:tcPr>
            <w:tcW w:w="13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8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1,258.6</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of earned revenues, excluding depreciation and amortization</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1,011.1</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29"/>
        </w:trPr>
        <w:tc>
          <w:tcPr>
            <w:tcW w:w="580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income before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gridSpan w:val="2"/>
            <w:vMerge w:val="restart"/>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Corporate and non-allocated costs </w:t>
            </w:r>
            <w:r>
              <w:rPr>
                <w:rFonts w:ascii="Times New Roman" w:cs="Times New Roman" w:eastAsia="Times New Roman" w:hAnsi="Times New Roman"/>
                <w:sz w:val="23"/>
                <w:szCs w:val="23"/>
                <w:color w:val="auto"/>
                <w:vertAlign w:val="superscript"/>
              </w:rPr>
              <w:t>(2)</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00" w:type="dxa"/>
            <w:vAlign w:val="bottom"/>
            <w:tcBorders>
              <w:bottom w:val="single" w:sz="8" w:color="CCEEFF"/>
            </w:tcBorders>
            <w:gridSpan w:val="2"/>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48"/>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segment items include general and administrative expenses, interest expense and other income (expense).</w:t>
      </w:r>
    </w:p>
    <w:p>
      <w:pPr>
        <w:ind w:left="180" w:hanging="172"/>
        <w:spacing w:after="0" w:line="203" w:lineRule="auto"/>
        <w:tabs>
          <w:tab w:leader="none" w:pos="1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Corporate and non-allocated costs include certain acquisition and integration costs, interest expense, net, and loss on debt extinguishment.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80" w:type="dxa"/>
            <w:vAlign w:val="bottom"/>
          </w:tcPr>
          <w:p>
            <w:pPr>
              <w:spacing w:after="0"/>
              <w:rPr>
                <w:sz w:val="21"/>
                <w:szCs w:val="21"/>
                <w:color w:val="auto"/>
              </w:rPr>
            </w:pPr>
          </w:p>
        </w:tc>
        <w:tc>
          <w:tcPr>
            <w:tcW w:w="16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January 31, 2026</w:t>
            </w:r>
          </w:p>
        </w:tc>
      </w:tr>
      <w:tr>
        <w:trPr>
          <w:trHeight w:val="175"/>
        </w:trPr>
        <w:tc>
          <w:tcPr>
            <w:tcW w:w="20" w:type="dxa"/>
            <w:vAlign w:val="bottom"/>
          </w:tcPr>
          <w:p>
            <w:pPr>
              <w:spacing w:after="0"/>
              <w:rPr>
                <w:sz w:val="15"/>
                <w:szCs w:val="15"/>
                <w:color w:val="auto"/>
              </w:rPr>
            </w:pPr>
          </w:p>
        </w:tc>
        <w:tc>
          <w:tcPr>
            <w:tcW w:w="74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2,842.5</w:t>
            </w:r>
          </w:p>
        </w:tc>
      </w:tr>
      <w:tr>
        <w:trPr>
          <w:trHeight w:val="230"/>
        </w:trPr>
        <w:tc>
          <w:tcPr>
            <w:tcW w:w="20" w:type="dxa"/>
            <w:vAlign w:val="bottom"/>
          </w:tcPr>
          <w:p>
            <w:pPr>
              <w:spacing w:after="0"/>
              <w:rPr>
                <w:sz w:val="19"/>
                <w:szCs w:val="19"/>
                <w:color w:val="auto"/>
              </w:rPr>
            </w:pPr>
          </w:p>
        </w:tc>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 Systems</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2,263.3</w:t>
            </w:r>
          </w:p>
        </w:tc>
      </w:tr>
      <w:tr>
        <w:trPr>
          <w:trHeight w:val="229"/>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w:t>
            </w:r>
          </w:p>
        </w:tc>
      </w:tr>
      <w:tr>
        <w:trPr>
          <w:trHeight w:val="223"/>
        </w:trPr>
        <w:tc>
          <w:tcPr>
            <w:tcW w:w="20" w:type="dxa"/>
            <w:vAlign w:val="bottom"/>
          </w:tcPr>
          <w:p>
            <w:pPr>
              <w:spacing w:after="0"/>
              <w:rPr>
                <w:sz w:val="19"/>
                <w:szCs w:val="19"/>
                <w:color w:val="auto"/>
              </w:rPr>
            </w:pPr>
          </w:p>
        </w:tc>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Consolidated total assets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6,180.4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5,979.2</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3760" w:type="dxa"/>
            <w:vAlign w:val="bottom"/>
            <w:tcBorders>
              <w:bottom w:val="single" w:sz="8" w:color="auto"/>
            </w:tcBorders>
            <w:gridSpan w:val="5"/>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6"/>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April 26, 2025</w:t>
            </w:r>
          </w:p>
        </w:tc>
      </w:tr>
      <w:tr>
        <w:trPr>
          <w:trHeight w:val="176"/>
        </w:trPr>
        <w:tc>
          <w:tcPr>
            <w:tcW w:w="20" w:type="dxa"/>
            <w:vAlign w:val="bottom"/>
          </w:tcPr>
          <w:p>
            <w:pPr>
              <w:spacing w:after="0"/>
              <w:rPr>
                <w:sz w:val="15"/>
                <w:szCs w:val="15"/>
                <w:color w:val="auto"/>
              </w:rPr>
            </w:pPr>
          </w:p>
        </w:tc>
        <w:tc>
          <w:tcPr>
            <w:tcW w:w="74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Capital Expenditures:</w:t>
            </w:r>
          </w:p>
        </w:tc>
        <w:tc>
          <w:tcPr>
            <w:tcW w:w="1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42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30"/>
        </w:trPr>
        <w:tc>
          <w:tcPr>
            <w:tcW w:w="20" w:type="dxa"/>
            <w:vAlign w:val="bottom"/>
          </w:tcPr>
          <w:p>
            <w:pPr>
              <w:spacing w:after="0"/>
              <w:rPr>
                <w:sz w:val="19"/>
                <w:szCs w:val="19"/>
                <w:color w:val="auto"/>
              </w:rPr>
            </w:pPr>
          </w:p>
        </w:tc>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 Systems</w:t>
            </w:r>
          </w:p>
        </w:tc>
        <w:tc>
          <w:tcPr>
            <w:tcW w:w="14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4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20" w:type="dxa"/>
            <w:vAlign w:val="bottom"/>
          </w:tcPr>
          <w:p>
            <w:pPr>
              <w:spacing w:after="0"/>
              <w:rPr>
                <w:sz w:val="19"/>
                <w:szCs w:val="19"/>
                <w:color w:val="auto"/>
              </w:rPr>
            </w:pPr>
          </w:p>
        </w:tc>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Consolidated capital expenditures:</w:t>
            </w:r>
          </w:p>
        </w:tc>
        <w:tc>
          <w:tcPr>
            <w:tcW w:w="142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1"/>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 Commitments and Contingencies</w:t>
      </w:r>
    </w:p>
    <w:p>
      <w:pPr>
        <w:spacing w:after="0" w:line="256" w:lineRule="exact"/>
        <w:rPr>
          <w:sz w:val="20"/>
          <w:szCs w:val="20"/>
          <w:color w:val="auto"/>
        </w:rPr>
      </w:pPr>
    </w:p>
    <w:p>
      <w:pPr>
        <w:ind w:firstLine="324"/>
        <w:spacing w:after="0" w:line="245" w:lineRule="auto"/>
        <w:rPr>
          <w:sz w:val="20"/>
          <w:szCs w:val="20"/>
          <w:color w:val="auto"/>
        </w:rPr>
      </w:pPr>
      <w:r>
        <w:rPr>
          <w:rFonts w:ascii="Times New Roman" w:cs="Times New Roman" w:eastAsia="Times New Roman" w:hAnsi="Times New Roman"/>
          <w:sz w:val="18"/>
          <w:szCs w:val="18"/>
          <w:color w:val="auto"/>
        </w:rPr>
        <w:t>From time to time, we are party to various claims and legal proceedings arising in the ordinary course of business. While the resolution of these matters cannot be predicted with certainty, it is the opinion of management, based on information available at this time, that the ultimate resolution of any such claims or legal proceedings will not, after considering applicable insurance coverage or other indemnities to which we may be entitled, have a material effect on our financial position, results of operations, or cash flow.</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24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 and Payment Bonds and Guarantees. </w:t>
      </w:r>
      <w:r>
        <w:rPr>
          <w:rFonts w:ascii="Times New Roman" w:cs="Times New Roman" w:eastAsia="Times New Roman" w:hAnsi="Times New Roman"/>
          <w:sz w:val="18"/>
          <w:szCs w:val="18"/>
          <w:color w:val="auto"/>
        </w:rPr>
        <w:t>We have obligations under performance and other surety contract bonds related to certain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contracts. Performance bonds generally provide a customer with the right to obtain payment and/or performance from the issuer of the bond if we fail to perform our contractual obligations. As of May 2, 2026 and January 31, 2026, we had $1,054.5 million and $917.9 million, respectively, of outstanding performance and other surety contract bonds. In addition to performance and other surety contract bonds, as part of our insurance program we also provide surety bonds that collateralize our obligations to our insurance carriers. At both May 2, 2026 and January 31, 2026, we had $43.6 million of outstanding surety bonds related to our insurance obligations. Additionally, we have periodically guaranteed certain obligations of our subsidiaries, including obligations in connection with obtaining state contractor licenses and leasing real property and equipment.</w:t>
      </w:r>
    </w:p>
    <w:p>
      <w:pPr>
        <w:spacing w:after="0" w:line="183" w:lineRule="exact"/>
        <w:rPr>
          <w:sz w:val="20"/>
          <w:szCs w:val="20"/>
          <w:color w:val="auto"/>
        </w:rPr>
      </w:pPr>
    </w:p>
    <w:p>
      <w:pPr>
        <w:ind w:right="1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We have issued standby letters of credit under our credit agreement that collateralize our obligations to our insurance carriers.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2, 2026 and January 31, 2026, we had $53.6 million of outstanding standby letters of credit issued under our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 Supplier Finance Program</w:t>
      </w:r>
    </w:p>
    <w:p>
      <w:pPr>
        <w:spacing w:after="0" w:line="256"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Beginning in fiscal 2026, the Company has provided certain suppliers with access to a supplier finance program administered through a third party, which facilitates participating suppliers’ ability to finance payments due from the Company through third-party financial institutions. Participating suppliers may, at their sole discretion, receive payment of the Company’s obligation prior to the scheduled due dates, at a discounted price from the third party. The Company agrees to pay the financial institution the stated amount generally within 60 days of receipt of the invoice. The Company’s obligations to its suppliers, including amounts due and scheduled payment dates, are not impacted by the supplier’s decision to finance amounts under these arrangements. The Company does not have pledged assets or other guarantees under the program. Our outstanding payment obligations are included in accounts payable on our consolidated balance sheets and are reported as operating activities in our consolidated statements of cash flows when paid.</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change in the supplier financing obligation for the three months ended May 2, 2026 (dollars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00" w:type="dxa"/>
            <w:vAlign w:val="bottom"/>
          </w:tcPr>
          <w:p>
            <w:pPr>
              <w:spacing w:after="0"/>
              <w:rPr>
                <w:sz w:val="21"/>
                <w:szCs w:val="21"/>
                <w:color w:val="auto"/>
              </w:rPr>
            </w:pPr>
          </w:p>
        </w:tc>
        <w:tc>
          <w:tcPr>
            <w:tcW w:w="412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420" w:type="dxa"/>
            <w:vAlign w:val="bottom"/>
            <w:tcBorders>
              <w:bottom w:val="single" w:sz="8" w:color="auto"/>
            </w:tcBorders>
          </w:tcPr>
          <w:p>
            <w:pPr>
              <w:spacing w:after="0"/>
              <w:rPr>
                <w:sz w:val="21"/>
                <w:szCs w:val="21"/>
                <w:color w:val="auto"/>
              </w:rPr>
            </w:pPr>
          </w:p>
        </w:tc>
      </w:tr>
      <w:tr>
        <w:trPr>
          <w:trHeight w:val="237"/>
        </w:trPr>
        <w:tc>
          <w:tcPr>
            <w:tcW w:w="67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420" w:type="dxa"/>
            <w:vAlign w:val="bottom"/>
            <w:tcBorders>
              <w:bottom w:val="single" w:sz="8" w:color="auto"/>
            </w:tcBorders>
          </w:tcPr>
          <w:p>
            <w:pPr>
              <w:spacing w:after="0"/>
              <w:rPr>
                <w:sz w:val="20"/>
                <w:szCs w:val="20"/>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Confirmed obligations outstanding at the beginning of the year</w:t>
            </w:r>
          </w:p>
        </w:tc>
        <w:tc>
          <w:tcPr>
            <w:tcW w:w="1660" w:type="dxa"/>
            <w:vAlign w:val="bottom"/>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Invoices received</w:t>
            </w:r>
          </w:p>
        </w:tc>
        <w:tc>
          <w:tcPr>
            <w:tcW w:w="16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Invoices paid</w:t>
            </w:r>
          </w:p>
        </w:tc>
        <w:tc>
          <w:tcPr>
            <w:tcW w:w="16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Confirmed obligations outstanding at the end of the year</w:t>
            </w:r>
          </w:p>
        </w:tc>
        <w:tc>
          <w:tcPr>
            <w:tcW w:w="1660" w:type="dxa"/>
            <w:vAlign w:val="bottom"/>
            <w:tcBorders>
              <w:bottom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ind w:right="1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7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23. Subsequent Events</w:t>
      </w:r>
    </w:p>
    <w:p>
      <w:pPr>
        <w:spacing w:after="0" w:line="25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May 22, 2026, the Company entered into a definitive agreement to acquire National Technology Integrators, LLC, (“National Technology Integrators”), a low-voltage engineering and construction firm based in Maryland, for a total consideration of $275.0 million. The transaction is subject to customary closing and post-closing adjustments and is expected to close before the end of the second fiscal quarter. National Technology Integrators will be reported as part of the Company’s Building Systems segment.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Concerning Forward-Looking Statements</w:t>
      </w:r>
    </w:p>
    <w:p>
      <w:pPr>
        <w:spacing w:after="0" w:line="229" w:lineRule="exact"/>
        <w:rPr>
          <w:sz w:val="20"/>
          <w:szCs w:val="20"/>
          <w:color w:val="auto"/>
        </w:rPr>
      </w:pPr>
    </w:p>
    <w:p>
      <w:pPr>
        <w:ind w:right="60" w:firstLine="324"/>
        <w:spacing w:after="0" w:line="281"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These statements are intended to qualify for the “safe harbor” from liability established by the Private Securities Litigation Reform Act of 1995. These statements may relate to future events, financial performance, strategies, expectations, and the competitive environment. Words such as “believe,” “expect,” “anticipate,” “estimate,” “intend,” “project,” “forecast,” “target,” “outlook,” “may,” “should,” “could,” and similar expressions, as well as statements written in the future tense, identify forward-looking statements.</w:t>
      </w:r>
    </w:p>
    <w:p>
      <w:pPr>
        <w:spacing w:after="0" w:line="178" w:lineRule="exact"/>
        <w:rPr>
          <w:sz w:val="20"/>
          <w:szCs w:val="20"/>
          <w:color w:val="auto"/>
        </w:rPr>
      </w:pPr>
    </w:p>
    <w:p>
      <w:pPr>
        <w:ind w:firstLine="324"/>
        <w:spacing w:after="0" w:line="235" w:lineRule="auto"/>
        <w:rPr>
          <w:sz w:val="20"/>
          <w:szCs w:val="20"/>
          <w:color w:val="auto"/>
        </w:rPr>
      </w:pPr>
      <w:r>
        <w:rPr>
          <w:rFonts w:ascii="Times New Roman" w:cs="Times New Roman" w:eastAsia="Times New Roman" w:hAnsi="Times New Roman"/>
          <w:sz w:val="18"/>
          <w:szCs w:val="18"/>
          <w:color w:val="auto"/>
        </w:rPr>
        <w:t xml:space="preserve">You should not consider forward-looking statements as guarantees of future performance or results. When made, forward-looking statements are based on information known to management at such time and/or management’s good faith belief with respect to future events. Such statements are subject to risks and uncertainties that could cause actual performance or results to differ materially from those expressed in or suggested by the forward-looking statements. Important factors, assumptions, uncertainties, and risks that could cause such differences include, but are not limited to: projections of revenues, income or loss, or capital expenditures; future economic conditions and trends in the industries we serve, including as a result of changes in government regulation, policies and programs related to trade and infrastructure investment and tariffs; our highly concentrated customer base; the competitive environment in which we operate; customer capital budgets and spending priorities; our plans for future operations, growth and services, including contract backlog; our plans for future acquisitions, dispositions, or financial needs; expected benefits and synergies of businesses acquired and future opportunities for the combined businesses; our significant accounts receivable and contract assets; availability of capital; restrictions imposed by our senior notes and credit agreement; use of our cash flow to service our debt; the effect of changes in tax law; potential liabilities and other adverse effects arising from occupational health, safety, and other regulatory matters; potential exposure to environmental liabilities; our potential exposure to litigation, indemnity claims, warranty claims, and other liabilities and disputes; determinations as to whether the carrying value of our assets is impaired; the duration and severity of public health emergencies and their ultimate impact across our business; the impact of seasonality and adverse weather conditions on demand for our services; the impact of technological change on our customers’ spending and our ability to keep pace with technological developments; our ability to attract and retain qualified employees and subcontractors; the impact of a failure, outage or cybersecurity breach of our technology or information technology systems or those of third-party providers; and the other risks and uncertainties discussed within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and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of our Annual Report on Form 10-K for fiscal 2026, filed with the U.S. Securities and Exchange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Commission (“SEC”) on March 9, 2026, the risks discussed in this Quarterly Report on Form 10-Q, and our other periodic filings with the SEC. These forward-looking statements also include those related to the ability of the Company to consummate the anticipated transaction to acquire National Technology Integrators on a timely basis, or at all; the ability to retain the key employees of the acquired business; unfavorable reaction to the anticipated transaction by key stakeholders, including customers and employees; the ability of the Company to identify and recognize the anticipated benefits of the proposed transaction; and the ability to successfully integrate the acquired business and related operations. Our forward-looking statements are expressly qualified in their entirety by this cautionary statement and are only made as of the date of this Quarterly Report on Form 10-Q. We undertake no obligation to update or revise any forward-looking statements to reflect new information or events or circumstances arising after such date.</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following discussion and analysis should be read in conjunction with our condensed consolidated financial statements and the accompanying notes thereto included elsewhere in this Quarterly Report on Form 10-Q and with our Annual Report on Form 10-K for fiscal 2026. Our Annual Report on Form 10-K for fiscal 2026 was filed with the SEC on March 9, 2026, and is available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and on our website at </w:t>
      </w:r>
      <w:r>
        <w:rPr>
          <w:rFonts w:ascii="Times New Roman" w:cs="Times New Roman" w:eastAsia="Times New Roman" w:hAnsi="Times New Roman"/>
          <w:sz w:val="18"/>
          <w:szCs w:val="18"/>
          <w:i w:val="1"/>
          <w:iCs w:val="1"/>
          <w:color w:val="auto"/>
        </w:rPr>
        <w:t>www.dycomind.com</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5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are a leading provider of specialty contracting services focused on the digital infrastructure, telecommunications and utilities industries throughout the United States. These services include program management, planning, engineering and design; aerial, underground, and wireless construction; maintenance; and fulfillment services for telecommunications and digital infrastructure providers. We also provide underground facility locating services for various utilities, including telecommunications providers, as well as other construction and maintenance services for electric and gas utilities. Additionally, we provide comprehensive building infrastructure solutions, including electrical, energy management, security, and fire safety systems for data centers and other critical facilities. We supply the labor, tools, and equipment necessary to provide these services to our customers.</w:t>
      </w:r>
    </w:p>
    <w:p>
      <w:pPr>
        <w:spacing w:after="0" w:line="201" w:lineRule="exact"/>
        <w:rPr>
          <w:sz w:val="20"/>
          <w:szCs w:val="20"/>
          <w:color w:val="auto"/>
        </w:rPr>
      </w:pPr>
    </w:p>
    <w:p>
      <w:pPr>
        <w:ind w:right="320" w:firstLine="324"/>
        <w:spacing w:after="0" w:line="242" w:lineRule="auto"/>
        <w:rPr>
          <w:sz w:val="20"/>
          <w:szCs w:val="20"/>
          <w:color w:val="auto"/>
        </w:rPr>
      </w:pPr>
      <w:r>
        <w:rPr>
          <w:rFonts w:ascii="Times New Roman" w:cs="Times New Roman" w:eastAsia="Times New Roman" w:hAnsi="Times New Roman"/>
          <w:sz w:val="18"/>
          <w:szCs w:val="18"/>
          <w:color w:val="auto"/>
        </w:rPr>
        <w:t>Demand for high-speed and low-latency connectivity is expanding, driven by data-intensive applications and mobile usage, necessitating extensive wireline network upgrades and extensions, new and expanding fiber and electrical infrastructure for data centers to meet the current and future needs of cloud compute and artificial intelligence (“AI”), and advanced wireless network deployments. This widespread need for expanded and enhanced connectivity fuels significant opportunities within the digital infrastructure industry. Our relationships, national footprint, and ability to manage increasingly complex services differentiate us and we are confident in our ability to capitalize on industry opportunities.</w:t>
      </w:r>
    </w:p>
    <w:p>
      <w:pPr>
        <w:spacing w:after="0" w:line="212" w:lineRule="exact"/>
        <w:rPr>
          <w:sz w:val="20"/>
          <w:szCs w:val="20"/>
          <w:color w:val="auto"/>
        </w:rPr>
      </w:pPr>
    </w:p>
    <w:p>
      <w:pPr>
        <w:ind w:right="220" w:firstLine="324"/>
        <w:spacing w:after="0" w:line="244" w:lineRule="auto"/>
        <w:rPr>
          <w:sz w:val="20"/>
          <w:szCs w:val="20"/>
          <w:color w:val="auto"/>
        </w:rPr>
      </w:pPr>
      <w:r>
        <w:rPr>
          <w:rFonts w:ascii="Times New Roman" w:cs="Times New Roman" w:eastAsia="Times New Roman" w:hAnsi="Times New Roman"/>
          <w:sz w:val="18"/>
          <w:szCs w:val="18"/>
          <w:color w:val="auto"/>
        </w:rPr>
        <w:t>Our strategy centers on our core maintenance and operations services which provide a strong foundation to capitalize on other drivers of demand for digital infrastructure. These include multi-year fiber-to-the-home deployments throughout the United States, increasing fiber and electrical infrastructure builds to support hyperscaler data center growth, continued state and federal program spending to bridge the digital divide and wireless network modernization programs to meet increasing digital demands.</w:t>
      </w: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cyclical nature of the industries we serve affects demand for our services, and our contract revenues and results of operations exhibit seasonality as a significant portion of our Communications segment work is performed outdoors. The capital expenditure and maintenance budgets of our customers, and the related timing of approvals and seasonal spending patterns, influence our contract revenues and results of operations. Factors affecting our customers and their capital expenditure budgets include, but are not limited to, overall economic conditions, the introduction of new technologies, our customers’ debt levels and capital structures, our customers’ financial performance, and our customers’ positioning and strategic plans. Other factors that may affect our customers and their capital expenditure budgets include the availability of state and federal funding, the implementation or enforcement of regulations or regulatory actions impacting our customers’ businesses, merger or acquisition activity involving our customers, and the physical maintenance needs of our customers’ infrastructure</w:t>
      </w:r>
      <w:r>
        <w:rPr>
          <w:rFonts w:ascii="Arial" w:cs="Arial" w:eastAsia="Arial" w:hAnsi="Arial"/>
          <w:sz w:val="18"/>
          <w:szCs w:val="18"/>
          <w:color w:val="auto"/>
        </w:rPr>
        <w:t>.</w:t>
      </w: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Customer Relationships and Contractual Arrangements</w:t>
      </w:r>
    </w:p>
    <w:p>
      <w:pPr>
        <w:spacing w:after="0" w:line="25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have established relationships with many leading telecommunications providers, including telephone companies, cable multiple system operators, wireless carriers, telecommunications equipment and infrastructure providers, as well as electric and gas utilities and many leading general contractors specializing in data center construction.</w:t>
      </w:r>
    </w:p>
    <w:p>
      <w:pPr>
        <w:spacing w:after="0" w:line="203"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Our customer base is highly concentrated. The following reflects the percentage of total contract revenues from customers who contributed at least 10% to our total contract revenues during the three months ended May 2, 2026 and April 26, 2025:</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837"/>
        </w:trPr>
        <w:tc>
          <w:tcPr>
            <w:tcW w:w="1280" w:type="dxa"/>
            <w:vAlign w:val="bottom"/>
            <w:tcBorders>
              <w:top w:val="single" w:sz="8" w:color="0000FF"/>
            </w:tcBorders>
          </w:tcPr>
          <w:p>
            <w:pPr>
              <w:spacing w:after="0"/>
              <w:rPr>
                <w:sz w:val="24"/>
                <w:szCs w:val="24"/>
                <w:color w:val="auto"/>
              </w:rPr>
            </w:pPr>
          </w:p>
        </w:tc>
        <w:tc>
          <w:tcPr>
            <w:tcW w:w="6260" w:type="dxa"/>
            <w:vAlign w:val="bottom"/>
          </w:tcPr>
          <w:p>
            <w:pPr>
              <w:spacing w:after="0"/>
              <w:rPr>
                <w:sz w:val="24"/>
                <w:szCs w:val="24"/>
                <w:color w:val="auto"/>
              </w:rPr>
            </w:pPr>
          </w:p>
        </w:tc>
        <w:tc>
          <w:tcPr>
            <w:tcW w:w="370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7"/>
        </w:trPr>
        <w:tc>
          <w:tcPr>
            <w:tcW w:w="128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May 2, 2026</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April 26, 2025</w:t>
            </w:r>
          </w:p>
        </w:tc>
      </w:tr>
      <w:tr>
        <w:trPr>
          <w:trHeight w:val="230"/>
        </w:trPr>
        <w:tc>
          <w:tcPr>
            <w:tcW w:w="7540" w:type="dxa"/>
            <w:vAlign w:val="bottom"/>
            <w:tcBorders>
              <w:top w:val="single" w:sz="8" w:color="CCEEFF"/>
            </w:tcBorders>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AT&amp;T, Inc. </w:t>
            </w:r>
            <w:r>
              <w:rPr>
                <w:rFonts w:ascii="Times New Roman" w:cs="Times New Roman" w:eastAsia="Times New Roman" w:hAnsi="Times New Roman"/>
                <w:sz w:val="23"/>
                <w:szCs w:val="23"/>
                <w:color w:val="auto"/>
                <w:vertAlign w:val="superscript"/>
              </w:rPr>
              <w:t>(1)</w:t>
            </w: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25.8%</w:t>
            </w:r>
          </w:p>
        </w:tc>
      </w:tr>
      <w:tr>
        <w:trPr>
          <w:trHeight w:val="306"/>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Verizon Communications Inc. </w:t>
            </w:r>
            <w:r>
              <w:rPr>
                <w:rFonts w:ascii="Times New Roman" w:cs="Times New Roman" w:eastAsia="Times New Roman" w:hAnsi="Times New Roman"/>
                <w:sz w:val="23"/>
                <w:szCs w:val="23"/>
                <w:color w:val="auto"/>
                <w:vertAlign w:val="superscript"/>
              </w:rPr>
              <w:t>(2)</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13.7%</w:t>
            </w:r>
          </w:p>
        </w:tc>
      </w:tr>
    </w:tbl>
    <w:p>
      <w:pPr>
        <w:ind w:right="140" w:firstLine="8"/>
        <w:spacing w:after="0" w:line="248" w:lineRule="auto"/>
        <w:tabs>
          <w:tab w:leader="none" w:pos="181"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February 2, 2026, AT&amp;T, Inc. completed its acquisition of substantially all of the mass markets fiber business from Lumen Technologies, Inc. As a result, amounts reported for AT&amp;T Inc. in the current fiscal year include revenues from the mass markets fiber business to the extent they have transferred from Lumen Technologies Inc.</w:t>
      </w:r>
    </w:p>
    <w:p>
      <w:pPr>
        <w:ind w:right="180" w:firstLine="8"/>
        <w:spacing w:after="0" w:line="231" w:lineRule="auto"/>
        <w:tabs>
          <w:tab w:leader="none" w:pos="181"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revenue attributable to Frontier Communications Corporation retrospectively for all periods presented as a result of the acquisition by Verizon Communications, Inc. on January 20, 2026.</w:t>
      </w:r>
    </w:p>
    <w:p>
      <w:pPr>
        <w:spacing w:after="0" w:line="22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perform a majority of our services under master service agreements and other contracts that contain customer-specified service requirements. These agreements include discrete pricing for individual tasks. We generally possess multiple agreements with each of our significant customers. To the extent that such agreements specify exclusivity, there are often exceptions, including the ability of the customer to issue work orders valued above a specified dollar amount to other service providers, the performance of work with the customer’s own employees, and the use of other service providers when jointly placing facilities with another utility. In many cases, a customer may terminate an agreement for convenience. Historically, multi-year master service agreements have been awarded primarily through a competitive bidding process; however, occasionally we are able to negotiate extensions to these agreements. We provide the remainder of our services pursuant to contracts for specific projects. These contracts may be long-term (with terms greater than one year) or short-term (with terms less than one year) and at times include retainage provisions under which the customer may withhold 5% to 10% of the invoiced amounts pending project completion and closeout. Contract revenues from multi-year master service agreements and other long-term contracts, as a percentage of contract revenues, was 95.5% and 92.5% for the three months ended May 2, 2026 and April 26, 2025</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31" w:lineRule="exact"/>
        <w:rPr>
          <w:sz w:val="20"/>
          <w:szCs w:val="20"/>
          <w:color w:val="auto"/>
        </w:rPr>
      </w:pPr>
    </w:p>
    <w:p>
      <w:pPr>
        <w:jc w:val="both"/>
        <w:ind w:right="80" w:firstLine="324"/>
        <w:spacing w:after="0" w:line="255" w:lineRule="auto"/>
        <w:rPr>
          <w:sz w:val="20"/>
          <w:szCs w:val="20"/>
          <w:color w:val="auto"/>
        </w:rPr>
      </w:pPr>
      <w:r>
        <w:rPr>
          <w:rFonts w:ascii="Times New Roman" w:cs="Times New Roman" w:eastAsia="Times New Roman" w:hAnsi="Times New Roman"/>
          <w:sz w:val="18"/>
          <w:szCs w:val="18"/>
          <w:color w:val="auto"/>
        </w:rPr>
        <w:t>As part of our growth strategy, we may acquire companies that expand, complement, or diversify our business. We regularly review opportunities and periodically engage in discussions regarding possible acquisitions. Our ability to sustain our growth and maintain our competitive position may be affected by our ability to identify, acquire, and successfully integrate companies.</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Fiscal 2026. </w:t>
      </w:r>
      <w:r>
        <w:rPr>
          <w:rFonts w:ascii="Times New Roman" w:cs="Times New Roman" w:eastAsia="Times New Roman" w:hAnsi="Times New Roman"/>
          <w:sz w:val="18"/>
          <w:szCs w:val="18"/>
          <w:color w:val="auto"/>
        </w:rPr>
        <w:t>During the fourth quarter of fiscal 2026, we acquired Power Solutions, LLC (“Power Solutions”), a company that provides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building infrastructure solutions, including electrical, energy management, security, and fire safety systems for data centers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facilities in the Greater Washington D.C., Maryland, and Virginia area. This acquisition expands our service offerings and our customer base.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was valued at $1.95 billion as of the signing of the acquisition on a cash-free, debt-free basis. The value was subject to post-closing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 including the final determination of cash, indebtedness and working capital balances. At the closing date, the funding of the acquisition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a cash payment of $1,644.9 million ($1,628.6 million net of cash acquired of $16.3 million), the issuance of 1,011,069 shares of Dycom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to the sellers valued at $351.0 million and the assumption of seller indebtedness of $64.8 million. A post-closing working capital adjustment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$12.8 million was recorded during the first quarter of fiscal 2027. Total consideration was $2,008.7 million. The acquisition of Power Solutions resulted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addition of a new operating segment which is also a new reportable segment – Building Systems. For additional information on our reportable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segments, see Note 20, </w:t>
      </w:r>
      <w:r>
        <w:rPr>
          <w:rFonts w:ascii="Times New Roman" w:cs="Times New Roman" w:eastAsia="Times New Roman" w:hAnsi="Times New Roman"/>
          <w:sz w:val="18"/>
          <w:szCs w:val="18"/>
          <w:i w:val="1"/>
          <w:iCs w:val="1"/>
          <w:color w:val="auto"/>
        </w:rPr>
        <w:t>Segment Reporting.</w:t>
      </w:r>
    </w:p>
    <w:p>
      <w:pPr>
        <w:spacing w:after="0" w:line="234" w:lineRule="exact"/>
        <w:rPr>
          <w:sz w:val="20"/>
          <w:szCs w:val="20"/>
          <w:color w:val="auto"/>
        </w:rPr>
      </w:pPr>
    </w:p>
    <w:p>
      <w:pPr>
        <w:ind w:right="280" w:firstLine="324"/>
        <w:spacing w:after="0" w:line="257" w:lineRule="auto"/>
        <w:rPr>
          <w:sz w:val="20"/>
          <w:szCs w:val="20"/>
          <w:color w:val="auto"/>
        </w:rPr>
      </w:pPr>
      <w:r>
        <w:rPr>
          <w:rFonts w:ascii="Times New Roman" w:cs="Times New Roman" w:eastAsia="Times New Roman" w:hAnsi="Times New Roman"/>
          <w:sz w:val="18"/>
          <w:szCs w:val="18"/>
          <w:color w:val="auto"/>
        </w:rPr>
        <w:t xml:space="preserve">Results of the business acquired are included our condensed consolidated financial statements from the date of acquisition and represents the newly formed Building Systems reportable segment. For additional information on our reportable segments, including the results of the Building Systems segment, see Note 20,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3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condensed consolidated financial statements. These statements have been prepared in accordance with accounting principles generally accepted in the United States of America (“GAAP”). In conformity with GAAP, the preparation of financial statements requires management to make estimates and assumptions that affect the amounts reported in these condensed consolidated financial statements and accompanying notes. These estimates and assumptions require the use of judgment as to the likelihood of various future outcomes and, as a result, actual results could differ materially from these estimates. There have been no material changes to our significant accounting policies and critical accounting estimates described in our Annual Report on Form 10-K for fiscal 2026.</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Understanding Our Results of Operations</w:t>
      </w:r>
    </w:p>
    <w:p>
      <w:pPr>
        <w:spacing w:after="0" w:line="31" w:lineRule="exact"/>
        <w:rPr>
          <w:sz w:val="20"/>
          <w:szCs w:val="20"/>
          <w:color w:val="auto"/>
        </w:rPr>
      </w:pPr>
    </w:p>
    <w:p>
      <w:pPr>
        <w:ind w:right="120" w:firstLine="324"/>
        <w:spacing w:after="0" w:line="250" w:lineRule="auto"/>
        <w:rPr>
          <w:sz w:val="20"/>
          <w:szCs w:val="20"/>
          <w:color w:val="auto"/>
        </w:rPr>
      </w:pPr>
      <w:r>
        <w:rPr>
          <w:rFonts w:ascii="Times New Roman" w:cs="Times New Roman" w:eastAsia="Times New Roman" w:hAnsi="Times New Roman"/>
          <w:sz w:val="18"/>
          <w:szCs w:val="18"/>
          <w:color w:val="auto"/>
        </w:rPr>
        <w:t>The following information is presented so that the reader may better understand certain factors impacting our results of operations and should be read in conjunction with our condensed consolidated financial statements and the accompanying notes thereto included elsewhere in this Quarterly Report on</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Form 10-Q and </w:t>
      </w: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xml:space="preserve"> within Item 7,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as well as Note 2,</w:t>
      </w:r>
      <w:r>
        <w:rPr>
          <w:rFonts w:ascii="Times New Roman" w:cs="Times New Roman" w:eastAsia="Times New Roman" w:hAnsi="Times New Roman"/>
          <w:sz w:val="18"/>
          <w:szCs w:val="18"/>
          <w:i w:val="1"/>
          <w:iCs w:val="1"/>
          <w:color w:val="auto"/>
        </w:rPr>
        <w:t xml:space="preserve"> Significant Accounting Policies and Estimates</w:t>
      </w:r>
      <w:r>
        <w:rPr>
          <w:rFonts w:ascii="Times New Roman" w:cs="Times New Roman" w:eastAsia="Times New Roman" w:hAnsi="Times New Roman"/>
          <w:sz w:val="18"/>
          <w:szCs w:val="18"/>
          <w:color w:val="auto"/>
        </w:rPr>
        <w:t>, in the Notes to the Consolidated Financial Statements included in our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on Form 10-K for fiscal 2026.</w:t>
      </w:r>
    </w:p>
    <w:p>
      <w:pPr>
        <w:spacing w:after="0" w:line="213"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Our fiscal year ends on the last Saturday in January. As a result, each fiscal year consists of either 52 weeks or 53 weeks of operations (with the additional week of operations occurring in the fourth quarter). Fiscal 2027 consists of 52 weeks of operations, while fiscal 2026 consisted of 53 weeks of operations.</w:t>
      </w:r>
    </w:p>
    <w:p>
      <w:pPr>
        <w:spacing w:after="0" w:line="201"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Contract Revenues. </w:t>
      </w:r>
      <w:r>
        <w:rPr>
          <w:rFonts w:ascii="Times New Roman" w:cs="Times New Roman" w:eastAsia="Times New Roman" w:hAnsi="Times New Roman"/>
          <w:sz w:val="18"/>
          <w:szCs w:val="18"/>
          <w:color w:val="auto"/>
        </w:rPr>
        <w:t>We perform a significant amount of our services under master service agreements and other contracts that contain customer-specified service requirements. These agreements include discrete pricing for individual tasks including, for example, the placement of underground or aerial fiber, directional boring, and fiber splicing, each based on a specific unit of measure. A contractual agreement exists when each party involved approves and commits to the agreement, the rights of the parties and payment terms are identified, the agreement has commercial substance, and collectability of consideration is probable. Our services are performed for the sole benefit of our customers, whereby the assets being created or maintained are controlled by the customer and the services we perform do not have alternative benefits for us. Contract revenue is recognized over time as services are performed and customers simultaneously receive and consume the benefits we provide. Output measures such as units delivered are utilized to assess progress against specific contractual performance obligations for the majority of our services. The selection of the method to measure progress towards completion requires judgment and is based on the nature of the services to be provided. For us, the output method using units delivered best represents the measure of progress against the performance obligations incorporated within the contractual agreements. This method captures the amount of units delivered pursuant to contracts and is used only when our performance does not produce significant amounts of work in process prior to complete satisfaction of the performance obligation. For a portion of contract items, units to be completed consist of multiple tasks. For these items, the transaction price is allocated to each task based on relative standalone measurements, such as selling prices for similar tasks, or in the alternative, the cost to perform the tasks. Contract revenue is recognized as the tasks are completed as a measurement of progress in the satisfaction of the corresponding performance obligation.</w:t>
      </w:r>
    </w:p>
    <w:p>
      <w:pPr>
        <w:spacing w:after="0" w:line="225" w:lineRule="exact"/>
        <w:rPr>
          <w:sz w:val="20"/>
          <w:szCs w:val="20"/>
          <w:color w:val="auto"/>
        </w:rPr>
      </w:pPr>
    </w:p>
    <w:p>
      <w:pPr>
        <w:ind w:right="40" w:firstLine="324"/>
        <w:spacing w:after="0" w:line="242" w:lineRule="auto"/>
        <w:rPr>
          <w:sz w:val="20"/>
          <w:szCs w:val="20"/>
          <w:color w:val="auto"/>
        </w:rPr>
      </w:pPr>
      <w:r>
        <w:rPr>
          <w:rFonts w:ascii="Times New Roman" w:cs="Times New Roman" w:eastAsia="Times New Roman" w:hAnsi="Times New Roman"/>
          <w:sz w:val="18"/>
          <w:szCs w:val="18"/>
          <w:color w:val="auto"/>
        </w:rPr>
        <w:t>For certain contracts, representing 22% and 1%, respectively, of contract revenues during each of the three months ended May 2, 2026 and April 26, 2025, we use the cost-to-cost measure of progress. These contracts are generally projects that are completed over a period of less than twelve months. Under the cost-to-cost measure of progress, the extent of progress toward completion is measured based on the ratio of costs incurred to date to the total estimated costs. Contract costs include direct labor, direct materials, and subcontractor costs, as well as an allocation of indirect costs. Contract revenues are recorded as costs are incurred. We accrue the entire amount of a contract loss, if any, at the time the loss is determined to be probable and can be reasonably estimated. Our estimates of total contract revenue and total contract costs are subject to ongoing evaluation and revision throughout the life of the contract. Changes in these estimates can result in the recognition of revenue in a current period for performance obligations that were satisfied or partially satisfied in prior periods. Conversely, revisions may result in the reversal of previously recognized revenue if the currently estimated total revenue is less than the previous estimate, or if estimated total contract costs increase. During the three months ended May 2, 2026 and April 26, 2025, the net impact of such changes in estimates on our recognized revenue was not material to our condensed consolidated financial statements. There were no material amounts of unapproved change orders included in revenue during the three months ended May 2, 2026 and April 26, 2025.</w:t>
      </w:r>
    </w:p>
    <w:p>
      <w:pPr>
        <w:spacing w:after="0" w:line="22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Costs of Earned Revenues. </w:t>
      </w:r>
      <w:r>
        <w:rPr>
          <w:rFonts w:ascii="Times New Roman" w:cs="Times New Roman" w:eastAsia="Times New Roman" w:hAnsi="Times New Roman"/>
          <w:sz w:val="18"/>
          <w:szCs w:val="18"/>
          <w:color w:val="auto"/>
        </w:rPr>
        <w:t>Costs of earned revenues includes all direct costs of providing services under our contracts, including costs for direct labor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by employees, services by subcontractors, operation of capital equipment (excluding depreciation), direct materials, costs of insuring our risks, and other direct costs. Under our insurance program, we retain the risk of loss, up to certain limits, for matters related to automobile liability, general liability (including damages associated with underground facility locating services), workers’ compensation, and employee group health.</w:t>
      </w:r>
    </w:p>
    <w:p>
      <w:pPr>
        <w:spacing w:after="0" w:line="20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primarily consist of employee compensation and related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performance-based compensation and stock-based compensation, legal, consulting and professional fees, information technology and development costs, amortization of implementation costs associated with cloud computing arrangements, provision for or recoveries of bad debt expense, acquisition and integration costs of businesses acquired, and other costs not directly related to the provision of our services under customer contracts. Our provision for bad</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debt expense is determined by evaluating specific accounts receivable and contract asset balances based on historical collection trends, the age of outstanding receivables, and the creditworthiness of our customers. We incur information technology and development costs primarily to support and enhance our operating efficiency. Our executive management team and the senior management of our subsidiaries perform substantially all of our sales and marketing functions as part of their management responsibilities.</w:t>
      </w:r>
    </w:p>
    <w:p>
      <w:pPr>
        <w:spacing w:after="0" w:line="20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Our property and equipment primarily consist of vehicles, equipment and machinery, and computer hardware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We depreciate property and equipment on a straight-line basis over the estimated useful lives of the assets. In addition, we have intangible assets, including customer relationships, trade names, and non-compete intangibles, which we amortize over their estimated useful lives. We recognize amortization of customer relationship intangibles on an accelerated basis as a function of the expected economic benefit and amortization of other finite-lived intangibles on a straight-line basis over their estimated useful lives.</w:t>
      </w:r>
    </w:p>
    <w:p>
      <w:pPr>
        <w:spacing w:after="0" w:line="210" w:lineRule="exact"/>
        <w:rPr>
          <w:sz w:val="20"/>
          <w:szCs w:val="20"/>
          <w:color w:val="auto"/>
        </w:rPr>
      </w:pPr>
    </w:p>
    <w:p>
      <w:pPr>
        <w:ind w:right="1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consists of interest incurred on outstanding variable rate and fixed rate debt and certain other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the amortization of debt issuance costs. See Note 14,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the condensed consolidated financial statements for information on debt issuance costs.</w:t>
      </w:r>
    </w:p>
    <w:p>
      <w:pPr>
        <w:spacing w:after="0" w:line="200" w:lineRule="exact"/>
        <w:rPr>
          <w:sz w:val="20"/>
          <w:szCs w:val="20"/>
          <w:color w:val="auto"/>
        </w:rPr>
      </w:pPr>
    </w:p>
    <w:p>
      <w:pPr>
        <w:ind w:right="3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primarily consists of gains or losses from sales of fixed assets. Other income, net also includes discount fee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associated with the collection of accounts receivable under a customer-sponsored vendor payment program.</w:t>
      </w:r>
    </w:p>
    <w:p>
      <w:pPr>
        <w:spacing w:after="0" w:line="18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Seasonality and Fluctuations in Operating Results. </w:t>
      </w:r>
      <w:r>
        <w:rPr>
          <w:rFonts w:ascii="Times New Roman" w:cs="Times New Roman" w:eastAsia="Times New Roman" w:hAnsi="Times New Roman"/>
          <w:sz w:val="18"/>
          <w:szCs w:val="18"/>
          <w:color w:val="auto"/>
        </w:rPr>
        <w:t>Our contract revenues and results of operations exhibit seasonality and are impacted by adverse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weather changes as we perform a significant portion of our Communications segment work outside. Consequently, adverse weather, which is more likely to occur with greater frequency, severity, and duration during the winter, as well as reduced daylight hours, impact our operations during the fiscal quarters ending in January and April. Additionally, extreme weather conditions, such as major or extended winter storms, droughts and tornados, wildfires, and natural disasters, such as floods, hurricanes, tropical storms, whether as a result of climate change or otherwise, could also impact the demand for our services or impact our ability to perform our services. Also, several holidays fall within the fiscal quarter ending in January, which decreases the number of available workdays in this fiscal quarter. Because of these factors, we are most likely to experience reduced revenue and profitability or losses during the fiscal quarters ending in January and April compared to the fiscal quarters ending in July and October.</w:t>
      </w:r>
    </w:p>
    <w:p>
      <w:pPr>
        <w:spacing w:after="0" w:line="214"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We may also experience variations in our profitability driven by a number of factors. These factors include variations and fluctuations in contract revenues, job specific costs, insurance claims, the allowance for credit losses, accruals for contingencies, stock-based compensation expense for performance-based stock awards, the fair value of reporting units for the goodwill impairment analysis, the valuation of intangibles and other long-lived assets, gains or losses on the sale of fixed assets from the timing and levels of capital assets sold, the employer portion of payroll taxes as a result of reaching statutory limits, and our effective tax rate.</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Accordingly, operating results for any fiscal period are not necessarily indicative of results we may achieve for any subsequent fiscal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left="80" w:right="5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condensed consolidated statements of operations for the periods indicated and the amounts as a percentage of contract revenues (totals may not add due to rounding) (dollars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120" w:type="dxa"/>
            <w:vAlign w:val="bottom"/>
            <w:tcBorders>
              <w:bottom w:val="single" w:sz="8" w:color="auto"/>
            </w:tcBorders>
          </w:tcPr>
          <w:p>
            <w:pPr>
              <w:spacing w:after="0"/>
              <w:rPr>
                <w:sz w:val="21"/>
                <w:szCs w:val="21"/>
                <w:color w:val="auto"/>
              </w:rPr>
            </w:pPr>
          </w:p>
        </w:tc>
      </w:tr>
      <w:tr>
        <w:trPr>
          <w:trHeight w:val="237"/>
        </w:trPr>
        <w:tc>
          <w:tcPr>
            <w:tcW w:w="67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w w:val="98"/>
              </w:rPr>
              <w:t>May 2, 2026</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April 26, 2025</w:t>
            </w: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1,258.6</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Costs of earned revenues, excluding depreciation and amortization</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80.3</w:t>
            </w:r>
          </w:p>
        </w:tc>
      </w:tr>
      <w:tr>
        <w:trPr>
          <w:trHeight w:val="229"/>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1,173.2</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93.2</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80" w:right="2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Contract Revenues. </w:t>
      </w:r>
      <w:r>
        <w:rPr>
          <w:rFonts w:ascii="Times New Roman" w:cs="Times New Roman" w:eastAsia="Times New Roman" w:hAnsi="Times New Roman"/>
          <w:sz w:val="18"/>
          <w:szCs w:val="18"/>
          <w:color w:val="auto"/>
        </w:rPr>
        <w:t>Contract revenues were $1.965 billion during the three months ended May 2, 2026 compared to $1.259 billion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April 26, 2025. Contract revenues from acquired businesses were $395.4 million for the three months ended May 2, 2026. Acquired revenues represent contract revenues from an acquired business that were not owned for the full period in both the current and comparable prior periods. Excluding amounts generated by the acquired business, contract revenues increased by $310.8 million during the three months ended May 2, 2026 compared to the three months ended April 26, 2025, primarily due to net revenue increases in fiber-to-the-home deployments, including rural fiber deployment programs.</w:t>
      </w:r>
    </w:p>
    <w:p>
      <w:pPr>
        <w:spacing w:after="0" w:line="209" w:lineRule="exact"/>
        <w:rPr>
          <w:sz w:val="20"/>
          <w:szCs w:val="20"/>
          <w:color w:val="auto"/>
        </w:rPr>
      </w:pPr>
    </w:p>
    <w:p>
      <w:pPr>
        <w:ind w:left="80"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Costs of Earned Revenues. </w:t>
      </w:r>
      <w:r>
        <w:rPr>
          <w:rFonts w:ascii="Times New Roman" w:cs="Times New Roman" w:eastAsia="Times New Roman" w:hAnsi="Times New Roman"/>
          <w:sz w:val="18"/>
          <w:szCs w:val="18"/>
          <w:color w:val="auto"/>
        </w:rPr>
        <w:t>Costs of earned revenues increased to $1.578 billion, or 80.3% of contract revenues, during the three months ended May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compared to $1.011 billion, or 80.3% of contract revenues, during the three months ended April 26, 2025. The primary components of the increase were a $397.6 million aggregate increase in direct labor and subcontractor costs, a $130.4 million increase in direct materials expense, a $20.9 million increase in equipment and fuel costs, and a $18.1 million increase in other direct costs.</w:t>
      </w:r>
    </w:p>
    <w:p>
      <w:pPr>
        <w:spacing w:after="0" w:line="209" w:lineRule="exact"/>
        <w:rPr>
          <w:sz w:val="20"/>
          <w:szCs w:val="20"/>
          <w:color w:val="auto"/>
        </w:rPr>
      </w:pPr>
    </w:p>
    <w:p>
      <w:pPr>
        <w:ind w:left="80" w:firstLine="324"/>
        <w:spacing w:after="0" w:line="281" w:lineRule="auto"/>
        <w:rPr>
          <w:sz w:val="20"/>
          <w:szCs w:val="20"/>
          <w:color w:val="auto"/>
        </w:rPr>
      </w:pPr>
      <w:r>
        <w:rPr>
          <w:rFonts w:ascii="Times New Roman" w:cs="Times New Roman" w:eastAsia="Times New Roman" w:hAnsi="Times New Roman"/>
          <w:sz w:val="17"/>
          <w:szCs w:val="17"/>
          <w:color w:val="auto"/>
        </w:rPr>
        <w:t>Costs of earned revenues as a percentage of contract revenues remained flat during the three months ended May 2, 2026 compared to the three months ended April 26, 2025. Labor and subcontracted labor costs decreased 3.0% primarily due to the mix of work performed during the three months ended May 2, 2026. Direct material costs increased 4.7% primarily as a result of our mix of work in which we provide materials for customers. Other costs decreased 1.7% on a net basis as a percentage of contract revenues for the three months ended May 2, 2026 compared to the three months ended April 26, 2025.</w:t>
      </w:r>
    </w:p>
    <w:p>
      <w:pPr>
        <w:spacing w:after="0" w:line="189" w:lineRule="exact"/>
        <w:rPr>
          <w:sz w:val="20"/>
          <w:szCs w:val="20"/>
          <w:color w:val="auto"/>
        </w:rPr>
      </w:pPr>
    </w:p>
    <w:p>
      <w:pPr>
        <w:ind w:left="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to $131.3 million, or 6.7% of contract revenues,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May 2, 2026 compared to $103.7 million, or 8.2% of contract revenues, during the three months ended April 26, 2025. The increase in total general and administrative expenses during the three months ended May 2, 2026 is primarily due to increased administrative, payroll, performance based compensation, and other costs, including incremental general administrative expenses from acquired businesses.</w:t>
      </w:r>
    </w:p>
    <w:p>
      <w:pPr>
        <w:spacing w:after="0" w:line="207" w:lineRule="exact"/>
        <w:rPr>
          <w:sz w:val="20"/>
          <w:szCs w:val="20"/>
          <w:color w:val="auto"/>
        </w:rPr>
      </w:pPr>
    </w:p>
    <w:p>
      <w:pPr>
        <w:ind w:left="80" w:right="1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expense was $53.4 million, or 2.7% of contract revenues, during the three months ended May 2,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$46.4 million, or 3.7% of contract revenues, during the three months ended April 26, 2025. The increase in depreciation expense during the three months ended May 2, 2026 is primarily due to higher capital expenditures to support our growth in operations, the normal replacement cycle of fleet assets, and depreciation from acquired businesses.</w:t>
      </w:r>
    </w:p>
    <w:p>
      <w:pPr>
        <w:spacing w:after="0" w:line="209" w:lineRule="exact"/>
        <w:rPr>
          <w:sz w:val="20"/>
          <w:szCs w:val="20"/>
          <w:color w:val="auto"/>
        </w:rPr>
      </w:pPr>
    </w:p>
    <w:p>
      <w:pPr>
        <w:ind w:left="80" w:right="80"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was $58.3 million and $12.0 million during the three months ended May 2, 2026 and April 26, 2025, respectively. The increase in amortization expense during the three months ended May 2, 2026 is due to the increase in amortizing intangibles from acquired businesses.</w:t>
      </w: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5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was $35.5 million and $14.0 million during the three months ended May 2, 2026 and April 26,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as a result of higher outstanding borrowings and lower market interest rates during the current period.</w:t>
      </w:r>
    </w:p>
    <w:p>
      <w:pPr>
        <w:spacing w:after="0" w:line="18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(Expense) Income, Net. </w:t>
      </w:r>
      <w:r>
        <w:rPr>
          <w:rFonts w:ascii="Times New Roman" w:cs="Times New Roman" w:eastAsia="Times New Roman" w:hAnsi="Times New Roman"/>
          <w:sz w:val="18"/>
          <w:szCs w:val="18"/>
          <w:color w:val="auto"/>
        </w:rPr>
        <w:t>Other expense, net was $1.5 million during the three months ended May 2, 2026 and other income, net was $7.3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three months ended April 26, 2025. Gain on sale of fixed assets, net was $2.0 million and $9.8 million during the three months ended May 2, 2026 and April 26, 2025, respectively. The change in other income, net is primarily a function of the number of assets sold and prices obtained for those assets during each respective period. Other income, net also reflects $5.1 million and $3.6 million of expense during the three months ended May 2, 2026 and April 26, 2025 respectively, associated with the non-recourse sale of accounts receivable under a customer-sponsored vendor payment program.</w:t>
      </w:r>
    </w:p>
    <w:p>
      <w:pPr>
        <w:spacing w:after="0" w:line="210" w:lineRule="exact"/>
        <w:rPr>
          <w:sz w:val="20"/>
          <w:szCs w:val="20"/>
          <w:color w:val="auto"/>
        </w:rPr>
      </w:pPr>
    </w:p>
    <w:p>
      <w:pPr>
        <w:ind w:right="140" w:firstLine="324"/>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following table presents our income tax provision and effective income tax rate for the three months ended May 2, 2026 and April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26, 2025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780" w:type="dxa"/>
            <w:vAlign w:val="bottom"/>
            <w:tcBorders>
              <w:bottom w:val="single" w:sz="8" w:color="auto"/>
            </w:tcBorders>
          </w:tcPr>
          <w:p>
            <w:pPr>
              <w:spacing w:after="0"/>
              <w:rPr>
                <w:sz w:val="21"/>
                <w:szCs w:val="21"/>
                <w:color w:val="auto"/>
              </w:rPr>
            </w:pPr>
          </w:p>
        </w:tc>
      </w:tr>
      <w:tr>
        <w:trPr>
          <w:trHeight w:val="237"/>
        </w:trPr>
        <w:tc>
          <w:tcPr>
            <w:tcW w:w="7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April 26,</w:t>
            </w:r>
          </w:p>
        </w:tc>
        <w:tc>
          <w:tcPr>
            <w:tcW w:w="7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29"/>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17.6</w:t>
            </w:r>
          </w:p>
        </w:tc>
      </w:tr>
      <w:tr>
        <w:trPr>
          <w:trHeight w:val="23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80" w:type="dxa"/>
            <w:vAlign w:val="bottom"/>
          </w:tcPr>
          <w:p>
            <w:pPr>
              <w:spacing w:after="0"/>
              <w:rPr>
                <w:sz w:val="20"/>
                <w:szCs w:val="20"/>
                <w:color w:val="auto"/>
              </w:rPr>
            </w:pPr>
          </w:p>
        </w:tc>
        <w:tc>
          <w:tcPr>
            <w:tcW w:w="15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14.5 %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22.3 %</w:t>
            </w:r>
          </w:p>
        </w:tc>
      </w:tr>
    </w:tbl>
    <w:p>
      <w:pPr>
        <w:spacing w:after="0" w:line="31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effective income tax rate was 14.5% and 22.3% for the three months ended May 2, 2026 and April 26, 2025, respectively. The interim income tax provisions are based on the effective income tax rate expected to be applicable for the full fiscal year, adjusted for specific items that are required to be recognized in the period in which they occur. The effective tax rate differs from the statutory rate primarily due to the difference in income tax rates from state to state where work was performed, non-deductible and non-taxable items, tax credits recognized, the tax effects of the vesting and exercise of share-based awards, and changes in unrecognized tax benefits. Deferred tax assets and liabilities are based on the enacted tax rate that will apply in future periods when such assets and liabilities are expected to be settled or realized.</w:t>
      </w:r>
    </w:p>
    <w:p>
      <w:pPr>
        <w:spacing w:after="0" w:line="214"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May 2, 2026 and April 26, 2025, the Company realized $12.5 million and $2.2 million of net excess tax benefits, respectively, related to the vesting and exercise of share-based awards</w:t>
      </w:r>
    </w:p>
    <w:p>
      <w:pPr>
        <w:spacing w:after="0" w:line="200" w:lineRule="exact"/>
        <w:rPr>
          <w:sz w:val="20"/>
          <w:szCs w:val="20"/>
          <w:color w:val="auto"/>
        </w:rPr>
      </w:pPr>
    </w:p>
    <w:p>
      <w:pPr>
        <w:spacing w:after="0" w:line="230" w:lineRule="exact"/>
        <w:rPr>
          <w:sz w:val="20"/>
          <w:szCs w:val="20"/>
          <w:color w:val="auto"/>
        </w:rPr>
      </w:pPr>
    </w:p>
    <w:p>
      <w:pPr>
        <w:ind w:right="2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was $91.3 million for the three months ended May 2, 2026 compared to $61.0 million for the three months ended April 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Non-GAAP Adjusted EBITDA. </w:t>
      </w:r>
      <w:r>
        <w:rPr>
          <w:rFonts w:ascii="Times New Roman" w:cs="Times New Roman" w:eastAsia="Times New Roman" w:hAnsi="Times New Roman"/>
          <w:sz w:val="18"/>
          <w:szCs w:val="18"/>
          <w:color w:val="auto"/>
        </w:rPr>
        <w:t>Adjusted EBITDA is a Non-GAAP measure. We define Adjusted EBITDA as net income before interest,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and amortization, gain on sale of fixed assets, stock-based compensation expense, and certain non-recurring items. Management believes Adjusted EBITDA is a helpful measure for comparing the Company’s operating performance with prior periods as well as with the performance of other companies with different capital structures or tax rates. The following table provides a reconciliation of net income to Non-GAAP Adjusted EBITDA (totals may not add due to rounding) (dollars in millions):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5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6"/>
        </w:trPr>
        <w:tc>
          <w:tcPr>
            <w:tcW w:w="7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20" w:type="dxa"/>
            <w:vAlign w:val="bottom"/>
          </w:tcPr>
          <w:p>
            <w:pPr>
              <w:spacing w:after="0"/>
              <w:rPr>
                <w:sz w:val="20"/>
                <w:szCs w:val="20"/>
                <w:color w:val="auto"/>
              </w:rPr>
            </w:pP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April 26, 2025</w:t>
            </w:r>
          </w:p>
        </w:tc>
      </w:tr>
      <w:tr>
        <w:trPr>
          <w:trHeight w:val="230"/>
        </w:trPr>
        <w:tc>
          <w:tcPr>
            <w:tcW w:w="75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61.0</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9"/>
                <w:szCs w:val="19"/>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14.0</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111.6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58.4</w:t>
            </w:r>
          </w:p>
        </w:tc>
      </w:tr>
      <w:tr>
        <w:trPr>
          <w:trHeight w:val="223"/>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Earnings Before Interest, Taxes, Depreciation &amp; Amortization (“EBITDA”)</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151.0</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fixed assets</w:t>
            </w:r>
          </w:p>
        </w:tc>
        <w:tc>
          <w:tcPr>
            <w:tcW w:w="260" w:type="dxa"/>
            <w:vAlign w:val="bottom"/>
          </w:tcPr>
          <w:p>
            <w:pPr>
              <w:spacing w:after="0"/>
              <w:rPr>
                <w:sz w:val="19"/>
                <w:szCs w:val="19"/>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Non-GAAP Adjusted EBITDA</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262.5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150.4</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3"/>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Non-GAAP Adjusted EBITDA % of contract revenues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r>
    </w:tbl>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31" w:lineRule="exact"/>
        <w:rPr>
          <w:sz w:val="20"/>
          <w:szCs w:val="20"/>
          <w:color w:val="auto"/>
        </w:rPr>
      </w:pPr>
    </w:p>
    <w:p>
      <w:pPr>
        <w:ind w:right="100" w:firstLine="324"/>
        <w:spacing w:after="0" w:line="251" w:lineRule="auto"/>
        <w:rPr>
          <w:sz w:val="20"/>
          <w:szCs w:val="20"/>
          <w:color w:val="auto"/>
        </w:rPr>
      </w:pPr>
      <w:r>
        <w:rPr>
          <w:rFonts w:ascii="Times New Roman" w:cs="Times New Roman" w:eastAsia="Times New Roman" w:hAnsi="Times New Roman"/>
          <w:sz w:val="18"/>
          <w:szCs w:val="18"/>
          <w:color w:val="auto"/>
        </w:rPr>
        <w:t xml:space="preserve">Through October 25, 2025, we reported our results under a single reportable segment. During the fourth quarter of fiscal 2026, in connection with the acquisition of Power Solutions, we reevaluated our reportable segments which resulted in the transition from a single reportable segment to two reportable segments: Communications and Building Systems. See Note 20,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for additional information. Common administrative support for operating companies require that certain allocations be made to determine segment profitability, including allocations of corporate shared and indirect operating costs, as well as general and administrative costs. Certain corporate costs are not allocated, including certain acquisition and integration costs, interest expense (income) and loss on debt extinguishment. The following table sets forth segment and consolidated contract revenues, segment and consolidated income before income taxes and segment and consolidated Non-GAAP Adjustment EBITDA for the periods indicated and the amounts as a percentage of segment and consolidated contract revenues, respectively, as well as the dollar and percentage change from the prior period (totals may not add due to rounding) (dollars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Borders>
              <w:bottom w:val="single" w:sz="8" w:color="auto"/>
            </w:tcBorders>
          </w:tcPr>
          <w:p>
            <w:pPr>
              <w:spacing w:after="0"/>
              <w:rPr>
                <w:sz w:val="21"/>
                <w:szCs w:val="21"/>
                <w:color w:val="auto"/>
              </w:rPr>
            </w:pPr>
          </w:p>
        </w:tc>
      </w:tr>
      <w:tr>
        <w:trPr>
          <w:trHeight w:val="236"/>
        </w:trPr>
        <w:tc>
          <w:tcPr>
            <w:tcW w:w="4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300" w:type="dxa"/>
            <w:vAlign w:val="bottom"/>
          </w:tcPr>
          <w:p>
            <w:pPr>
              <w:spacing w:after="0"/>
              <w:rPr>
                <w:sz w:val="20"/>
                <w:szCs w:val="20"/>
                <w:color w:val="auto"/>
              </w:rPr>
            </w:pPr>
          </w:p>
        </w:tc>
        <w:tc>
          <w:tcPr>
            <w:tcW w:w="190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April 26, 2025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6"/>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Revenues:</w:t>
            </w: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30"/>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Communications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79.9 %</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1,258.6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310.8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24.7 %</w:t>
            </w:r>
          </w:p>
        </w:tc>
      </w:tr>
      <w:tr>
        <w:trPr>
          <w:trHeight w:val="229"/>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Building Systems</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395.4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3"/>
        </w:trPr>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Consolidated contract revenues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1,964.8</w:t>
            </w:r>
          </w:p>
        </w:tc>
        <w:tc>
          <w:tcPr>
            <w:tcW w:w="10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1,258.6</w:t>
            </w:r>
          </w:p>
        </w:tc>
        <w:tc>
          <w:tcPr>
            <w:tcW w:w="98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706.2</w:t>
            </w:r>
          </w:p>
        </w:tc>
        <w:tc>
          <w:tcPr>
            <w:tcW w:w="800" w:type="dxa"/>
            <w:vAlign w:val="bottom"/>
            <w:tcBorders>
              <w:top w:val="single" w:sz="8" w:color="auto"/>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8"/>
              </w:rPr>
              <w:t>56.1%</w:t>
            </w: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7"/>
        </w:trPr>
        <w:tc>
          <w:tcPr>
            <w:tcW w:w="44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Communications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92.6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26.2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r>
      <w:tr>
        <w:trPr>
          <w:trHeight w:val="229"/>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Building Systems</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9"/>
                <w:szCs w:val="19"/>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23.8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and Non-Allocated Costs</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(21.9)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156.4 %</w:t>
            </w:r>
          </w:p>
        </w:tc>
      </w:tr>
      <w:tr>
        <w:trPr>
          <w:trHeight w:val="223"/>
        </w:trPr>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Consolidated income before income taxes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78.6</w:t>
            </w: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28.1</w:t>
            </w:r>
          </w:p>
        </w:tc>
        <w:tc>
          <w:tcPr>
            <w:tcW w:w="8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8"/>
              </w:rPr>
              <w:t>35.8%</w:t>
            </w: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7"/>
        </w:trPr>
        <w:tc>
          <w:tcPr>
            <w:tcW w:w="44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Adjusted EBITDA:</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Communications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150.4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42.1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r>
      <w:tr>
        <w:trPr>
          <w:trHeight w:val="229"/>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Building Systems</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9"/>
                <w:szCs w:val="19"/>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70.0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8"/>
        </w:trPr>
        <w:tc>
          <w:tcPr>
            <w:tcW w:w="44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Consolidated Non-GAAP Adjusted EBITDA</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150.4</w:t>
            </w:r>
          </w:p>
        </w:tc>
        <w:tc>
          <w:tcPr>
            <w:tcW w:w="980" w:type="dxa"/>
            <w:vAlign w:val="bottom"/>
            <w:tcBorders>
              <w:top w:val="single" w:sz="8" w:color="auto"/>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11.9%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112.1</w:t>
            </w:r>
          </w:p>
        </w:tc>
        <w:tc>
          <w:tcPr>
            <w:tcW w:w="800" w:type="dxa"/>
            <w:vAlign w:val="bottom"/>
            <w:tcBorders>
              <w:top w:val="single" w:sz="8" w:color="auto"/>
              <w:bottom w:val="single" w:sz="8" w:color="auto"/>
            </w:tcBorders>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98"/>
              </w:rPr>
              <w:t>74.5%</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Segment Results</w:t>
      </w:r>
    </w:p>
    <w:p>
      <w:pPr>
        <w:spacing w:after="0" w:line="25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Contract Revenues. </w:t>
      </w:r>
      <w:r>
        <w:rPr>
          <w:rFonts w:ascii="Times New Roman" w:cs="Times New Roman" w:eastAsia="Times New Roman" w:hAnsi="Times New Roman"/>
          <w:sz w:val="18"/>
          <w:szCs w:val="18"/>
          <w:color w:val="auto"/>
        </w:rPr>
        <w:t>The increase in contract revenues for the three months ended May 2, 2026 compared to the three months ended April 26, 2025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net increases in fiber-to-the-home deployments, including rural fiber deployment programs.</w:t>
      </w:r>
    </w:p>
    <w:p>
      <w:pPr>
        <w:spacing w:after="0" w:line="185"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before income taxes. </w:t>
      </w:r>
      <w:r>
        <w:rPr>
          <w:rFonts w:ascii="Times New Roman" w:cs="Times New Roman" w:eastAsia="Times New Roman" w:hAnsi="Times New Roman"/>
          <w:sz w:val="18"/>
          <w:szCs w:val="18"/>
          <w:color w:val="auto"/>
        </w:rPr>
        <w:t>The increase in income before income taxes for the three months ended May 2, 2026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26, 2025 was primarily due improved operating leverage resulting from higher contract revenues.</w:t>
      </w:r>
    </w:p>
    <w:p>
      <w:pPr>
        <w:spacing w:after="0" w:line="18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Non-GAAP Adjusted EBITDA. </w:t>
      </w:r>
      <w:r>
        <w:rPr>
          <w:rFonts w:ascii="Times New Roman" w:cs="Times New Roman" w:eastAsia="Times New Roman" w:hAnsi="Times New Roman"/>
          <w:sz w:val="18"/>
          <w:szCs w:val="18"/>
          <w:color w:val="auto"/>
        </w:rPr>
        <w:t>The increase in Non-GAAP Adjusted EBITDA for the three months ended May 2, 2026 compared to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April 26, 2025 was primarily due improved operating leverage resulting from higher contract revenues.</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Building Systems Segment Results</w:t>
      </w:r>
    </w:p>
    <w:p>
      <w:pPr>
        <w:spacing w:after="0" w:line="25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Contract Revenues. </w:t>
      </w:r>
      <w:r>
        <w:rPr>
          <w:rFonts w:ascii="Times New Roman" w:cs="Times New Roman" w:eastAsia="Times New Roman" w:hAnsi="Times New Roman"/>
          <w:sz w:val="18"/>
          <w:szCs w:val="18"/>
          <w:color w:val="auto"/>
        </w:rPr>
        <w:t>The increase in contract revenues for the three months ended May 2, 2026 compared to the three months ended April 26, 2025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revenues from the business acquired in fiscal 2026.</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before income taxes. </w:t>
      </w:r>
      <w:r>
        <w:rPr>
          <w:rFonts w:ascii="Times New Roman" w:cs="Times New Roman" w:eastAsia="Times New Roman" w:hAnsi="Times New Roman"/>
          <w:sz w:val="18"/>
          <w:szCs w:val="18"/>
          <w:color w:val="auto"/>
        </w:rPr>
        <w:t>The increase in income before income taxes for the three months ended May 2, 2026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26, 2025 was due to the business acquired in fiscal 2026. Income before income taxes is impacted by amortization expense resulting from the application of acquisition accounting for the acquired business, which resulted in $45.9 million of amortization expense associated with finite-lived intangible assets related to customer relationships, backlog and trade names identified during the preliminary purchase price allocation. We expect these non-cash charges to continue to impact segment operating results in future periods as the economic value of the acquired intangibles is realized.</w:t>
      </w:r>
    </w:p>
    <w:p>
      <w:pPr>
        <w:spacing w:after="0" w:line="21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Non-GAAP Adjusted EBITDA. </w:t>
      </w:r>
      <w:r>
        <w:rPr>
          <w:rFonts w:ascii="Times New Roman" w:cs="Times New Roman" w:eastAsia="Times New Roman" w:hAnsi="Times New Roman"/>
          <w:sz w:val="18"/>
          <w:szCs w:val="18"/>
          <w:color w:val="auto"/>
        </w:rPr>
        <w:t>The increase in Non-GAAP Adjusted EBITDA for the three months ended May 2, 2026 compared to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April 26, 2025 was due to the results of the business acquired in fiscal 2026.</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Corporate and Non-Allocated Costs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increase in corporate and non-allocated costs during the three months ended May 2, 2026 compared to the three months ended April 26, 2025 resulted from increased interest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We are subject to concentrations of credit risk relating primarily to our cash and equivalents, accounts receivable, and contract assets. Cash and equivalents primarily include balances on deposit with banks and totaled $538.8 million as of May 2, 2026 compared to $709.2 million as of January 31, 2026. We maintain our cash and equivalents at financial institutions we believe to be of high credit quality. For all periods presented, we have not experienced any loss or lack of access to cash in our operating accounts.</w:t>
      </w:r>
    </w:p>
    <w:p>
      <w:pPr>
        <w:spacing w:after="0" w:line="205" w:lineRule="exact"/>
        <w:rPr>
          <w:sz w:val="20"/>
          <w:szCs w:val="20"/>
          <w:color w:val="auto"/>
        </w:rPr>
      </w:pPr>
    </w:p>
    <w:p>
      <w:pPr>
        <w:ind w:right="240" w:firstLine="324"/>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Sources of Cash. </w:t>
      </w:r>
      <w:r>
        <w:rPr>
          <w:rFonts w:ascii="Times New Roman" w:cs="Times New Roman" w:eastAsia="Times New Roman" w:hAnsi="Times New Roman"/>
          <w:sz w:val="18"/>
          <w:szCs w:val="18"/>
          <w:color w:val="auto"/>
        </w:rPr>
        <w:t>Our sources of cash are operating activities, long-term debt, equity offerings, bank borrowings, proceeds from the sale of idle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surplus equipment and real property, and stock option proceeds. Cash flow from operations is primarily influenced by demand for our services and operating margins, but can also be influenced by working capital needs associated with the services that we provide. In particular, working capital needs may increase when we have growth in operations and where project costs, primarily associated with labor, subcontractors, equipment, and materials, are required to be paid before the related customer balances owed to us are invoiced and collected. Our working capital (total current assets less total current liabilities, excluding the current portion of debt) was $1,827.0 million as of May 2, 2026 compared to $1,754.0 million as of January 31, 2026.</w:t>
      </w:r>
    </w:p>
    <w:p>
      <w:pPr>
        <w:spacing w:after="0" w:line="224" w:lineRule="exact"/>
        <w:rPr>
          <w:sz w:val="20"/>
          <w:szCs w:val="20"/>
          <w:color w:val="auto"/>
        </w:rPr>
      </w:pPr>
    </w:p>
    <w:p>
      <w:pPr>
        <w:ind w:right="180" w:firstLine="324"/>
        <w:spacing w:after="0" w:line="250" w:lineRule="auto"/>
        <w:rPr>
          <w:sz w:val="20"/>
          <w:szCs w:val="20"/>
          <w:color w:val="auto"/>
        </w:rPr>
      </w:pPr>
      <w:r>
        <w:rPr>
          <w:rFonts w:ascii="Times New Roman" w:cs="Times New Roman" w:eastAsia="Times New Roman" w:hAnsi="Times New Roman"/>
          <w:sz w:val="18"/>
          <w:szCs w:val="18"/>
          <w:color w:val="auto"/>
        </w:rPr>
        <w:t>Capital resources are used primarily to purchase equipment and maintain sufficient levels of working capital to support our contractual commitments to customers. We periodically draw upon and repay our revolving credit facility depending on our cash requirements. We currently intend to retain any earnings for use in the business and other capital allocation strategies which may include investment in acquisitions and share repurchases. Consequently, we do not anticipate paying any cash dividends on our common stock in the foreseeable future.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60" w:firstLine="324"/>
        <w:spacing w:after="0" w:line="258" w:lineRule="auto"/>
        <w:rPr>
          <w:sz w:val="20"/>
          <w:szCs w:val="20"/>
          <w:color w:val="auto"/>
        </w:rPr>
      </w:pPr>
      <w:r>
        <w:rPr>
          <w:rFonts w:ascii="Times New Roman" w:cs="Times New Roman" w:eastAsia="Times New Roman" w:hAnsi="Times New Roman"/>
          <w:sz w:val="18"/>
          <w:szCs w:val="18"/>
          <w:color w:val="auto"/>
        </w:rPr>
        <w:t>Our level of capital expenditures can vary depending on the customer demand for our services, the replacement cycle we select for our equipment, and overall growth. We intend to fund these expenditures primarily from operating cash flows, availability under our Credit Agreement (as defined below), and cash on hand.</w:t>
      </w:r>
    </w:p>
    <w:p>
      <w:pPr>
        <w:spacing w:after="0" w:line="181" w:lineRule="exact"/>
        <w:rPr>
          <w:sz w:val="20"/>
          <w:szCs w:val="20"/>
          <w:color w:val="auto"/>
        </w:rPr>
      </w:pPr>
    </w:p>
    <w:p>
      <w:pPr>
        <w:ind w:right="40" w:firstLine="324"/>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Sufficiency of Capital Resources. </w:t>
      </w:r>
      <w:r>
        <w:rPr>
          <w:rFonts w:ascii="Times New Roman" w:cs="Times New Roman" w:eastAsia="Times New Roman" w:hAnsi="Times New Roman"/>
          <w:sz w:val="18"/>
          <w:szCs w:val="18"/>
          <w:color w:val="auto"/>
        </w:rPr>
        <w:t>We believe that our capital resources, including existing cash balances and amounts available under our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are sufficient to meet our financial obligations. These obligations include payments on our debt, working capital requirements, and the purchase of equipment at our expected level of operations for at least the next 12 months. Our capital requirements may increase to the extent we seek to grow by acquisitions that involve consideration other than our stock, experience difficulty or delays in collecting amounts owed to us by our customers, increase our working capital in connection with new or existing customer programs, or we repurchase our common stock, or repay credit agreement borrowings. Changes in financial markets or other components of the economy could adversely impact our ability to access the capital markets, in which case we would expect to rely on a combination of available cash and our Credit Agreement to provide short-term funding. Management regularly monitors the financial markets and assesses general economic conditions for possible impact on our financial position. We believe our cash investment policies are prudent and expect that any volatility in the capital markets would not have a material impact on our cash investments.</w:t>
      </w:r>
    </w:p>
    <w:p>
      <w:pPr>
        <w:spacing w:after="0" w:line="212" w:lineRule="exact"/>
        <w:rPr>
          <w:sz w:val="20"/>
          <w:szCs w:val="20"/>
          <w:color w:val="auto"/>
        </w:rPr>
      </w:pPr>
    </w:p>
    <w:p>
      <w:pPr>
        <w:ind w:firstLine="324"/>
        <w:spacing w:after="0" w:line="207" w:lineRule="exact"/>
        <w:rPr>
          <w:sz w:val="20"/>
          <w:szCs w:val="20"/>
          <w:color w:val="auto"/>
        </w:rPr>
      </w:pPr>
      <w:r>
        <w:rPr>
          <w:rFonts w:ascii="Times New Roman" w:cs="Times New Roman" w:eastAsia="Times New Roman" w:hAnsi="Times New Roman"/>
          <w:sz w:val="18"/>
          <w:szCs w:val="18"/>
          <w:i w:val="1"/>
          <w:iCs w:val="1"/>
          <w:color w:val="auto"/>
        </w:rPr>
        <w:t xml:space="preserve">Acquisition of Power Solutions, LLC (“Power Solutions”). </w:t>
      </w:r>
      <w:r>
        <w:rPr>
          <w:rFonts w:ascii="Times New Roman" w:cs="Times New Roman" w:eastAsia="Times New Roman" w:hAnsi="Times New Roman"/>
          <w:sz w:val="18"/>
          <w:szCs w:val="18"/>
          <w:color w:val="auto"/>
        </w:rPr>
        <w:t>On November 18, 2025, the Company entered into an agreement to acquire Power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Solutions for a purchase price of $1.95 billion. Power Solutions specializes in providing electrical infrastructure solutions for data centers and other critical facilities. In connection with the Company’s entry into the Purchase Agreement, on November 18, 2025, we also entered into a debt commitment letter with Bank of America, N.A., BOFA Securities, Inc. and Goldman Sachs Bank USA (collectively, the “Commitment Parties”), pursuant to which certain of the Commitment Parties have committed to provide (i) a $1,000 million senior secured term loan A facility (the “Term Loan A Facility”), (ii) a $700 million 364 day senior secured bridge loan facility (the “Bridge Facility” and, together with the Term Loan A Facility, the “Acquisition Facilities”) and (iii) a $445 million senior secured term loan A backstop facility (the “Backstop Facility”), in each case, subject to customary conditions as set forth therein. The net proceeds of (i) the Backstop Facility were used to refinance existing indebtedness of the Company in order to permit the incurrence of the Acquisition Facilities and the consummation of the transaction and (ii) the Acquisition Facilities were used to pay a portion of the costs associated with the transactions contemplated under the Purchase Agreement, including the repayment of certain existing indebtedness of Power Solutions and any related fees and expenses. For more information, refer to Note 14,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the Condensed Consolidated Financial Statements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Net Cash Flows. </w:t>
      </w:r>
      <w:r>
        <w:rPr>
          <w:rFonts w:ascii="Times New Roman" w:cs="Times New Roman" w:eastAsia="Times New Roman" w:hAnsi="Times New Roman"/>
          <w:sz w:val="18"/>
          <w:szCs w:val="18"/>
          <w:color w:val="auto"/>
        </w:rPr>
        <w:t>The following table presents our net cash flows for the three months ended May 2, 2026 and April 26, 2025 (dollars in millions):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6"/>
        </w:trPr>
        <w:tc>
          <w:tcPr>
            <w:tcW w:w="7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80" w:type="dxa"/>
            <w:vAlign w:val="bottom"/>
          </w:tcPr>
          <w:p>
            <w:pPr>
              <w:spacing w:after="0"/>
              <w:rPr>
                <w:sz w:val="20"/>
                <w:szCs w:val="20"/>
                <w:color w:val="auto"/>
              </w:rPr>
            </w:pPr>
          </w:p>
        </w:tc>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April 26, 2025</w:t>
            </w:r>
          </w:p>
        </w:tc>
      </w:tr>
      <w:tr>
        <w:trPr>
          <w:trHeight w:val="216"/>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w:t>
            </w:r>
          </w:p>
        </w:tc>
        <w:tc>
          <w:tcPr>
            <w:tcW w:w="3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Used in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rPr>
              <w:t>(54.0)</w:t>
            </w: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Used in investing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rPr>
              <w:t>(68.6)</w:t>
            </w: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(Used in) provided by financing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5"/>
              </w:rPr>
              <w:t>45.9</w:t>
            </w:r>
          </w:p>
        </w:tc>
      </w:tr>
    </w:tbl>
    <w:p>
      <w:pPr>
        <w:spacing w:after="0" w:line="290" w:lineRule="exact"/>
        <w:rPr>
          <w:sz w:val="20"/>
          <w:szCs w:val="20"/>
          <w:color w:val="auto"/>
        </w:rPr>
      </w:pPr>
    </w:p>
    <w:p>
      <w:pPr>
        <w:ind w:right="2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used in Operating Activities. </w:t>
      </w:r>
      <w:r>
        <w:rPr>
          <w:rFonts w:ascii="Times New Roman" w:cs="Times New Roman" w:eastAsia="Times New Roman" w:hAnsi="Times New Roman"/>
          <w:sz w:val="18"/>
          <w:szCs w:val="18"/>
          <w:color w:val="auto"/>
        </w:rPr>
        <w:t>Depreciation and amortization, non-cash lease expense, stock-based compensation, amortization of debt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deferred income taxes, gain on sale of fixed assets and provision for (recovery of) bad debt were the primary non-cash items in cash flows from operating activities during the current and prior periods.</w:t>
      </w:r>
    </w:p>
    <w:p>
      <w:pPr>
        <w:spacing w:after="0" w:line="20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During the three months ended May 2, 2026, net cash used in operating activities was $24.6 million. Changes in working capital (excluding cash) and changes in other long-term assets and liabilities used $265.2 million of operating cash flow during the three months ended May 2, 2026. Changes that used operating cash flow during the three months ended May 2, 2026 included increases in accounts receivable, contract assets, net, other current assets and inventories and other assets of $283.9 million, $80.5 million, $25.0 million, and $5.0 million, respectively and a decrease in accrued liabilities of $42.4 million. Changes that provided cash flow during the three months ended May 2, 2026 included an increase in accounts payable of $169.4 million, and a decrease in income taxes receivable of $2.2 million.</w:t>
      </w:r>
    </w:p>
    <w:p>
      <w:pPr>
        <w:spacing w:after="0" w:line="214"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Days sales outstanding (“DSO”) is calculated based on the ending balance of total current and non-current accounts receivable (including unbilled accounts receivable), net of the allowance for credit losses, and current contract assets, net of contract liabilities, divided by the average daily revenue for the most recently completed quarter. Our DSO was 96 as of May 2, 2026 compared to 111 as of April 26, 2025.</w:t>
      </w:r>
    </w:p>
    <w:p>
      <w:pPr>
        <w:spacing w:after="0" w:line="133" w:lineRule="exact"/>
        <w:rPr>
          <w:sz w:val="20"/>
          <w:szCs w:val="20"/>
          <w:color w:val="auto"/>
        </w:rPr>
      </w:pPr>
    </w:p>
    <w:p>
      <w:pPr>
        <w:ind w:right="1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Note 6, </w:t>
      </w:r>
      <w:r>
        <w:rPr>
          <w:rFonts w:ascii="Times New Roman" w:cs="Times New Roman" w:eastAsia="Times New Roman" w:hAnsi="Times New Roman"/>
          <w:sz w:val="18"/>
          <w:szCs w:val="18"/>
          <w:i w:val="1"/>
          <w:iCs w:val="1"/>
          <w:color w:val="auto"/>
        </w:rPr>
        <w:t>Accounts Receivable, Contract Assets, and Contract Liabilities</w:t>
      </w:r>
      <w:r>
        <w:rPr>
          <w:rFonts w:ascii="Times New Roman" w:cs="Times New Roman" w:eastAsia="Times New Roman" w:hAnsi="Times New Roman"/>
          <w:sz w:val="18"/>
          <w:szCs w:val="18"/>
          <w:color w:val="auto"/>
        </w:rPr>
        <w:t xml:space="preserve">, for further information on our customer credit concentration as of May 2, 2026 and January 31, 2026 and Note 19, </w:t>
      </w:r>
      <w:r>
        <w:rPr>
          <w:rFonts w:ascii="Times New Roman" w:cs="Times New Roman" w:eastAsia="Times New Roman" w:hAnsi="Times New Roman"/>
          <w:sz w:val="18"/>
          <w:szCs w:val="18"/>
          <w:i w:val="1"/>
          <w:iCs w:val="1"/>
          <w:color w:val="auto"/>
        </w:rPr>
        <w:t>Customer Concentration and Revenue Information,</w:t>
      </w:r>
      <w:r>
        <w:rPr>
          <w:rFonts w:ascii="Times New Roman" w:cs="Times New Roman" w:eastAsia="Times New Roman" w:hAnsi="Times New Roman"/>
          <w:sz w:val="18"/>
          <w:szCs w:val="18"/>
          <w:color w:val="auto"/>
        </w:rPr>
        <w:t xml:space="preserve"> for</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further information on our significant customers. We believe that none of our significant customers were experiencing financial difficulties that would materially impact the collectability of our total accounts receivable and contract assets, net as of May 2, 2026 or January 31, 2026.</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During the three months ended April 26, 2025, net cash used in operating activities was $54.0 million. Changes in working capital (excluding cash) and changes in other long-term assets and liabilities used $186.1 million of operating cash flow during the three months ended April 26, 2025. Changes that used operating cash flow during the three months ended April 26, 2025 included an increase in accounts receivable, in contract assets, net, in other current assets and inventories, and in other assets of $154.1 million, $20.1 million, $16.5 million, and $11.7 million, respectively and a decrease in accrued liabilities, net of $42.0 million. Changes that provided operating cash flow during the three months ended April 26, 2025 included an increase in accounts payable and net increase in income taxes payable of $40.9 million and $17.4 million, respectively.</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Cash Used in Investing Activities. </w:t>
      </w:r>
      <w:r>
        <w:rPr>
          <w:rFonts w:ascii="Times New Roman" w:cs="Times New Roman" w:eastAsia="Times New Roman" w:hAnsi="Times New Roman"/>
          <w:sz w:val="18"/>
          <w:szCs w:val="18"/>
          <w:color w:val="auto"/>
        </w:rPr>
        <w:t>Net cash used in investing activities was $80.4 million during the three months ended May 2, 2026 compared 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$68.6 million during the three months ended April 26, 2025. During the three months ended May 2, 2026 and April 26, 2025, capital expenditures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$70.3 million and $79.5 million, respectively, and cash paid for previous acquisitions during the three months ended May 2, 2026 was $12.8 million.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expenditures were offset in part by proceeds from the sale of assets of $2.8 million and $10.9 million during the three months ended May 2, 2026 and April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2025, respectively.</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Cash (Used in) Provided by Financing Activities. </w:t>
      </w:r>
      <w:r>
        <w:rPr>
          <w:rFonts w:ascii="Times New Roman" w:cs="Times New Roman" w:eastAsia="Times New Roman" w:hAnsi="Times New Roman"/>
          <w:sz w:val="18"/>
          <w:szCs w:val="18"/>
          <w:color w:val="auto"/>
        </w:rPr>
        <w:t>Net cash used in financing activities was $65.4 million during the three months ended May 2, 2026.</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May 2, 2026, we repurchased 100,000 shares of our common stock in open market transactions, at an average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$359.63 per share, for $36.0 million. We also paid $29.3 million, net to tax authorities in order to meet the payroll tax withholding obligations on 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units that vested during the three months ended May 2, 2026. In addition, we paid $0.1 million in issuance costs and third party fees related to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transactions.</w:t>
      </w:r>
    </w:p>
    <w:p>
      <w:pPr>
        <w:spacing w:after="0" w:line="234" w:lineRule="exact"/>
        <w:rPr>
          <w:sz w:val="20"/>
          <w:szCs w:val="20"/>
          <w:color w:val="auto"/>
        </w:rPr>
      </w:pPr>
    </w:p>
    <w:p>
      <w:pPr>
        <w:jc w:val="both"/>
        <w:ind w:right="160"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$45.9 million during the three months ended April 26, 2025. During the three months ended April 26, 2025, borrowings and repayments under our credit agreement were $285.0 million and $196.0 million, respectively. In addition, we repurchased 200,000 shares of our common stock in open market transactions, at an average price of $150.93 per share, for $30.2 million, during the three months ended April 26, 2025. We also paid $12.9 million to tax authorities in order to meet the payroll tax withholding obligations on restricted share units that vested during the three months ended April 26, 2025.</w:t>
      </w:r>
    </w:p>
    <w:p>
      <w:pPr>
        <w:spacing w:after="0" w:line="195" w:lineRule="exact"/>
        <w:rPr>
          <w:sz w:val="20"/>
          <w:szCs w:val="20"/>
          <w:color w:val="auto"/>
        </w:rPr>
      </w:pPr>
    </w:p>
    <w:p>
      <w:pPr>
        <w:ind w:right="20" w:firstLine="324"/>
        <w:spacing w:after="0" w:line="235" w:lineRule="auto"/>
        <w:rPr>
          <w:sz w:val="20"/>
          <w:szCs w:val="20"/>
          <w:color w:val="auto"/>
        </w:rPr>
      </w:pPr>
      <w:r>
        <w:rPr>
          <w:rFonts w:ascii="Times New Roman" w:cs="Times New Roman" w:eastAsia="Times New Roman" w:hAnsi="Times New Roman"/>
          <w:sz w:val="18"/>
          <w:szCs w:val="18"/>
          <w:i w:val="1"/>
          <w:iCs w:val="1"/>
          <w:color w:val="auto"/>
        </w:rPr>
        <w:t xml:space="preserve">Compliance with Credit Agreement. </w:t>
      </w:r>
      <w:r>
        <w:rPr>
          <w:rFonts w:ascii="Times New Roman" w:cs="Times New Roman" w:eastAsia="Times New Roman" w:hAnsi="Times New Roman"/>
          <w:sz w:val="18"/>
          <w:szCs w:val="18"/>
          <w:color w:val="auto"/>
        </w:rPr>
        <w:t>The Company and certain of its subsidiaries are party to a credit agreement (defined below). The Company,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Guarantors (as defined therein) party thereto, the Term Loan B lender (as defined therein) party thereto and Bank of America, N.A. (“Bank of America”) as administrative and collateral agent (in such capacities and together with its successors and permitted assigns, the “Administrative Agent”), entered into that certain First Amendment to the Third Amended and Restated Credit Agreement (the “Amendment”), which amends that Third Amended and Restated Credit Agreement, dated as of December 23, 2025 by and among, the Company, the Guarantors from time to time party thereto, the Lenders (as defined therein) from time to time party thereto and the L/C Issues (as defined therein) from time to time party thereto and the Administrative Agent (the “Existing Credit Agreement”, and, the Existing Credit Agreement, as amended by the Amendment, the “Credit Agreement”). On December 23, 2025, we amended and restated the Credit Agreement to, among other things, establish a $600.0 million 364 day secured bridge loan facility (the “Bridge Facility”), increase the existing senior secured term loan A facility from $440.0 million to $1,540.0 million (the “Term Loan A Facility”), increase the commitments under the senior secured revolving credit facility from $650.0 million to $800.0 million (the “Revolving Credit Facility”) and extend the maturity date of the Term Loan A Facility and the Revolving Credit Facility. On January 27, 2026, we entered into the First Amendment to, among other things, establish an</w:t>
      </w:r>
    </w:p>
    <w:p>
      <w:pPr>
        <w:spacing w:after="0" w:line="7"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$800 million senior secured term loan B facility (the “Term Loan B Facility”), the proceeds of which were used to (i) refinance the Bridge Facility, (ii) pay the fees and expenses incurred in connection therewith and (iii) fund cash to the balance sheet of the Company. The Credit Agreement includes a revolving facility with a maximum revolver commitment of $800.0 million, a Term Loan A Facility in the principal amount of $1,540.0 million, and a Term Loan B Facility in the principal amount of $800.0 million. The Credit Agreement also includes a $225.0 million sublimit for the issuance of letters of credit and a $50.0 million sublimit for swingline loans. The maturity of the Revolving Credit Facility and Term Loan A Facility is December 23, 2030. The maturity of the Term Loan B Facility is January 27, 2033.</w:t>
      </w:r>
    </w:p>
    <w:p>
      <w:pPr>
        <w:spacing w:after="0" w:line="22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Subject to certain conditions, the Credit Agreement provides us with the ability to enter into one or more incremental facilities either by increasing the revolving commitments under the Credit Agreement and/or by establishing one or more additional term loans, up to the sum of (i) $927.0 million and</w:t>
      </w:r>
    </w:p>
    <w:p>
      <w:pPr>
        <w:ind w:right="40" w:firstLine="8"/>
        <w:spacing w:after="0" w:line="255" w:lineRule="auto"/>
        <w:tabs>
          <w:tab w:leader="none" w:pos="2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amount such that, after giving effect to such incremental facilities on a pro forma basis (assuming that the amount of the incremental commitments are fully drawn and funded), the consolidated senior secured net leverage ratio does not exceed 3.50 to 1.00. The consolidated senior secured net leverage ratio is the ratio of our consolidated senior secured indebtedness reduced by (i) unrestricted cash and equivalents in</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excess of $25.0 million to our trailing four-quarter consolidated earnings before interest, taxes, depreciation, and amortization (“EBITDA”), as defined by the Credit Agreement, (ii) subordinated indebtedness, as defined in the Credit Agreement and (iii) unsecured indebtedness, as defined in the Credit Agreement. Borrowings under the Credit Agreement are guaranteed by substantially all of our domestic subsidiaries and secured by substantially all of the assets of the Borrowers and the Guarantors (subject to customary exceptions).</w:t>
      </w:r>
    </w:p>
    <w:p>
      <w:pPr>
        <w:spacing w:after="0" w:line="20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Under our Credit Agreement, borrowings bear interest at the rates described below based upon our consolidated net leverage ratio, which is the ratio of our consolidated total funded debt reduced by unrestricted cash and equivalents in excess of $25.0 million to our trailing four-quarter consolidated EBITDA, as defined by our Credit Agreement. In addition, we incur certain fees for unused balances and letters of credit at the rates described below, also based upon our consolidated net leverage ratio. The weighted average interest rates and fees for balances under our Credit Agreement as of May 2, 2026 and January 31, 2026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434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Weighted Average Rate End of Period</w:t>
            </w:r>
          </w:p>
        </w:tc>
      </w:tr>
      <w:tr>
        <w:trPr>
          <w:trHeight w:val="236"/>
        </w:trPr>
        <w:tc>
          <w:tcPr>
            <w:tcW w:w="3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January 31, 2026</w:t>
            </w:r>
          </w:p>
        </w:tc>
      </w:tr>
      <w:tr>
        <w:trPr>
          <w:trHeight w:val="257"/>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 Term A SOFR Loans</w:t>
            </w:r>
          </w:p>
        </w:tc>
        <w:tc>
          <w:tcPr>
            <w:tcW w:w="10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1.375%</w:t>
            </w:r>
          </w:p>
        </w:tc>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- 2.00% plus Term SOFR</w:t>
            </w:r>
          </w:p>
        </w:tc>
        <w:tc>
          <w:tcPr>
            <w:tcW w:w="2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5.40%</w:t>
            </w:r>
          </w:p>
        </w:tc>
        <w:tc>
          <w:tcPr>
            <w:tcW w:w="100" w:type="dxa"/>
            <w:vAlign w:val="bottom"/>
            <w:tcBorders>
              <w:top w:val="single" w:sz="8" w:color="CCEEFF"/>
            </w:tcBorders>
            <w:shd w:val="clear" w:color="auto" w:fill="CCEEFF"/>
          </w:tcPr>
          <w:p>
            <w:pPr>
              <w:spacing w:after="0"/>
              <w:rPr>
                <w:sz w:val="22"/>
                <w:szCs w:val="22"/>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6.02%</w:t>
            </w:r>
          </w:p>
        </w:tc>
      </w:tr>
      <w:tr>
        <w:trPr>
          <w:trHeight w:val="270"/>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 Base Rate Loans</w:t>
            </w:r>
          </w:p>
        </w:tc>
        <w:tc>
          <w:tcPr>
            <w:tcW w:w="1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0.375%</w:t>
            </w: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- 1.00% plus Base rate</w:t>
            </w:r>
            <w:r>
              <w:rPr>
                <w:rFonts w:ascii="Times New Roman" w:cs="Times New Roman" w:eastAsia="Times New Roman" w:hAnsi="Times New Roman"/>
                <w:sz w:val="23"/>
                <w:szCs w:val="23"/>
                <w:color w:val="auto"/>
                <w:vertAlign w:val="superscript"/>
              </w:rPr>
              <w:t>(1)</w:t>
            </w: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2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 Term B SOFR Loans</w:t>
            </w:r>
          </w:p>
        </w:tc>
        <w:tc>
          <w:tcPr>
            <w:tcW w:w="3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1.75% plus Term SOFR</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5.40%</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30"/>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Unused Revolver Commitment</w:t>
            </w:r>
          </w:p>
        </w:tc>
        <w:tc>
          <w:tcPr>
            <w:tcW w:w="3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0.20% - 0.40%</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0.35%</w:t>
            </w:r>
          </w:p>
        </w:tc>
        <w:tc>
          <w:tcPr>
            <w:tcW w:w="10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0.30%</w:t>
            </w:r>
          </w:p>
        </w:tc>
      </w:tr>
      <w:tr>
        <w:trPr>
          <w:trHeight w:val="22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1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1.375%</w:t>
            </w: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- 2.00%</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1.63%</w:t>
            </w:r>
          </w:p>
        </w:tc>
      </w:tr>
      <w:tr>
        <w:trPr>
          <w:trHeight w:val="23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Letters of Credit</w:t>
            </w:r>
          </w:p>
        </w:tc>
        <w:tc>
          <w:tcPr>
            <w:tcW w:w="3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0.6875% - 1.00%</w:t>
            </w: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314" w:lineRule="exact"/>
        <w:rPr>
          <w:sz w:val="20"/>
          <w:szCs w:val="20"/>
          <w:color w:val="auto"/>
        </w:rPr>
      </w:pPr>
    </w:p>
    <w:p>
      <w:pPr>
        <w:ind w:right="60" w:firstLine="8"/>
        <w:spacing w:after="0" w:line="279" w:lineRule="auto"/>
        <w:tabs>
          <w:tab w:leader="none" w:pos="165"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Base rate is described in the Credit Agreement as the highest of (i) the Federal Funds Rate plus 0.50%, (ii) the administrative agent’s prime rate, and (iii) the Term Secured Overnight Financing Rate (“SOFR”) plus 1.00% and, if such rate is less than zero, such rate shall be deemed zero. There were no outstanding borrowings under our revolving facility as of May 2, 2026 and January 31, 2026.</w:t>
      </w:r>
    </w:p>
    <w:p>
      <w:pPr>
        <w:spacing w:after="0" w:line="196"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Standby letters of credit of approximately $53.6 million issued as part of our insurance program, were outstanding under our Credit Agreement as of both May 2, 2026 and January 31, 2026.</w:t>
      </w:r>
    </w:p>
    <w:p>
      <w:pPr>
        <w:spacing w:after="0" w:line="18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Credit Agreement contains a financial covenant that requires us to maintain a consolidated net leverage ratio of not greater than (A) until the last day of the first fiscal quarter ending after the second anniversary of December 23, 2025, 4.50 to 1.00, and (B) thereafter, 4.00:1.00, as measured at the end of each fiscal quarter, and provides for certain increases to this ratio in connection with permitted acquisitions. The consolidated net leverage ratio is the ratio of our consolidated indebtedness reduced by unrestricted cash and cash equivalents in excess of $25.0 million to our trailing four-quarter consolidated earnings before interest, taxes, depreciation, and amortization as defined by our Credit Agreement. The agreement also contains a financial covenant that requires us to maintain a consolidated interest coverage ratio, which is the ratio of our trailing four-quarter consolidated EBITDA to our consolidated interest expense, each as defined by our Credit Agreement, of not less than 2.50 to 1.00, as measured at the end of each fiscal quarter. At May 2, 2026 and January 31, 2026, we were in compliance with the financial covenants of our Credit Agreement and had borrowing availability under our revolving facility of $746.4 million, as determined by the most restrictive covenant. For calculation purposes, applicable cash on hand is netted against the funded debt amount as permitted in the Credit Agreement.</w:t>
      </w:r>
    </w:p>
    <w:p>
      <w:pPr>
        <w:spacing w:after="0" w:line="221" w:lineRule="exact"/>
        <w:rPr>
          <w:sz w:val="20"/>
          <w:szCs w:val="20"/>
          <w:color w:val="auto"/>
        </w:rPr>
      </w:pPr>
    </w:p>
    <w:p>
      <w:pPr>
        <w:ind w:right="120" w:firstLine="324"/>
        <w:spacing w:after="0" w:line="244" w:lineRule="auto"/>
        <w:rPr>
          <w:sz w:val="20"/>
          <w:szCs w:val="20"/>
          <w:color w:val="auto"/>
        </w:rPr>
      </w:pPr>
      <w:r>
        <w:rPr>
          <w:rFonts w:ascii="Times New Roman" w:cs="Times New Roman" w:eastAsia="Times New Roman" w:hAnsi="Times New Roman"/>
          <w:sz w:val="18"/>
          <w:szCs w:val="18"/>
          <w:color w:val="auto"/>
        </w:rPr>
        <w:t>The indenture governing the 2029 Notes contains certain covenants that limit, among other things, our ability and the ability of certain of our subsidiaries to (i) incur additional debt and issue certain preferred stock, (ii) pay certain dividends on, repurchase, or make distributions in respect of, our and our subsidiaries’ capital stock or make other payments restricted by the indenture, (iii) enter into agreements that place limitations on distributions made from certain of our subsidiaries, (iv) guarantee certain debt, (v) make certain investments, (vi) sell or exchange certain assets, (vii) enter into transactions with affiliates, (viii) create certain liens, and (ix) consolidate, merge or transfer all or substantially all of our or our Subsidiaries’ assets. These covenants are subject to a number of exceptions, limitations and qualifications as set forth in the indenture governing the 2029 Notes.</w:t>
      </w:r>
    </w:p>
    <w:p>
      <w:pPr>
        <w:spacing w:after="0" w:line="22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Performance and Payment Bonds and Guarantees. </w:t>
      </w:r>
      <w:r>
        <w:rPr>
          <w:rFonts w:ascii="Times New Roman" w:cs="Times New Roman" w:eastAsia="Times New Roman" w:hAnsi="Times New Roman"/>
          <w:sz w:val="18"/>
          <w:szCs w:val="18"/>
          <w:color w:val="auto"/>
        </w:rPr>
        <w:t>We have obligations under performance and other surety contract bonds related to certain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contracts. Performance bonds generally provide a customer with the right to obtain payment and/or performance from the issuer of the bond if we fail to perform our contractual obligations. We had $1,054.5 million and $917.9 million of outstanding performance and other surety contract bonds, as of May 2, 2026 and January 31, 2026, respectively. The estimated cost to complete projects secured by our outstanding performance and other surety contract bonds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was approximately $653.0 million as of May 2, 2026. In addition to performance and other surety contract bonds, as part of our insurance program we also provide surety bonds that collateralize our obligations to our insurance carriers. At both May 2, 2026 and January 31, 2026, we had $43.6 million of outstanding surety bonds related to our insurance obligations. Additionally, we have periodically guaranteed certain obligations of our subsidiaries, including obligations in connection with obtaining state contractor licenses and leasing real property and equipment.</w:t>
      </w:r>
    </w:p>
    <w:p>
      <w:pPr>
        <w:spacing w:after="0" w:line="178" w:lineRule="exact"/>
        <w:rPr>
          <w:sz w:val="20"/>
          <w:szCs w:val="20"/>
          <w:color w:val="auto"/>
        </w:rPr>
      </w:pPr>
    </w:p>
    <w:p>
      <w:pPr>
        <w:ind w:right="1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We have standby letters of credit issued under our Credit Agreement as part of our insurance program. These letters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collateralize obligations to our insurance carriers in connection with the settlement of potential claims. In connection with these collateral obligations, we had $53.6 million outstanding standby letters of credit issued under our Credit Agreement as of May 2, 2026 and January 31, 2026.</w:t>
      </w:r>
    </w:p>
    <w:p>
      <w:pPr>
        <w:spacing w:after="0" w:line="17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Backlog. </w:t>
      </w:r>
      <w:r>
        <w:rPr>
          <w:rFonts w:ascii="Times New Roman" w:cs="Times New Roman" w:eastAsia="Times New Roman" w:hAnsi="Times New Roman"/>
          <w:sz w:val="18"/>
          <w:szCs w:val="18"/>
          <w:color w:val="auto"/>
        </w:rPr>
        <w:t>Backlog is not a measure defined by United States generally accepted accounting principles (“GAAP”) and should be considered in addition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but not as a substitute for, GAAP results. Participants in our industry often disclose a calculation of their backlog; however, our methodology for determining backlog may not be comparable to the methodologies used by others. We utilize our calculation of backlog to assist in measuring aggregate awards under existing contractual relationships with our customers. We believe our backlog disclosures will assist investors in better understanding this estimate of the services to be performed pursuant to awards by our customers under existing contractual relationships.</w:t>
      </w:r>
    </w:p>
    <w:p>
      <w:pPr>
        <w:spacing w:after="0" w:line="212" w:lineRule="exact"/>
        <w:rPr>
          <w:sz w:val="20"/>
          <w:szCs w:val="20"/>
          <w:color w:val="auto"/>
        </w:rPr>
      </w:pPr>
    </w:p>
    <w:p>
      <w:pPr>
        <w:jc w:val="both"/>
        <w:ind w:right="460" w:firstLine="324"/>
        <w:spacing w:after="0" w:line="266" w:lineRule="auto"/>
        <w:rPr>
          <w:sz w:val="20"/>
          <w:szCs w:val="20"/>
          <w:color w:val="auto"/>
        </w:rPr>
      </w:pPr>
      <w:r>
        <w:rPr>
          <w:rFonts w:ascii="Times New Roman" w:cs="Times New Roman" w:eastAsia="Times New Roman" w:hAnsi="Times New Roman"/>
          <w:sz w:val="18"/>
          <w:szCs w:val="18"/>
          <w:color w:val="auto"/>
        </w:rPr>
        <w:t>Our backlog is an estimate of the uncompleted portion of services to be performed under contractual agreements with our customers and totaled $11.906 billion and $9.542 billion at May 2, 2026 and January 31, 2026, respectively. We expect to complete 53.7% of the May 2, 2026 total backlog during the next twelve months (dollars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0" w:type="dxa"/>
            <w:vAlign w:val="bottom"/>
            <w:gridSpan w:val="5"/>
          </w:tcPr>
          <w:p>
            <w:pPr>
              <w:ind w:left="108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220" w:type="dxa"/>
            <w:vAlign w:val="bottom"/>
          </w:tcPr>
          <w:p>
            <w:pPr>
              <w:spacing w:after="0"/>
              <w:rPr>
                <w:sz w:val="21"/>
                <w:szCs w:val="21"/>
                <w:color w:val="auto"/>
              </w:rPr>
            </w:pPr>
          </w:p>
        </w:tc>
        <w:tc>
          <w:tcPr>
            <w:tcW w:w="3320" w:type="dxa"/>
            <w:vAlign w:val="bottom"/>
            <w:gridSpan w:val="4"/>
          </w:tcPr>
          <w:p>
            <w:pPr>
              <w:ind w:left="90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Next 12 Months</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Next 12 Months</w:t>
            </w: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Total Backlog</w:t>
            </w:r>
          </w:p>
        </w:tc>
        <w:tc>
          <w:tcPr>
            <w:tcW w:w="140" w:type="dxa"/>
            <w:vAlign w:val="bottom"/>
          </w:tcPr>
          <w:p>
            <w:pPr>
              <w:spacing w:after="0"/>
              <w:rPr>
                <w:sz w:val="15"/>
                <w:szCs w:val="15"/>
                <w:color w:val="auto"/>
              </w:rPr>
            </w:pPr>
          </w:p>
        </w:tc>
        <w:tc>
          <w:tcPr>
            <w:tcW w:w="166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(included in Total</w:t>
            </w:r>
          </w:p>
        </w:tc>
        <w:tc>
          <w:tcPr>
            <w:tcW w:w="220" w:type="dxa"/>
            <w:vAlign w:val="bottom"/>
          </w:tcPr>
          <w:p>
            <w:pPr>
              <w:spacing w:after="0"/>
              <w:rPr>
                <w:sz w:val="15"/>
                <w:szCs w:val="15"/>
                <w:color w:val="auto"/>
              </w:rPr>
            </w:pPr>
          </w:p>
        </w:tc>
        <w:tc>
          <w:tcPr>
            <w:tcW w:w="16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Total Backlog</w:t>
            </w:r>
          </w:p>
        </w:tc>
        <w:tc>
          <w:tcPr>
            <w:tcW w:w="140" w:type="dxa"/>
            <w:vAlign w:val="bottom"/>
          </w:tcPr>
          <w:p>
            <w:pPr>
              <w:spacing w:after="0"/>
              <w:rPr>
                <w:sz w:val="15"/>
                <w:szCs w:val="15"/>
                <w:color w:val="auto"/>
              </w:rPr>
            </w:pPr>
          </w:p>
        </w:tc>
        <w:tc>
          <w:tcPr>
            <w:tcW w:w="1580" w:type="dxa"/>
            <w:vAlign w:val="bottom"/>
          </w:tcPr>
          <w:p>
            <w:pPr>
              <w:jc w:val="center"/>
              <w:ind w:right="50"/>
              <w:spacing w:after="0" w:line="180" w:lineRule="exact"/>
              <w:rPr>
                <w:sz w:val="20"/>
                <w:szCs w:val="20"/>
                <w:color w:val="auto"/>
              </w:rPr>
            </w:pPr>
            <w:r>
              <w:rPr>
                <w:rFonts w:ascii="Times New Roman" w:cs="Times New Roman" w:eastAsia="Times New Roman" w:hAnsi="Times New Roman"/>
                <w:sz w:val="18"/>
                <w:szCs w:val="18"/>
                <w:b w:val="1"/>
                <w:bCs w:val="1"/>
                <w:color w:val="auto"/>
                <w:w w:val="99"/>
              </w:rPr>
              <w:t>(included in Total</w:t>
            </w:r>
          </w:p>
        </w:tc>
        <w:tc>
          <w:tcPr>
            <w:tcW w:w="0" w:type="dxa"/>
            <w:vAlign w:val="bottom"/>
          </w:tcPr>
          <w:p>
            <w:pPr>
              <w:spacing w:after="0"/>
              <w:rPr>
                <w:sz w:val="1"/>
                <w:szCs w:val="1"/>
                <w:color w:val="auto"/>
              </w:rPr>
            </w:pPr>
          </w:p>
        </w:tc>
      </w:tr>
      <w:tr>
        <w:trPr>
          <w:trHeight w:val="245"/>
        </w:trPr>
        <w:tc>
          <w:tcPr>
            <w:tcW w:w="4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Backlog)</w:t>
            </w:r>
          </w:p>
        </w:tc>
        <w:tc>
          <w:tcPr>
            <w:tcW w:w="220" w:type="dxa"/>
            <w:vAlign w:val="bottom"/>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Backlog)</w:t>
            </w:r>
          </w:p>
        </w:tc>
        <w:tc>
          <w:tcPr>
            <w:tcW w:w="0" w:type="dxa"/>
            <w:vAlign w:val="bottom"/>
          </w:tcPr>
          <w:p>
            <w:pPr>
              <w:spacing w:after="0"/>
              <w:rPr>
                <w:sz w:val="1"/>
                <w:szCs w:val="1"/>
                <w:color w:val="auto"/>
              </w:rPr>
            </w:pPr>
          </w:p>
        </w:tc>
      </w:tr>
      <w:tr>
        <w:trPr>
          <w:trHeight w:val="230"/>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10,800.3</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8,333.5</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5,249.6</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Building Systems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1,208.5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1,108.4</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9,542.0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backlog represents an estimate of services to be performed pursuant to master service agreements and other contractual agreements over their terms. These estimates are based on contract terms and evaluations regarding the timing of the services to be provided. In the case of master service agreements which are commonly used within our Communications segment, backlog is estimated based on the work performed in the preceding 12-month period, when applicable. When estimating backlog for newly initiated master service agreements and other long and short-term contracts, we also consider the anticipated scope of the contract and information received from the customer during the procurement process and, where applicable, other ancillary information. Building Systems segment backlog represents management’s estimate of contract revenues expected to be realized related to remaining performance obligations from the portion of firm orders under fixed price and modified fixed-price contracts not yet completed or for which work has not yet begun. The majority of our backlog comprises services under master service agreements and other long-term contracts.</w:t>
      </w:r>
    </w:p>
    <w:p>
      <w:pPr>
        <w:spacing w:after="0" w:line="21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Generally, our customers are not contractually committed to procure specific volumes of services. Contract revenue estimates reflected in our backlog can be subject to change due to a number of factors, including contract cancellations or changes in the amount of work we expect to be performed under a contract. In addition, contract revenues reflected in our backlog may be realized in different periods from those previously anticipated due to these factors as well as project accelerations or delays due to various reasons, including, but not limited to, changes in customer spending priorities, project cancellations, regulatory interruptions, scheduling changes, commercial issues such as permitting, engineering revisions, job site conditions, and adverse weather. The amount or timing of our backlog can also be impacted by the merger or acquisition activity of our customers. Many of our contracts may be cancelled by our customers, or work previously awarded to us pursuant to these contracts may be cancelled, regardless of whether or not we are in default. The amount of backlog related to uncompleted projects in which a provision for estimated losses was recorded is not material.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r>
        <w:rPr>
          <w:rFonts w:ascii="Times New Roman" w:cs="Times New Roman" w:eastAsia="Times New Roman" w:hAnsi="Times New Roman"/>
          <w:sz w:val="18"/>
          <w:szCs w:val="18"/>
          <w:b w:val="1"/>
          <w:bCs w:val="1"/>
          <w:i w:val="1"/>
          <w:iCs w:val="1"/>
          <w:color w:val="auto"/>
        </w:rPr>
        <w:t>. Quantitative and Qualitative Disclosures About Market Risk.</w:t>
      </w:r>
    </w:p>
    <w:p>
      <w:pPr>
        <w:spacing w:after="0" w:line="256"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quantitative and qualitative disclosures about market risk during the three months ended May 2, 2026. Our primary exposure to market risk relates to unfavorable changes in interest rates. Refer to the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information on financial market risk related to changes in interest rates in Item 7A. Quantitative and Qualitative Disclosures About Market Risk of Part II of our Fiscal 2026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carried out an evaluation under the supervision and with the participation of the Company’s management, including the Company’s Chief Executive Officer and its Chief Financial Officer, of the effectiveness of the design and operation of the Company’s disclosure controls and procedures (as defined in Rule 13a-15(e) under the Securities Exchange Act of 1934 (the “Exchange Act”)) as of May 2, 2026, the end of the period covered by this Quarterly Report on Form 10-Q. Based on this evaluation, the Chief Executive Officer and Chief Financial Officer concluded that, as of May 2, 2026, the Company’s disclosure controls and procedures are effective to provide reasonable assurance that information required to be disclosed by the Company in the reports that it files or submits under the Exchange Act is (1) recorded, processed, summarized and reported within the time periods specified by the Securities and Exchange Commission’s rules and forms, and (2) accumulated and communicated to the Company’s management, including the Company’s Chief Executive Officer and Chief Financial Officer, in a manner that allows timely decisions regarding required disclosure.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in the process of implementing an Enterprise Resource Planning (ERP) system to upgrade and standardize our information technology systems. This implementation is expected to occur in phases over the next two years. In the current quarter, we completed the deployment of several modules of the ERP. We have made changes to our internal control over financial reporting to address the related processes and systems. We will continue to evaluate any further changes in our internal control over financial reporting over the course of the implementation of the new ERP and other related systems. There were no other changes in the Company’s internal control over financial reporting (as defined in Rule 13a-15(f) under the Exchange Act) that occurred during the Company’s most recent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54" w:lineRule="exact"/>
        <w:rPr>
          <w:sz w:val="20"/>
          <w:szCs w:val="20"/>
          <w:color w:val="auto"/>
        </w:rPr>
      </w:pPr>
    </w:p>
    <w:p>
      <w:pPr>
        <w:ind w:right="400" w:firstLine="324"/>
        <w:spacing w:after="0" w:line="233" w:lineRule="exact"/>
        <w:rPr>
          <w:sz w:val="20"/>
          <w:szCs w:val="20"/>
          <w:color w:val="auto"/>
        </w:rPr>
      </w:pPr>
      <w:r>
        <w:rPr>
          <w:rFonts w:ascii="Times New Roman" w:cs="Times New Roman" w:eastAsia="Times New Roman" w:hAnsi="Times New Roman"/>
          <w:sz w:val="18"/>
          <w:szCs w:val="18"/>
          <w:color w:val="auto"/>
        </w:rPr>
        <w:t xml:space="preserve">Refer to Note 21,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the Condensed Consolidated Financial Statements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w:t>
      </w:r>
      <w:r>
        <w:rPr>
          <w:rFonts w:ascii="Times New Roman" w:cs="Times New Roman" w:eastAsia="Times New Roman" w:hAnsi="Times New Roman"/>
          <w:sz w:val="18"/>
          <w:szCs w:val="18"/>
          <w:b w:val="1"/>
          <w:bCs w:val="1"/>
          <w:i w:val="1"/>
          <w:iCs w:val="1"/>
          <w:color w:val="auto"/>
        </w:rPr>
        <w:t>. Risk Factors.</w:t>
      </w:r>
    </w:p>
    <w:p>
      <w:pPr>
        <w:spacing w:after="0" w:line="256"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Our business is subject to a variety of risks and uncertainties. These risks are described elsewhere in this Quarterly Report on Form 10-Q or our other filings with the U.S. Securities and Exchange Commission, including Part I, Item 1A of our Annual Report on Form 10-K for the fiscal year ended January 31, 2026. The risks identified in such reports have not changed in any material respect.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ind w:left="580" w:hanging="248"/>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May 2, 2026, the Company did not sell any equity securities that were not registered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w:t>
      </w:r>
    </w:p>
    <w:p>
      <w:pPr>
        <w:spacing w:after="0" w:line="23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Company’s purchase of its common stock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 2026:</w:t>
      </w:r>
    </w:p>
    <w:p>
      <w:pPr>
        <w:spacing w:after="0" w:line="5" w:lineRule="exact"/>
        <w:rPr>
          <w:sz w:val="20"/>
          <w:szCs w:val="20"/>
          <w:color w:val="auto"/>
        </w:rPr>
      </w:pPr>
    </w:p>
    <w:tbl>
      <w:tblPr>
        <w:tblLayout w:type="fixed"/>
        <w:tblInd w:w="1660" w:type="dxa"/>
        <w:tblCellMar>
          <w:top w:w="0" w:type="dxa"/>
          <w:left w:w="0" w:type="dxa"/>
          <w:bottom w:w="0" w:type="dxa"/>
          <w:right w:w="0" w:type="dxa"/>
        </w:tblCellMar>
      </w:tblPr>
      <w:tr>
        <w:trPr>
          <w:trHeight w:val="207"/>
        </w:trPr>
        <w:tc>
          <w:tcPr>
            <w:tcW w:w="1420" w:type="dxa"/>
            <w:vAlign w:val="bottom"/>
          </w:tcPr>
          <w:p>
            <w:pPr>
              <w:spacing w:after="0"/>
              <w:rPr>
                <w:sz w:val="17"/>
                <w:szCs w:val="17"/>
                <w:color w:val="auto"/>
              </w:rPr>
            </w:pPr>
          </w:p>
        </w:tc>
        <w:tc>
          <w:tcPr>
            <w:tcW w:w="2300" w:type="dxa"/>
            <w:vAlign w:val="bottom"/>
            <w:vMerge w:val="restart"/>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of</w:t>
            </w:r>
          </w:p>
        </w:tc>
        <w:tc>
          <w:tcPr>
            <w:tcW w:w="0" w:type="dxa"/>
            <w:vAlign w:val="bottom"/>
          </w:tcPr>
          <w:p>
            <w:pPr>
              <w:spacing w:after="0"/>
              <w:rPr>
                <w:sz w:val="1"/>
                <w:szCs w:val="1"/>
                <w:color w:val="auto"/>
              </w:rPr>
            </w:pPr>
          </w:p>
        </w:tc>
      </w:tr>
      <w:tr>
        <w:trPr>
          <w:trHeight w:val="176"/>
        </w:trPr>
        <w:tc>
          <w:tcPr>
            <w:tcW w:w="142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2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 Publicly</w:t>
            </w:r>
          </w:p>
        </w:tc>
        <w:tc>
          <w:tcPr>
            <w:tcW w:w="2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Shares that May Yet Be</w:t>
            </w:r>
          </w:p>
        </w:tc>
        <w:tc>
          <w:tcPr>
            <w:tcW w:w="0" w:type="dxa"/>
            <w:vAlign w:val="bottom"/>
          </w:tcPr>
          <w:p>
            <w:pPr>
              <w:spacing w:after="0"/>
              <w:rPr>
                <w:sz w:val="1"/>
                <w:szCs w:val="1"/>
                <w:color w:val="auto"/>
              </w:rPr>
            </w:pPr>
          </w:p>
        </w:tc>
      </w:tr>
      <w:tr>
        <w:trPr>
          <w:trHeight w:val="175"/>
        </w:trPr>
        <w:tc>
          <w:tcPr>
            <w:tcW w:w="1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300" w:type="dxa"/>
            <w:vAlign w:val="bottom"/>
          </w:tcPr>
          <w:p>
            <w:pPr>
              <w:jc w:val="center"/>
              <w:ind w:left="6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Price Paid</w:t>
            </w:r>
          </w:p>
        </w:tc>
        <w:tc>
          <w:tcPr>
            <w:tcW w:w="2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220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rPr>
              <w:t>Purchased Under the Plans</w:t>
            </w:r>
          </w:p>
        </w:tc>
        <w:tc>
          <w:tcPr>
            <w:tcW w:w="0" w:type="dxa"/>
            <w:vAlign w:val="bottom"/>
          </w:tcPr>
          <w:p>
            <w:pPr>
              <w:spacing w:after="0"/>
              <w:rPr>
                <w:sz w:val="1"/>
                <w:szCs w:val="1"/>
                <w:color w:val="auto"/>
              </w:rPr>
            </w:pPr>
          </w:p>
        </w:tc>
      </w:tr>
      <w:tr>
        <w:trPr>
          <w:trHeight w:val="233"/>
        </w:trPr>
        <w:tc>
          <w:tcPr>
            <w:tcW w:w="1420" w:type="dxa"/>
            <w:vAlign w:val="bottom"/>
            <w:vMerge w:val="continue"/>
          </w:tcPr>
          <w:p>
            <w:pPr>
              <w:spacing w:after="0"/>
              <w:rPr>
                <w:sz w:val="20"/>
                <w:szCs w:val="20"/>
                <w:color w:val="auto"/>
              </w:rPr>
            </w:pPr>
          </w:p>
        </w:tc>
        <w:tc>
          <w:tcPr>
            <w:tcW w:w="230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22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80"/>
          </w:cols>
          <w:pgMar w:left="320" w:top="121" w:right="399" w:bottom="1440" w:gutter="0" w:footer="0" w:header="0"/>
        </w:sectPr>
      </w:pPr>
    </w:p>
    <w:tbl>
      <w:tblPr>
        <w:tblLayout w:type="fixed"/>
        <w:tblInd w:w="0" w:type="dxa"/>
        <w:tblCellMar>
          <w:top w:w="0" w:type="dxa"/>
          <w:left w:w="0" w:type="dxa"/>
          <w:bottom w:w="0" w:type="dxa"/>
          <w:right w:w="0" w:type="dxa"/>
        </w:tblCellMar>
      </w:tblPr>
      <w:tr>
        <w:trPr>
          <w:trHeight w:val="228"/>
        </w:trPr>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February</w:t>
            </w:r>
          </w:p>
        </w:tc>
        <w:tc>
          <w:tcPr>
            <w:tcW w:w="3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 2026 - February 28, 2026</w:t>
            </w:r>
          </w:p>
        </w:tc>
        <w:tc>
          <w:tcPr>
            <w:tcW w:w="12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340" w:type="dxa"/>
            <w:vAlign w:val="bottom"/>
            <w:tcBorders>
              <w:top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2026 - March 28, 2026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359.63</w:t>
            </w:r>
          </w:p>
        </w:tc>
        <w:tc>
          <w:tcPr>
            <w:tcW w:w="120" w:type="dxa"/>
            <w:vAlign w:val="bottom"/>
          </w:tcPr>
          <w:p>
            <w:pPr>
              <w:spacing w:after="0"/>
              <w:rPr>
                <w:sz w:val="19"/>
                <w:szCs w:val="19"/>
                <w:color w:val="auto"/>
              </w:rPr>
            </w:pPr>
          </w:p>
        </w:tc>
        <w:tc>
          <w:tcPr>
            <w:tcW w:w="23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March 29, 2026 - May 2, 2026</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(1)</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326" w:lineRule="exact"/>
        <w:rPr>
          <w:sz w:val="20"/>
          <w:szCs w:val="20"/>
          <w:color w:val="auto"/>
        </w:rPr>
      </w:pPr>
    </w:p>
    <w:p>
      <w:pPr>
        <w:sectPr>
          <w:pgSz w:w="11900" w:h="16838" w:orient="portrait"/>
          <w:cols w:equalWidth="0" w:num="2">
            <w:col w:w="9340" w:space="720"/>
            <w:col w:w="1120"/>
          </w:cols>
          <w:pgMar w:left="320" w:top="121" w:right="399" w:bottom="1440" w:gutter="0" w:footer="0" w:header="0"/>
          <w:type w:val="continuous"/>
        </w:sectPr>
      </w:pPr>
    </w:p>
    <w:p>
      <w:pPr>
        <w:spacing w:after="0" w:line="106" w:lineRule="exact"/>
        <w:rPr>
          <w:sz w:val="20"/>
          <w:szCs w:val="20"/>
          <w:color w:val="auto"/>
        </w:rPr>
      </w:pPr>
    </w:p>
    <w:p>
      <w:pPr>
        <w:ind w:right="160" w:firstLine="8"/>
        <w:spacing w:after="0" w:line="255" w:lineRule="auto"/>
        <w:tabs>
          <w:tab w:leader="none" w:pos="181"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February 26, 2025, the Company announced that its Board of Directors authorized a new $150 million program to repurchase shares of the Company’s outstanding common stock through August 25, 2026 in open market or private transactions. During the three months ended May 2, 2026, the Company repurchased 100,000 shares of common stock, at an average price of $359.63, for $36.0 million. As of May 2, 2026, $83.9 million of the authorization was available for repurchases.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 Rule 10b5-1 and Non-Rule 10b5-1 Trading Arrangements by our Directors and Officers</w:t>
      </w:r>
    </w:p>
    <w:p>
      <w:pPr>
        <w:spacing w:after="0" w:line="25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May 2, 2026, none of our directors and officers (as defined in Rule 16a-1(f) of the Securities and Exchange Act of 1934, as amended) adopted, terminated or modified a “Rule 10b5-1” or “non-Rule 10b5-1 trading arrangement”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Exhibits furnished pursuant to the requirements of Form 10-Q:</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Exhibit Number</w:t>
      </w:r>
    </w:p>
    <w:p>
      <w:pPr>
        <w:spacing w:after="0" w:line="81" w:lineRule="exact"/>
        <w:rPr>
          <w:sz w:val="20"/>
          <w:szCs w:val="20"/>
          <w:color w:val="auto"/>
        </w:rPr>
      </w:pPr>
    </w:p>
    <w:p>
      <w:pPr>
        <w:ind w:left="1020" w:right="280" w:hanging="984"/>
        <w:spacing w:after="0" w:line="237"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0000FF"/>
        </w:rPr>
        <w:t>31.1 +</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Rule 13a-14(a)/15d-14(a) as Adopted Pursuant to Section 302 of the Sarbanes-Oxley Act of 2002.</w:t>
      </w:r>
    </w:p>
    <w:p>
      <w:pPr>
        <w:spacing w:after="0" w:line="10" w:lineRule="exact"/>
        <w:rPr>
          <w:sz w:val="20"/>
          <w:szCs w:val="20"/>
          <w:color w:val="auto"/>
        </w:rPr>
      </w:pPr>
    </w:p>
    <w:p>
      <w:pPr>
        <w:ind w:left="1020" w:right="20" w:hanging="984"/>
        <w:spacing w:after="0" w:line="237"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0000FF"/>
        </w:rPr>
        <w:t>31.2 +</w:t>
      </w:r>
      <w:r>
        <w:rPr>
          <w:sz w:val="20"/>
          <w:szCs w:val="20"/>
          <w:color w:val="auto"/>
        </w:rPr>
        <w:tab/>
      </w:r>
      <w:r>
        <w:rPr>
          <w:rFonts w:ascii="Times New Roman" w:cs="Times New Roman" w:eastAsia="Times New Roman" w:hAnsi="Times New Roman"/>
          <w:sz w:val="18"/>
          <w:szCs w:val="18"/>
          <w:u w:val="single" w:color="auto"/>
          <w:color w:val="0000FF"/>
        </w:rPr>
        <w:t>Certification of Chief Financial Officer Pursuant to Rule 13a-14(a)/15d-14(a) as Adopted Pursuant to Section 302 of the Sarbanes-Oxley Act of 2002.</w:t>
      </w:r>
    </w:p>
    <w:p>
      <w:pPr>
        <w:spacing w:after="0" w:line="10" w:lineRule="exact"/>
        <w:rPr>
          <w:sz w:val="20"/>
          <w:szCs w:val="20"/>
          <w:color w:val="auto"/>
        </w:rPr>
      </w:pPr>
    </w:p>
    <w:p>
      <w:pPr>
        <w:ind w:left="1020" w:right="120" w:hanging="984"/>
        <w:spacing w:after="0" w:line="237"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0000FF"/>
        </w:rPr>
        <w:t>32.1 ++</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18 U.S.C. Section 1350 as Adopted Pursuant to Section 906 of the Sarbanes-Oxley Act of 2002.</w:t>
      </w:r>
    </w:p>
    <w:p>
      <w:pPr>
        <w:spacing w:after="0" w:line="10" w:lineRule="exact"/>
        <w:rPr>
          <w:sz w:val="20"/>
          <w:szCs w:val="20"/>
          <w:color w:val="auto"/>
        </w:rPr>
      </w:pPr>
    </w:p>
    <w:p>
      <w:pPr>
        <w:ind w:left="1020" w:right="160" w:hanging="984"/>
        <w:spacing w:after="0" w:line="237"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0000FF"/>
        </w:rPr>
        <w:t>32.2 ++</w:t>
      </w:r>
      <w:r>
        <w:rPr>
          <w:sz w:val="20"/>
          <w:szCs w:val="20"/>
          <w:color w:val="auto"/>
        </w:rPr>
        <w:tab/>
      </w:r>
      <w:r>
        <w:rPr>
          <w:rFonts w:ascii="Times New Roman" w:cs="Times New Roman" w:eastAsia="Times New Roman" w:hAnsi="Times New Roman"/>
          <w:sz w:val="18"/>
          <w:szCs w:val="18"/>
          <w:u w:val="single" w:color="auto"/>
          <w:color w:val="0000FF"/>
        </w:rPr>
        <w:t>Certification of Chief Financial Officer Pursuant to 18 U.S.C. Section 1350 as Adopted Pursuant to Section 906 of the Sarbanes-Oxley Act of 2002.</w:t>
      </w:r>
    </w:p>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101 +</w:t>
      </w:r>
      <w:r>
        <w:rPr>
          <w:sz w:val="20"/>
          <w:szCs w:val="20"/>
          <w:color w:val="auto"/>
        </w:rPr>
        <w:tab/>
      </w:r>
      <w:r>
        <w:rPr>
          <w:rFonts w:ascii="Times New Roman" w:cs="Times New Roman" w:eastAsia="Times New Roman" w:hAnsi="Times New Roman"/>
          <w:sz w:val="17"/>
          <w:szCs w:val="17"/>
          <w:color w:val="auto"/>
        </w:rPr>
        <w:t>The following materials from the Registrant’s Quarterly Report on Form 10-Q for the quarter ended May 2, 2026, formatted in Inline XBRL:</w:t>
      </w:r>
    </w:p>
    <w:p>
      <w:pPr>
        <w:ind w:left="1020" w:hanging="9"/>
        <w:spacing w:after="0" w:line="223" w:lineRule="auto"/>
        <w:tabs>
          <w:tab w:leader="none" w:pos="12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Balance Sheets; (ii) the Condensed Consolidated Statements of Operations; (iii) the Condensed Consolidated Statements of Comprehensive Income; (iv) the Condensed Consolidated Statements of Stockholders’ Equity; (v) the Condensed Consolidated Statements of Cash Flows; and (vi) the Notes to Condensed Consolidated Financial Statements.</w:t>
      </w:r>
    </w:p>
    <w:p>
      <w:pPr>
        <w:spacing w:after="0" w:line="2" w:lineRule="exact"/>
        <w:rPr>
          <w:sz w:val="20"/>
          <w:szCs w:val="20"/>
          <w:color w:val="auto"/>
        </w:rPr>
      </w:pPr>
    </w:p>
    <w:p>
      <w:pPr>
        <w:ind w:left="1020" w:right="680" w:hanging="984"/>
        <w:spacing w:after="0" w:line="234" w:lineRule="auto"/>
        <w:tabs>
          <w:tab w:leader="none" w:pos="1000" w:val="left"/>
        </w:tabs>
        <w:rPr>
          <w:sz w:val="20"/>
          <w:szCs w:val="20"/>
          <w:color w:val="auto"/>
        </w:rPr>
      </w:pPr>
      <w:r>
        <w:rPr>
          <w:rFonts w:ascii="Times New Roman" w:cs="Times New Roman" w:eastAsia="Times New Roman" w:hAnsi="Times New Roman"/>
          <w:sz w:val="18"/>
          <w:szCs w:val="18"/>
          <w:color w:val="auto"/>
        </w:rPr>
        <w:t>104 +</w:t>
      </w:r>
      <w:r>
        <w:rPr>
          <w:sz w:val="20"/>
          <w:szCs w:val="20"/>
          <w:color w:val="auto"/>
        </w:rPr>
        <w:tab/>
      </w:r>
      <w:r>
        <w:rPr>
          <w:rFonts w:ascii="Times New Roman" w:cs="Times New Roman" w:eastAsia="Times New Roman" w:hAnsi="Times New Roman"/>
          <w:sz w:val="18"/>
          <w:szCs w:val="18"/>
          <w:color w:val="auto"/>
        </w:rPr>
        <w:t>The cover page from the Registrant’s Quarterly Report on Form 10-Q for the quarter ended May 2, 2026, formatted in Inline XBRL (included as Exhibit 101)</w:t>
      </w:r>
    </w:p>
    <w:p>
      <w:pPr>
        <w:spacing w:after="0" w:line="64" w:lineRule="exact"/>
        <w:rPr>
          <w:sz w:val="20"/>
          <w:szCs w:val="20"/>
          <w:color w:val="auto"/>
        </w:rPr>
      </w:pPr>
    </w:p>
    <w:p>
      <w:pPr>
        <w:ind w:left="1020" w:hanging="99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020" w:hanging="99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80" w:firstLine="324"/>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DYCOM INDUSTRIES, INC.</w:t>
      </w:r>
    </w:p>
    <w:p>
      <w:pPr>
        <w:spacing w:after="0" w:line="2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Registrant</w:t>
      </w:r>
    </w:p>
    <w:p>
      <w:pPr>
        <w:spacing w:after="0" w:line="247" w:lineRule="exact"/>
        <w:rPr>
          <w:sz w:val="20"/>
          <w:szCs w:val="20"/>
          <w:color w:val="auto"/>
        </w:rPr>
      </w:pPr>
    </w:p>
    <w:p>
      <w:pPr>
        <w:ind w:left="20"/>
        <w:spacing w:after="0"/>
        <w:tabs>
          <w:tab w:leader="none" w:pos="600" w:val="left"/>
          <w:tab w:leader="none" w:pos="4240" w:val="left"/>
        </w:tabs>
        <w:rPr>
          <w:sz w:val="20"/>
          <w:szCs w:val="20"/>
          <w:color w:val="auto"/>
        </w:rPr>
      </w:pPr>
      <w:r>
        <w:rPr>
          <w:rFonts w:ascii="Times New Roman" w:cs="Times New Roman" w:eastAsia="Times New Roman" w:hAnsi="Times New Roman"/>
          <w:sz w:val="18"/>
          <w:szCs w:val="18"/>
          <w:color w:val="auto"/>
        </w:rPr>
        <w:t>Date:</w:t>
        <w:tab/>
        <w:t>May 28, 2026</w:t>
      </w:r>
      <w:r>
        <w:rPr>
          <w:sz w:val="20"/>
          <w:szCs w:val="20"/>
          <w:color w:val="auto"/>
        </w:rPr>
        <w:tab/>
      </w:r>
      <w:r>
        <w:rPr>
          <w:rFonts w:ascii="Times New Roman" w:cs="Times New Roman" w:eastAsia="Times New Roman" w:hAnsi="Times New Roman"/>
          <w:sz w:val="17"/>
          <w:szCs w:val="17"/>
          <w:color w:val="auto"/>
        </w:rPr>
        <w:t>/s/ Daniel S. Peyovich</w:t>
      </w:r>
    </w:p>
    <w:p>
      <w:pPr>
        <w:spacing w:after="0" w:line="27" w:lineRule="exact"/>
        <w:rPr>
          <w:sz w:val="20"/>
          <w:szCs w:val="20"/>
          <w:color w:val="auto"/>
        </w:rPr>
      </w:pPr>
    </w:p>
    <w:tbl>
      <w:tblPr>
        <w:tblLayout w:type="fixed"/>
        <w:tblInd w:w="4240" w:type="dxa"/>
        <w:tblCellMar>
          <w:top w:w="0" w:type="dxa"/>
          <w:left w:w="0" w:type="dxa"/>
          <w:bottom w:w="0" w:type="dxa"/>
          <w:right w:w="0" w:type="dxa"/>
        </w:tblCellMar>
      </w:tblPr>
      <w:tr>
        <w:trPr>
          <w:trHeight w:val="169"/>
        </w:trPr>
        <w:tc>
          <w:tcPr>
            <w:tcW w:w="70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Name:</w:t>
            </w:r>
          </w:p>
        </w:tc>
        <w:tc>
          <w:tcPr>
            <w:tcW w:w="6200" w:type="dxa"/>
            <w:vAlign w:val="bottom"/>
            <w:tcBorders>
              <w:top w:val="single" w:sz="8" w:color="auto"/>
            </w:tcBorders>
          </w:tcPr>
          <w:p>
            <w:pPr>
              <w:ind w:left="180"/>
              <w:spacing w:after="0" w:line="169" w:lineRule="exact"/>
              <w:rPr>
                <w:sz w:val="20"/>
                <w:szCs w:val="20"/>
                <w:color w:val="auto"/>
              </w:rPr>
            </w:pPr>
            <w:r>
              <w:rPr>
                <w:rFonts w:ascii="Times New Roman" w:cs="Times New Roman" w:eastAsia="Times New Roman" w:hAnsi="Times New Roman"/>
                <w:sz w:val="18"/>
                <w:szCs w:val="18"/>
                <w:color w:val="auto"/>
              </w:rPr>
              <w:t>Daniel S. Peyovich</w:t>
            </w:r>
          </w:p>
        </w:tc>
      </w:tr>
      <w:tr>
        <w:trPr>
          <w:trHeight w:val="234"/>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600" w:val="left"/>
          <w:tab w:leader="none" w:pos="4240" w:val="left"/>
        </w:tabs>
        <w:rPr>
          <w:sz w:val="20"/>
          <w:szCs w:val="20"/>
          <w:color w:val="auto"/>
        </w:rPr>
      </w:pPr>
      <w:r>
        <w:rPr>
          <w:rFonts w:ascii="Times New Roman" w:cs="Times New Roman" w:eastAsia="Times New Roman" w:hAnsi="Times New Roman"/>
          <w:sz w:val="18"/>
          <w:szCs w:val="18"/>
          <w:color w:val="auto"/>
        </w:rPr>
        <w:t>Date:</w:t>
        <w:tab/>
        <w:t>May 28, 2026</w:t>
      </w:r>
      <w:r>
        <w:rPr>
          <w:sz w:val="20"/>
          <w:szCs w:val="20"/>
          <w:color w:val="auto"/>
        </w:rPr>
        <w:tab/>
      </w:r>
      <w:r>
        <w:rPr>
          <w:rFonts w:ascii="Times New Roman" w:cs="Times New Roman" w:eastAsia="Times New Roman" w:hAnsi="Times New Roman"/>
          <w:sz w:val="17"/>
          <w:szCs w:val="17"/>
          <w:color w:val="auto"/>
        </w:rPr>
        <w:t>/s/ H. Andrew DeFerrari</w:t>
      </w:r>
    </w:p>
    <w:p>
      <w:pPr>
        <w:spacing w:after="0" w:line="27" w:lineRule="exact"/>
        <w:rPr>
          <w:sz w:val="20"/>
          <w:szCs w:val="20"/>
          <w:color w:val="auto"/>
        </w:rPr>
      </w:pPr>
    </w:p>
    <w:tbl>
      <w:tblPr>
        <w:tblLayout w:type="fixed"/>
        <w:tblInd w:w="4240" w:type="dxa"/>
        <w:tblCellMar>
          <w:top w:w="0" w:type="dxa"/>
          <w:left w:w="0" w:type="dxa"/>
          <w:bottom w:w="0" w:type="dxa"/>
          <w:right w:w="0" w:type="dxa"/>
        </w:tblCellMar>
      </w:tblPr>
      <w:tr>
        <w:trPr>
          <w:trHeight w:val="169"/>
        </w:trPr>
        <w:tc>
          <w:tcPr>
            <w:tcW w:w="70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Name:</w:t>
            </w:r>
          </w:p>
        </w:tc>
        <w:tc>
          <w:tcPr>
            <w:tcW w:w="6200" w:type="dxa"/>
            <w:vAlign w:val="bottom"/>
            <w:tcBorders>
              <w:top w:val="single" w:sz="8" w:color="auto"/>
            </w:tcBorders>
          </w:tcPr>
          <w:p>
            <w:pPr>
              <w:ind w:left="180"/>
              <w:spacing w:after="0" w:line="169" w:lineRule="exact"/>
              <w:rPr>
                <w:sz w:val="20"/>
                <w:szCs w:val="20"/>
                <w:color w:val="auto"/>
              </w:rPr>
            </w:pPr>
            <w:r>
              <w:rPr>
                <w:rFonts w:ascii="Times New Roman" w:cs="Times New Roman" w:eastAsia="Times New Roman" w:hAnsi="Times New Roman"/>
                <w:sz w:val="18"/>
                <w:szCs w:val="18"/>
                <w:color w:val="auto"/>
              </w:rPr>
              <w:t>H. Andrew DeFerrari</w:t>
            </w:r>
          </w:p>
        </w:tc>
      </w:tr>
      <w:tr>
        <w:trPr>
          <w:trHeight w:val="234"/>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121" w:right="4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DYCOM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OR 15D-14(A) UNDER THE SECURITIES EXCHANGE ACT OF 1934,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S. Peyovich, certify that:</w:t>
      </w:r>
    </w:p>
    <w:p>
      <w:pPr>
        <w:spacing w:after="0" w:line="234"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Dycom Industries,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5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right="860" w:hanging="328"/>
        <w:spacing w:after="0" w:line="312" w:lineRule="auto"/>
        <w:tabs>
          <w:tab w:leader="none" w:pos="651"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140" w:hanging="328"/>
        <w:spacing w:after="0" w:line="312" w:lineRule="auto"/>
        <w:tabs>
          <w:tab w:leader="none" w:pos="648"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7"/>
          <w:szCs w:val="17"/>
          <w:color w:val="auto"/>
        </w:rPr>
      </w:pPr>
    </w:p>
    <w:p>
      <w:pPr>
        <w:ind w:left="340" w:right="32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4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28, 2026</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Daniel S. Peyovich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200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Daniel S. Peyovich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DYCOM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OR 15D-14(A) UNDER THE SECURITIES EXCHANGE ACT OF 1934,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 Andrew DeFerrari, certify that:</w:t>
      </w:r>
    </w:p>
    <w:p>
      <w:pPr>
        <w:spacing w:after="0" w:line="234"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Dycom Industries,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5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right="860" w:hanging="328"/>
        <w:spacing w:after="0" w:line="312" w:lineRule="auto"/>
        <w:tabs>
          <w:tab w:leader="none" w:pos="65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140" w:hanging="328"/>
        <w:spacing w:after="0" w:line="312" w:lineRule="auto"/>
        <w:tabs>
          <w:tab w:leader="none" w:pos="648"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7"/>
          <w:szCs w:val="17"/>
          <w:color w:val="auto"/>
        </w:rPr>
      </w:pPr>
    </w:p>
    <w:p>
      <w:pPr>
        <w:ind w:left="340" w:right="32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28, 2026</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H. Andrew DeFerrari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943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 Andrew DeFerrari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11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DYCOM INDUSTRIES,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Quarterly Report of Dycom Industries, Inc. (the “Company”) on Form 10-Q for the period ending May 2, 2026, as filed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on the date hereof (the “Report”), the undersigned hereby certifies that to the best of his knowledge:</w:t>
      </w:r>
    </w:p>
    <w:p>
      <w:pPr>
        <w:spacing w:after="0" w:line="234"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60" w:right="200" w:hanging="28"/>
        <w:spacing w:after="0" w:line="329" w:lineRule="auto"/>
        <w:tabs>
          <w:tab w:leader="none" w:pos="66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28, 2026</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 Daniel S. Peyovich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25203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Daniel S. Peyovich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4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1350 of Chapter 63 of Title 18 of the United States Code, as adopted pursuant to Section 906 of the Sarbanes-Oxley Act of 2002, has been provided to Dycom Industries, Inc. and will be retained by Dycom Industries, Inc. and furnished to the Securities and Exchange Commission or its staff upon request.</w:t>
      </w:r>
    </w:p>
    <w:p>
      <w:pPr>
        <w:spacing w:after="0" w:line="20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This certification will not be deemed “filed” for purposes of Section 18 of the Securities Exchange Act of 1934, or otherwise subject to the liability of that section. This certification will not be deemed to be incorporated by reference into any filing under the Securities Act of 1933 or the Securities Exchange Act of 1934 even if the document with which it is submitted to the Securities and Exchange Commission is so incorporated by reference.</w:t>
      </w:r>
    </w:p>
    <w:p>
      <w:pPr>
        <w:sectPr>
          <w:pgSz w:w="11900" w:h="16838" w:orient="portrait"/>
          <w:cols w:equalWidth="0" w:num="1">
            <w:col w:w="11240"/>
          </w:cols>
          <w:pgMar w:left="320" w:top="11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DYCOM INDUSTRIES,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Quarterly Report of Dycom Industries, Inc. (the “Company”) on Form 10-Q for the period ending May 2, 2026, as filed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on the date hereof (the “Report”), the undersigned hereby certifies that to the best of his knowledge:</w:t>
      </w:r>
    </w:p>
    <w:p>
      <w:pPr>
        <w:spacing w:after="0" w:line="234"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0"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28, 2026</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H. Andrew DeFerrari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943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 Andrew DeFerrari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34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1350 of Chapter 63 of Title 18 of the United States Code, as adopted pursuant to Section 906 of the Sarbanes-Oxley Act of 2002, has been provided to Dycom Industries, Inc. and will be retained by Dycom Industries, Inc. and furnished to the Securities and Exchange Commission or its staff upon request.</w:t>
      </w:r>
    </w:p>
    <w:p>
      <w:pPr>
        <w:spacing w:after="0" w:line="20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This certification will not be deemed “filed” for purposes of Section 18 of the Securities Exchange Act of 1934, or otherwise subject to the liability of that section. This certification will not be deemed to be incorporated by reference into any filing under the Securities Act of 1933 or the Securities Exchange Act of 1934 even if the document with which it is submitted to the Securities and Exchange Commission is so incorporated by reference.</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0"/>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lowerRoman"/>
      <w:start w:val="2"/>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9"/>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lowerRoman"/>
      <w:start w:val="2"/>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lowerRoman"/>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2026-05-28T07:22:20Z</dcterms:created>
  <dcterms:modified xsi:type="dcterms:W3CDTF">2026-05-28T07:22:20Z</dcterms:modified>
</cp:coreProperties>
</file>