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Sykes Richard K</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DYCOM INDUSTRIES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BANYAN BLVD</w:t>
            </w:r>
          </w:p>
        </w:tc>
        <w:tc>
          <w:tcPr>
            <w:tcW w:w="134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1101</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WEST PALM</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12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ind w:left="160"/>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331</w:t>
            </w:r>
            <w:r>
              <w:rPr>
                <w:rFonts w:ascii="Times New Roman" w:cs="Times New Roman" w:eastAsia="Times New Roman" w:hAnsi="Times New Roman"/>
                <w:sz w:val="11"/>
                <w:szCs w:val="11"/>
                <w:color w:val="008000"/>
                <w:w w:val="90"/>
              </w:rPr>
              <w:t>(1)(2)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21,727</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ind w:left="160"/>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142</w:t>
            </w:r>
            <w:r>
              <w:rPr>
                <w:rFonts w:ascii="Times New Roman" w:cs="Times New Roman" w:eastAsia="Times New Roman" w:hAnsi="Times New Roman"/>
                <w:sz w:val="11"/>
                <w:szCs w:val="11"/>
                <w:color w:val="008000"/>
                <w:w w:val="90"/>
              </w:rPr>
              <w:t>(1)(2)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21,869</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by the Issuer to the Reporting Person. Each RSU represents a contingent right to acquire one (1) share of Dycom Industries, Inc. common stock par value $0.33 1/3 per share ("DY common stock") upon vesting.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one annual installment upon the earlier to occur of (i) May 28, 2027 or (ii) the date of the next annual meeting of shareholders of the Company.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consideration was paid for the RSUs.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Ryan F. Urness by POA</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from Richard K. Sykes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5666" TargetMode="External"/><Relationship Id="rId14" Type="http://schemas.openxmlformats.org/officeDocument/2006/relationships/hyperlink" Target="http://www.sec.gov/cgi-bin/browse-edgar?action=getcompany&amp;CIK=00000672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2026-05-29T16:53:49Z</dcterms:created>
  <dcterms:modified xsi:type="dcterms:W3CDTF">2026-05-29T16:53:49Z</dcterms:modified>
</cp:coreProperties>
</file>