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Peyovich Daniel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11780 U.S. HIGHWAY 1</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DYCOM INDUSTRIES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11/30/2024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42"/>
        </w:trPr>
        <w:tc>
          <w:tcPr>
            <w:tcW w:w="40" w:type="dxa"/>
            <w:vAlign w:val="bottom"/>
          </w:tcPr>
          <w:p>
            <w:pPr>
              <w:spacing w:after="0"/>
              <w:rPr>
                <w:sz w:val="3"/>
                <w:szCs w:val="3"/>
                <w:color w:val="auto"/>
              </w:rPr>
            </w:pPr>
          </w:p>
        </w:tc>
        <w:tc>
          <w:tcPr>
            <w:tcW w:w="1160" w:type="dxa"/>
            <w:vAlign w:val="bottom"/>
            <w:shd w:val="clear" w:color="auto" w:fill="9A9A9A"/>
          </w:tcPr>
          <w:p>
            <w:pPr>
              <w:spacing w:after="0"/>
              <w:rPr>
                <w:sz w:val="3"/>
                <w:szCs w:val="3"/>
                <w:color w:val="auto"/>
              </w:rPr>
            </w:pPr>
          </w:p>
        </w:tc>
        <w:tc>
          <w:tcPr>
            <w:tcW w:w="880" w:type="dxa"/>
            <w:vAlign w:val="bottom"/>
            <w:shd w:val="clear" w:color="auto" w:fill="9A9A9A"/>
          </w:tcPr>
          <w:p>
            <w:pPr>
              <w:spacing w:after="0"/>
              <w:rPr>
                <w:sz w:val="3"/>
                <w:szCs w:val="3"/>
                <w:color w:val="auto"/>
              </w:rPr>
            </w:pPr>
          </w:p>
        </w:tc>
        <w:tc>
          <w:tcPr>
            <w:tcW w:w="1600" w:type="dxa"/>
            <w:vAlign w:val="bottom"/>
            <w:shd w:val="clear" w:color="auto" w:fill="9A9A9A"/>
          </w:tcPr>
          <w:p>
            <w:pPr>
              <w:spacing w:after="0"/>
              <w:rPr>
                <w:sz w:val="3"/>
                <w:szCs w:val="3"/>
                <w:color w:val="auto"/>
              </w:rPr>
            </w:pPr>
          </w:p>
        </w:tc>
        <w:tc>
          <w:tcPr>
            <w:tcW w:w="3760" w:type="dxa"/>
            <w:vAlign w:val="bottom"/>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760" w:type="dxa"/>
            <w:vAlign w:val="bottom"/>
            <w:vMerge w:val="continue"/>
          </w:tcPr>
          <w:p>
            <w:pPr>
              <w:spacing w:after="0"/>
              <w:rPr>
                <w:sz w:val="9"/>
                <w:szCs w:val="9"/>
                <w:color w:val="auto"/>
              </w:rPr>
            </w:pPr>
          </w:p>
        </w:tc>
        <w:tc>
          <w:tcPr>
            <w:tcW w:w="3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1200" w:type="dxa"/>
            <w:vAlign w:val="bottom"/>
            <w:gridSpan w:val="2"/>
            <w:vMerge w:val="continue"/>
          </w:tcPr>
          <w:p>
            <w:pPr>
              <w:spacing w:after="0"/>
              <w:rPr>
                <w:sz w:val="14"/>
                <w:szCs w:val="14"/>
                <w:color w:val="auto"/>
              </w:rPr>
            </w:pP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PALM BEACH</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33408</w:t>
            </w:r>
          </w:p>
        </w:tc>
        <w:tc>
          <w:tcPr>
            <w:tcW w:w="3760" w:type="dxa"/>
            <w:vAlign w:val="bottom"/>
          </w:tcPr>
          <w:p>
            <w:pPr>
              <w:spacing w:after="0"/>
              <w:rPr>
                <w:sz w:val="24"/>
                <w:szCs w:val="24"/>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1160" w:type="dxa"/>
            <w:vAlign w:val="bottom"/>
          </w:tcPr>
          <w:p>
            <w:pPr>
              <w:spacing w:after="0" w:line="134" w:lineRule="exact"/>
              <w:rPr>
                <w:sz w:val="20"/>
                <w:szCs w:val="20"/>
                <w:color w:val="auto"/>
              </w:rPr>
            </w:pPr>
            <w:r>
              <w:rPr>
                <w:rFonts w:ascii="Times New Roman" w:cs="Times New Roman" w:eastAsia="Times New Roman" w:hAnsi="Times New Roman"/>
                <w:sz w:val="15"/>
                <w:szCs w:val="15"/>
                <w:color w:val="0000FF"/>
              </w:rPr>
              <w:t>GARDENS</w:t>
            </w:r>
          </w:p>
        </w:tc>
        <w:tc>
          <w:tcPr>
            <w:tcW w:w="8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3280" w:type="dxa"/>
            <w:vAlign w:val="bottom"/>
          </w:tcPr>
          <w:p>
            <w:pPr>
              <w:ind w:left="740"/>
              <w:spacing w:after="0" w:line="134"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536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Restricted Stock Units</w:t>
            </w:r>
            <w:r>
              <w:rPr>
                <w:rFonts w:ascii="Times New Roman" w:cs="Times New Roman" w:eastAsia="Times New Roman" w:hAnsi="Times New Roman"/>
                <w:sz w:val="22"/>
                <w:szCs w:val="22"/>
                <w:color w:val="008000"/>
                <w:vertAlign w:val="superscript"/>
              </w:rPr>
              <w:t>(1)</w:t>
            </w: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11/30/2024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10,637</w:t>
            </w:r>
            <w:r>
              <w:rPr>
                <w:rFonts w:ascii="Times New Roman" w:cs="Times New Roman" w:eastAsia="Times New Roman" w:hAnsi="Times New Roman"/>
                <w:sz w:val="22"/>
                <w:szCs w:val="22"/>
                <w:color w:val="008000"/>
                <w:w w:val="97"/>
                <w:vertAlign w:val="superscript"/>
              </w:rPr>
              <w:t>(2)</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44,450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acquire one (1) share of Dycom Industries, Inc. common stock par value $0.33 1/3 per share ("DY common stock").</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in four substantially equal annual installments beginning November 30, 2025.</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 consideration was paid for the restricted stock units.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Ryan F. Urness by POA</w:t>
            </w:r>
          </w:p>
        </w:tc>
        <w:tc>
          <w:tcPr>
            <w:tcW w:w="2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12/02/2024</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from Daniel S. Peyovich</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2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92"/>
        </w:trPr>
        <w:tc>
          <w:tcPr>
            <w:tcW w:w="900" w:type="dxa"/>
            <w:vAlign w:val="bottom"/>
          </w:tcPr>
          <w:p>
            <w:pPr>
              <w:spacing w:after="0"/>
              <w:rPr>
                <w:sz w:val="20"/>
                <w:szCs w:val="20"/>
                <w:color w:val="auto"/>
              </w:rPr>
            </w:pPr>
            <w:r>
              <w:rPr>
                <w:rFonts w:ascii="Courier New" w:cs="Courier New" w:eastAsia="Courier New" w:hAnsi="Courier New"/>
                <w:sz w:val="17"/>
                <w:szCs w:val="17"/>
                <w:color w:val="auto"/>
              </w:rPr>
              <w:t>POWER OF</w:t>
            </w:r>
          </w:p>
        </w:tc>
        <w:tc>
          <w:tcPr>
            <w:tcW w:w="2380" w:type="dxa"/>
            <w:vAlign w:val="bottom"/>
          </w:tcPr>
          <w:p>
            <w:pPr>
              <w:ind w:left="40"/>
              <w:spacing w:after="0"/>
              <w:rPr>
                <w:sz w:val="20"/>
                <w:szCs w:val="20"/>
                <w:color w:val="auto"/>
              </w:rPr>
            </w:pPr>
            <w:r>
              <w:rPr>
                <w:rFonts w:ascii="Courier New" w:cs="Courier New" w:eastAsia="Courier New" w:hAnsi="Courier New"/>
                <w:sz w:val="17"/>
                <w:szCs w:val="17"/>
                <w:color w:val="auto"/>
              </w:rPr>
              <w:t>ATTORNEY</w:t>
            </w:r>
          </w:p>
        </w:tc>
        <w:tc>
          <w:tcPr>
            <w:tcW w:w="420" w:type="dxa"/>
            <w:vAlign w:val="bottom"/>
          </w:tcPr>
          <w:p>
            <w:pPr>
              <w:spacing w:after="0"/>
              <w:rPr>
                <w:sz w:val="24"/>
                <w:szCs w:val="24"/>
                <w:color w:val="auto"/>
              </w:rPr>
            </w:pPr>
          </w:p>
        </w:tc>
        <w:tc>
          <w:tcPr>
            <w:tcW w:w="4420" w:type="dxa"/>
            <w:vAlign w:val="bottom"/>
          </w:tcPr>
          <w:p>
            <w:pPr>
              <w:spacing w:after="0"/>
              <w:rPr>
                <w:sz w:val="24"/>
                <w:szCs w:val="24"/>
                <w:color w:val="auto"/>
              </w:rPr>
            </w:pPr>
          </w:p>
        </w:tc>
      </w:tr>
      <w:tr>
        <w:trPr>
          <w:trHeight w:val="307"/>
        </w:trPr>
        <w:tc>
          <w:tcPr>
            <w:tcW w:w="900" w:type="dxa"/>
            <w:vAlign w:val="bottom"/>
          </w:tcPr>
          <w:p>
            <w:pPr>
              <w:spacing w:after="0"/>
              <w:rPr>
                <w:sz w:val="20"/>
                <w:szCs w:val="20"/>
                <w:color w:val="auto"/>
              </w:rPr>
            </w:pPr>
            <w:r>
              <w:rPr>
                <w:rFonts w:ascii="Courier New" w:cs="Courier New" w:eastAsia="Courier New" w:hAnsi="Courier New"/>
                <w:sz w:val="17"/>
                <w:szCs w:val="17"/>
                <w:color w:val="auto"/>
              </w:rPr>
              <w:t>Know all</w:t>
            </w:r>
          </w:p>
        </w:tc>
        <w:tc>
          <w:tcPr>
            <w:tcW w:w="2380" w:type="dxa"/>
            <w:vAlign w:val="bottom"/>
          </w:tcPr>
          <w:p>
            <w:pPr>
              <w:ind w:left="40"/>
              <w:spacing w:after="0"/>
              <w:rPr>
                <w:sz w:val="20"/>
                <w:szCs w:val="20"/>
                <w:color w:val="auto"/>
              </w:rPr>
            </w:pPr>
            <w:r>
              <w:rPr>
                <w:rFonts w:ascii="Courier New" w:cs="Courier New" w:eastAsia="Courier New" w:hAnsi="Courier New"/>
                <w:sz w:val="17"/>
                <w:szCs w:val="17"/>
                <w:color w:val="auto"/>
              </w:rPr>
              <w:t>by these presents that</w:t>
            </w:r>
          </w:p>
        </w:tc>
        <w:tc>
          <w:tcPr>
            <w:tcW w:w="420" w:type="dxa"/>
            <w:vAlign w:val="bottom"/>
          </w:tcPr>
          <w:p>
            <w:pPr>
              <w:ind w:left="60"/>
              <w:spacing w:after="0"/>
              <w:rPr>
                <w:sz w:val="20"/>
                <w:szCs w:val="20"/>
                <w:color w:val="auto"/>
              </w:rPr>
            </w:pPr>
            <w:r>
              <w:rPr>
                <w:rFonts w:ascii="Courier New" w:cs="Courier New" w:eastAsia="Courier New" w:hAnsi="Courier New"/>
                <w:sz w:val="17"/>
                <w:szCs w:val="17"/>
                <w:color w:val="auto"/>
              </w:rPr>
              <w:t>the</w:t>
            </w:r>
          </w:p>
        </w:tc>
        <w:tc>
          <w:tcPr>
            <w:tcW w:w="4420" w:type="dxa"/>
            <w:vAlign w:val="bottom"/>
          </w:tcPr>
          <w:p>
            <w:pPr>
              <w:ind w:left="40"/>
              <w:spacing w:after="0"/>
              <w:rPr>
                <w:sz w:val="20"/>
                <w:szCs w:val="20"/>
                <w:color w:val="auto"/>
              </w:rPr>
            </w:pPr>
            <w:r>
              <w:rPr>
                <w:rFonts w:ascii="Courier New" w:cs="Courier New" w:eastAsia="Courier New" w:hAnsi="Courier New"/>
                <w:sz w:val="17"/>
                <w:szCs w:val="17"/>
                <w:color w:val="auto"/>
              </w:rPr>
              <w:t>undersigned hereby constitutes and</w:t>
            </w:r>
          </w:p>
        </w:tc>
      </w:tr>
      <w:tr>
        <w:trPr>
          <w:trHeight w:val="200"/>
        </w:trPr>
        <w:tc>
          <w:tcPr>
            <w:tcW w:w="3280" w:type="dxa"/>
            <w:vAlign w:val="bottom"/>
            <w:gridSpan w:val="2"/>
          </w:tcPr>
          <w:p>
            <w:pPr>
              <w:spacing w:after="0"/>
              <w:rPr>
                <w:sz w:val="20"/>
                <w:szCs w:val="20"/>
                <w:color w:val="auto"/>
              </w:rPr>
            </w:pPr>
            <w:r>
              <w:rPr>
                <w:rFonts w:ascii="Courier New" w:cs="Courier New" w:eastAsia="Courier New" w:hAnsi="Courier New"/>
                <w:sz w:val="17"/>
                <w:szCs w:val="17"/>
                <w:color w:val="auto"/>
              </w:rPr>
              <w:t>appoints each of Ryan F. Urness</w:t>
            </w:r>
          </w:p>
        </w:tc>
        <w:tc>
          <w:tcPr>
            <w:tcW w:w="420" w:type="dxa"/>
            <w:vAlign w:val="bottom"/>
          </w:tcPr>
          <w:p>
            <w:pPr>
              <w:ind w:left="60"/>
              <w:spacing w:after="0"/>
              <w:rPr>
                <w:sz w:val="20"/>
                <w:szCs w:val="20"/>
                <w:color w:val="auto"/>
              </w:rPr>
            </w:pPr>
            <w:r>
              <w:rPr>
                <w:rFonts w:ascii="Courier New" w:cs="Courier New" w:eastAsia="Courier New" w:hAnsi="Courier New"/>
                <w:sz w:val="17"/>
                <w:szCs w:val="17"/>
                <w:color w:val="auto"/>
              </w:rPr>
              <w:t>and</w:t>
            </w:r>
          </w:p>
        </w:tc>
        <w:tc>
          <w:tcPr>
            <w:tcW w:w="4420" w:type="dxa"/>
            <w:vAlign w:val="bottom"/>
          </w:tcPr>
          <w:p>
            <w:pPr>
              <w:ind w:left="40"/>
              <w:spacing w:after="0"/>
              <w:rPr>
                <w:sz w:val="20"/>
                <w:szCs w:val="20"/>
                <w:color w:val="auto"/>
              </w:rPr>
            </w:pPr>
            <w:r>
              <w:rPr>
                <w:rFonts w:ascii="Courier New" w:cs="Courier New" w:eastAsia="Courier New" w:hAnsi="Courier New"/>
                <w:sz w:val="17"/>
                <w:szCs w:val="17"/>
                <w:color w:val="auto"/>
              </w:rPr>
              <w:t>H. Andrew DeFerrari the undersigned's true</w:t>
            </w:r>
          </w:p>
        </w:tc>
      </w:tr>
      <w:tr>
        <w:trPr>
          <w:trHeight w:val="292"/>
        </w:trPr>
        <w:tc>
          <w:tcPr>
            <w:tcW w:w="3280" w:type="dxa"/>
            <w:vAlign w:val="bottom"/>
            <w:gridSpan w:val="2"/>
          </w:tcPr>
          <w:p>
            <w:pPr>
              <w:spacing w:after="0"/>
              <w:rPr>
                <w:sz w:val="20"/>
                <w:szCs w:val="20"/>
                <w:color w:val="auto"/>
              </w:rPr>
            </w:pPr>
            <w:r>
              <w:rPr>
                <w:rFonts w:ascii="Courier New" w:cs="Courier New" w:eastAsia="Courier New" w:hAnsi="Courier New"/>
                <w:sz w:val="17"/>
                <w:szCs w:val="17"/>
                <w:color w:val="auto"/>
              </w:rPr>
              <w:t>and lawful attorney-in-fact and</w:t>
            </w:r>
          </w:p>
        </w:tc>
        <w:tc>
          <w:tcPr>
            <w:tcW w:w="48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agent to:</w:t>
            </w:r>
          </w:p>
        </w:tc>
      </w:tr>
    </w:tbl>
    <w:p>
      <w:pPr>
        <w:spacing w:after="0" w:line="107" w:lineRule="exact"/>
        <w:rPr>
          <w:sz w:val="20"/>
          <w:szCs w:val="20"/>
          <w:color w:val="auto"/>
        </w:rPr>
      </w:pPr>
    </w:p>
    <w:p>
      <w:pPr>
        <w:ind w:right="1779" w:firstLine="7"/>
        <w:spacing w:after="0" w:line="280" w:lineRule="auto"/>
        <w:tabs>
          <w:tab w:leader="none" w:pos="416"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Dycom Industries, Inc. (the "Company"), any Forms 3, 4, and 5 required or permitted to be filed in accordance with Section 16(a) of the Securities Exchange Act of 1934 and the rules thereunder (the "Exchange Act");</w:t>
      </w:r>
    </w:p>
    <w:p>
      <w:pPr>
        <w:spacing w:after="0" w:line="75" w:lineRule="exact"/>
        <w:rPr>
          <w:rFonts w:ascii="Courier New" w:cs="Courier New" w:eastAsia="Courier New" w:hAnsi="Courier New"/>
          <w:sz w:val="17"/>
          <w:szCs w:val="17"/>
          <w:color w:val="auto"/>
        </w:rPr>
      </w:pPr>
    </w:p>
    <w:p>
      <w:pPr>
        <w:ind w:right="1779" w:firstLine="7"/>
        <w:spacing w:after="0" w:line="290" w:lineRule="auto"/>
        <w:tabs>
          <w:tab w:leader="none" w:pos="416"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the Company, any and all other documents, including any Form 144 or Form ID, necessary or desirable to facilitate the filing of any Forms 3, 4, or 5;</w:t>
      </w:r>
    </w:p>
    <w:p>
      <w:pPr>
        <w:spacing w:after="0" w:line="68"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which may be necessary or desirable to complete and execute any such</w:t>
      </w:r>
    </w:p>
    <w:p>
      <w:pPr>
        <w:spacing w:after="0" w:line="7" w:lineRule="exact"/>
        <w:rPr>
          <w:sz w:val="20"/>
          <w:szCs w:val="20"/>
          <w:color w:val="auto"/>
        </w:rPr>
      </w:pPr>
    </w:p>
    <w:p>
      <w:pPr>
        <w:ind w:right="2299"/>
        <w:spacing w:after="0" w:line="291" w:lineRule="auto"/>
        <w:rPr>
          <w:sz w:val="20"/>
          <w:szCs w:val="20"/>
          <w:color w:val="auto"/>
        </w:rPr>
      </w:pPr>
      <w:r>
        <w:rPr>
          <w:rFonts w:ascii="Courier New" w:cs="Courier New" w:eastAsia="Courier New" w:hAnsi="Courier New"/>
          <w:sz w:val="17"/>
          <w:szCs w:val="17"/>
          <w:color w:val="auto"/>
        </w:rPr>
        <w:t>Form 3, 4, or 5, complete and execute any amendment or amendments thereto, and timely file such form with the United States Securities and Exchange Commission and any stock exchange or similar authority; and</w:t>
      </w:r>
    </w:p>
    <w:p>
      <w:pPr>
        <w:spacing w:after="0" w:line="67" w:lineRule="exact"/>
        <w:rPr>
          <w:sz w:val="20"/>
          <w:szCs w:val="20"/>
          <w:color w:val="auto"/>
        </w:rPr>
      </w:pPr>
    </w:p>
    <w:p>
      <w:pPr>
        <w:ind w:right="1779" w:firstLine="7"/>
        <w:spacing w:after="0" w:line="269" w:lineRule="auto"/>
        <w:tabs>
          <w:tab w:leader="none" w:pos="416"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8" w:lineRule="exact"/>
        <w:rPr>
          <w:sz w:val="20"/>
          <w:szCs w:val="20"/>
          <w:color w:val="auto"/>
        </w:rPr>
      </w:pPr>
    </w:p>
    <w:p>
      <w:pPr>
        <w:ind w:right="1679"/>
        <w:spacing w:after="0" w:line="253"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desirable,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w:t>
      </w:r>
    </w:p>
    <w:p>
      <w:pPr>
        <w:spacing w:after="0" w:line="4" w:lineRule="exact"/>
        <w:rPr>
          <w:sz w:val="20"/>
          <w:szCs w:val="20"/>
          <w:color w:val="auto"/>
        </w:rPr>
      </w:pPr>
    </w:p>
    <w:p>
      <w:pPr>
        <w:jc w:val="both"/>
        <w:ind w:right="1679"/>
        <w:spacing w:after="0" w:line="291" w:lineRule="auto"/>
        <w:rPr>
          <w:sz w:val="20"/>
          <w:szCs w:val="20"/>
          <w:color w:val="auto"/>
        </w:rPr>
      </w:pPr>
      <w:r>
        <w:rPr>
          <w:rFonts w:ascii="Courier New" w:cs="Courier New" w:eastAsia="Courier New" w:hAnsi="Courier New"/>
          <w:sz w:val="17"/>
          <w:szCs w:val="17"/>
          <w:color w:val="auto"/>
        </w:rPr>
        <w:t>in serving in such capacity at the request of the undersigned, are not assuming, nor is the Company assuming, any of the undersigned's responsibilities to comply with Section 16 of the Exchange Act.</w:t>
      </w:r>
    </w:p>
    <w:p>
      <w:pPr>
        <w:spacing w:after="0" w:line="67" w:lineRule="exact"/>
        <w:rPr>
          <w:sz w:val="20"/>
          <w:szCs w:val="20"/>
          <w:color w:val="auto"/>
        </w:rPr>
      </w:pPr>
    </w:p>
    <w:p>
      <w:pPr>
        <w:ind w:right="1779"/>
        <w:spacing w:after="0" w:line="259" w:lineRule="auto"/>
        <w:rPr>
          <w:sz w:val="20"/>
          <w:szCs w:val="20"/>
          <w:color w:val="auto"/>
        </w:rPr>
      </w:pPr>
      <w:r>
        <w:rPr>
          <w:rFonts w:ascii="Courier New" w:cs="Courier New" w:eastAsia="Courier New" w:hAnsi="Courier New"/>
          <w:sz w:val="17"/>
          <w:szCs w:val="17"/>
          <w:color w:val="auto"/>
        </w:rPr>
        <w:t>The authority of the foregoing attorneys-in-fact under this Power of Attorney shall remain in full force and effect until the earliest to occur of (a) the undersigned is no longer required to file Forms 3, 4, and 5 with respect to the undersigned's holdings of and transactions in securities issued by the Company;</w:t>
      </w:r>
    </w:p>
    <w:p>
      <w:pPr>
        <w:ind w:right="1679" w:firstLine="7"/>
        <w:spacing w:after="0" w:line="291" w:lineRule="auto"/>
        <w:tabs>
          <w:tab w:leader="none" w:pos="416"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revocation by the undersigned in a signed writing delivered to the foregoing attorneys-in-fact; or (c) as to any attorney-in-fact individually, until such attorney-in-fact is no longer employed by the Company.</w:t>
      </w:r>
    </w:p>
    <w:p>
      <w:pPr>
        <w:spacing w:after="0" w:line="67"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7"/>
          <w:szCs w:val="17"/>
          <w:color w:val="auto"/>
        </w:rPr>
        <w:t>This Power of Attorney revokes and supersedes all prior Powers of Attorney relating to the reporting of the Company's securities under Section 16 of the Exchange Act and shall remain in effect until revoked and superseded by a subsequently filed instrument.</w:t>
      </w:r>
    </w:p>
    <w:p>
      <w:pPr>
        <w:spacing w:after="0" w:line="69" w:lineRule="exact"/>
        <w:rPr>
          <w:sz w:val="20"/>
          <w:szCs w:val="20"/>
          <w:color w:val="auto"/>
        </w:rPr>
      </w:pPr>
    </w:p>
    <w:p>
      <w:pPr>
        <w:ind w:right="219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12/17/2020.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/s/Daniel S. Peyovich</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DANIEL S. PEYOVICH</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5"/>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4"/>
    </w:lvl>
  </w:abstractNum>
  <w:abstractNum w:abstractNumId="5">
    <w:nsid w:val="507ED7A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37347" TargetMode="External"/><Relationship Id="rId14" Type="http://schemas.openxmlformats.org/officeDocument/2006/relationships/hyperlink" Target="http://www.sec.gov/cgi-bin/browse-edgar?action=getcompany&amp;CIK=00000672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2024-12-02T16:11:49Z</dcterms:created>
  <dcterms:modified xsi:type="dcterms:W3CDTF">2024-12-02T16:11:49Z</dcterms:modified>
</cp:coreProperties>
</file>