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26, 2016</w:t>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DYCOM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1402715</wp:posOffset>
            </wp:positionH>
            <wp:positionV relativeFrom="paragraph">
              <wp:posOffset>53340</wp:posOffset>
            </wp:positionV>
            <wp:extent cx="4450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78"/>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001-10613</w:t>
            </w:r>
          </w:p>
        </w:tc>
        <w:tc>
          <w:tcPr>
            <w:tcW w:w="34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59-1277135</w:t>
            </w:r>
          </w:p>
        </w:tc>
      </w:tr>
      <w:tr>
        <w:trPr>
          <w:trHeight w:val="34"/>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25"/>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2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incorporation)</w:t>
            </w:r>
          </w:p>
        </w:tc>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540"/>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11780 U.S. Highway One, Suite 600,</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Palm Beach Gardens, Florida 33408</w:t>
            </w:r>
          </w:p>
        </w:tc>
        <w:tc>
          <w:tcPr>
            <w:tcW w:w="12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34"/>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540"/>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(561) 627-7171</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4"/>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r>
    </w:tbl>
    <w:p>
      <w:pPr>
        <w:spacing w:after="0" w:line="200" w:lineRule="exact"/>
        <w:rPr>
          <w:sz w:val="24"/>
          <w:szCs w:val="24"/>
          <w:color w:val="auto"/>
        </w:rPr>
      </w:pPr>
    </w:p>
    <w:p>
      <w:pPr>
        <w:spacing w:after="0" w:line="241"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 w:name="page2"/>
    <w:bookmarkEnd w:id="1"/>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Explanatory Note: </w:t>
      </w:r>
      <w:r>
        <w:rPr>
          <w:rFonts w:ascii="Times New Roman" w:cs="Times New Roman" w:eastAsia="Times New Roman" w:hAnsi="Times New Roman"/>
          <w:sz w:val="18"/>
          <w:szCs w:val="18"/>
          <w:color w:val="auto"/>
        </w:rPr>
        <w:t>This Amendment No. 1 on Form 8-K/A is being filed by Dycom Industries, Inc. (the “Company”) to amend its Current Report on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8-K filed with the Securities and Exchange Commission on April 27, 2016 (the “Original Form 8-K”). The purpose of this Amendment No. 1 is to correct the description of the term of the employment agreement (the “Employment Agreement”) which the Company entered into with Steven E. Nielsen on April 26, 2016. The description of the term of the Employment Agreement, which is contained in the third sentence of the first paragraph of Item 5.02 of the Original Form 8-K, was inadvertently misstated in the Original Form 8-K. This sentence should read as follows: “The Employment Agreement provides for a term of employment that commences on May 1, 2016 and continues until May 31, 2020, provided that if there is a “change in control” of the Company at any time following May 1, 2018, the term will be extended for an additional two years from the date of the change in control.”</w:t>
      </w:r>
    </w:p>
    <w:p>
      <w:pPr>
        <w:spacing w:after="0" w:line="2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the convenience of the reader, this Amendment No. 1 on Form 8-K/A sets forth the text of the Original Form 8-K in its entirety. However, this Form 8-K/A only amends Item 5.02 of the Original Form 8-K, solely to correct the description of the term of the Employment Agreement as set forth above, and no other information in the Original Form 8-K is amended hereby.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 Compensatory Arrangements of Certain Officers.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2016, Dycom Industries, Inc. (the “Company”) entered into an employment agreement with Steven E. Nielsen (the “Employment Agreement”) whereby Mr. Nielsen will continue to serve as President and Chief Executive Officer of the Company. The Employment Agreement is effective as of April 26, 2016 and supersedes the employment agreement between the Company and Mr. Nielsen dated as of May 1, 2012. The Employment Agreement provides for a term of employment that commences on May 1, 2016 and continues until May 31, 2020, provided that if there is a “change in control” of the Company at any time following May 1, 2018, the term will be extended for an additional two years from the date of the change in control.</w:t>
      </w:r>
    </w:p>
    <w:p>
      <w:pPr>
        <w:spacing w:after="0" w:line="18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term of the Employment Agreement, the Company will provide Mr. Nielsen with the following compensation and benefits: (i) an annual base salary of $910,000 (subject to increase by the Compensation Committee of the Board of Directors); (ii) an annual bonus as determined by the Board of Directors with a maximum bonus opportunity of not less than 195% of his base salary; (iii) eligibility to participate in long-term incentive plans of the Company; (iv) eligibility to participate in all employee benefit plans or programs of the Company; and (v) an annual executive physical.</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Mr. Nielsen resigns his employment with the Company without “good reason” or the Company terminates his employment for “cause,” he will not be entitled to any severance payments. In the event that the Company terminates his employment without cause or Mr. Nielsen resigns his employment with the Company for good reason during the employment term, but prior to a change in control of the Company, Mr. Nielsen will be entitled to a cash severance payment equal to three times the sum of: (x) his then annual base salary, plus (y) the greater of (i) the average amount of the annual bonus paid to him during the three fiscal years immediately preceding such termination or resignation or (ii) 100% of his then annual base salary. The cash severance payment will be payable in substantially equal monthly installments over the 18-month period following such termination or resignation, provided that any remaining payments will be paid in a lump sum within 5 days following a change in control. In addition, Mr. Nielsen will continue to participate in the Company’s health and welfare plans for a period of three years following his resignation of employment for good reason or his termination of employment by the Company without cause.</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the Company terminates Mr. Nielsen’s employment without cause or Mr. Nielsen resigns his employment for good reason on or following a change in control of the Company, Mr. Nielsen will be entitled to a cash severance payment equal to three times the sum of: (x) his then annual base salary, plus (y) the greater of (i) the average amount of the annual bonus paid to him during the three fiscal years immediately preceding such termination or resignation or (ii) 100% of his then annual base salary. Mr. Nielsen will also be entitled to a pro-rata annual bonus for the year in which such termination or resignation occurs equal to the greater of (i) the average amount of the annual bonus paid to him during the three fiscal years immediately preceding such termination or resignation or (ii) the annual bonus that he would have received based on the actual performance achieved through the date of such termination or resignation. These amounts will be payable in a single lump sum within five days following such termination or resignation. Mr. Nielsen will also continue to participate in the Company’s health and welfare plans for a period of three years following his termination or resignation.</w:t>
      </w:r>
    </w:p>
    <w:p>
      <w:pPr>
        <w:spacing w:after="0" w:line="18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all outstanding equity awards held by Mr. Nielsen at the time of his resignation of employment with the Company for good reason or his termination of employment by the Company without cause on or following a change in control will fully and immediately vest and all outstanding performance shares, performance share units or equivalent awards will vest at their target performance levels.</w:t>
      </w:r>
    </w:p>
    <w:p>
      <w:pPr>
        <w:sectPr>
          <w:pgSz w:w="11900" w:h="16838" w:orient="portrait"/>
          <w:cols w:equalWidth="0" w:num="1">
            <w:col w:w="11420"/>
          </w:cols>
          <w:pgMar w:left="240" w:top="576" w:right="239" w:bottom="1440" w:gutter="0" w:footer="0" w:header="0"/>
        </w:sectPr>
      </w:pPr>
    </w:p>
    <w:bookmarkStart w:id="2" w:name="page3"/>
    <w:bookmarkEnd w:id="2"/>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event the Company fails to renew the Employment Agreement following the expiration of the employment term on substantially no less favorable terms and Mr. Nielsen terminates his employment, he will be entitled to receive a cash severance payment equal to: (x) one times his then annual base salary, plus (y) the greater of (i) the average amount of the annual bonus paid to him during the immediately preceding three fiscal years or (ii) 100% of his base salary. The severance payment will be payable in substantially equal monthly installments over the 12-month period following the non-renewal, provided that any remaining payments will be paid in a lump sum within 5 days following a change in control.</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any severance payment or other payments due to Mr. Nielsen would be subject to the excise tax imposed by Section 4999 of the Internal Revenue Code, Mr. Nielsen will receive either (i) the full amount of the payments or (ii) the greatest amount of the payments such that no portion is subject to the excise tax (taking into account Mr. Nielsen’s payment of any excise tax), whichever results in a greater after-tax benefit to him.</w:t>
      </w:r>
    </w:p>
    <w:p>
      <w:pPr>
        <w:spacing w:after="0" w:line="176"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Payment of any severance under the Employment Agreement is contingent upon Mr. Nielsen’s execution and delivery of a general waiver and release of claims against the Company. Mr. Nielsen is subject to a five-year confidentiality covenant and one-year non-competition and non-solicitation covenants. Mr. Nielsen is also subject to an assignment of inventions and developments agreement.</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Employment Agreement also provides for arbitration in the event of any dispute or controversy arising out of the Employment Agreement or Mr. Nielsen’s employment with the Company. The Company will pay or reimburse Mr. Nielsen, on an after tax basis, for all reasonable legal fees and expenses incurred by him in enforcing rights under the Employment Agreement.</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above summary of the Employment Agreement does not purport to be complete and is qualified in its entirety by reference to the Employment Agreement, a copy of which is filed as Exhibit 10.1 to this Current Report on Form 8-K and incorporated into this Item 5.02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91" w:lineRule="exact"/>
        <w:rPr>
          <w:sz w:val="20"/>
          <w:szCs w:val="20"/>
          <w:color w:val="auto"/>
        </w:rPr>
      </w:pPr>
    </w:p>
    <w:p>
      <w:pPr>
        <w:ind w:left="720" w:hanging="685"/>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60" w:lineRule="exact"/>
        <w:rPr>
          <w:sz w:val="20"/>
          <w:szCs w:val="20"/>
          <w:color w:val="auto"/>
        </w:rPr>
      </w:pPr>
    </w:p>
    <w:p>
      <w:pPr>
        <w:ind w:left="720" w:right="400" w:hanging="67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Employment Agreement by and between Dycom Industries, Inc. and Steven E. Nielsen, dated as of April 26, 2016 (incorporated by reference to Dycom Industries, Inc.’s Form 8-K filed with the Securities and Exchange Commission on April 27, 2016).</w:t>
      </w:r>
    </w:p>
    <w:p>
      <w:pPr>
        <w:sectPr>
          <w:pgSz w:w="11900" w:h="16838" w:orient="portrait"/>
          <w:cols w:equalWidth="0" w:num="1">
            <w:col w:w="11320"/>
          </w:cols>
          <w:pgMar w:left="240" w:top="5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2016</w:t>
      </w:r>
    </w:p>
    <w:p>
      <w:pPr>
        <w:spacing w:after="0" w:line="1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DYCOM INDUSTRIES, INC.</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(Registrant)</w:t>
      </w:r>
    </w:p>
    <w:p>
      <w:pPr>
        <w:spacing w:after="0" w:line="45" w:lineRule="exact"/>
        <w:rPr>
          <w:sz w:val="20"/>
          <w:szCs w:val="20"/>
          <w:color w:val="auto"/>
        </w:rPr>
      </w:pPr>
    </w:p>
    <w:tbl>
      <w:tblPr>
        <w:tblLayout w:type="fixed"/>
        <w:tblInd w:w="62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 Andrew DeFerrari</w:t>
            </w:r>
          </w:p>
        </w:tc>
        <w:tc>
          <w:tcPr>
            <w:tcW w:w="0" w:type="dxa"/>
            <w:vAlign w:val="bottom"/>
          </w:tcPr>
          <w:p>
            <w:pPr>
              <w:spacing w:after="0"/>
              <w:rPr>
                <w:sz w:val="1"/>
                <w:szCs w:val="1"/>
                <w:color w:val="auto"/>
              </w:rPr>
            </w:pPr>
          </w:p>
        </w:tc>
      </w:tr>
      <w:tr>
        <w:trPr>
          <w:trHeight w:val="34"/>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Andrew DeFerrari</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2020-01-20T05:50:31Z</dcterms:created>
  <dcterms:modified xsi:type="dcterms:W3CDTF">2020-01-20T05:50:31Z</dcterms:modified>
</cp:coreProperties>
</file>