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tbl>
      <w:tblPr>
        <w:tblW w:w="6283" w:type="dxa"/>
        <w:jc w:val="center"/>
        <w:tblInd w:w="0" w:type="dxa"/>
        <w:tblLayout w:type="fixed"/>
        <w:tblCellMar>
          <w:top w:w="28" w:type="dxa"/>
          <w:left w:w="28" w:type="dxa"/>
          <w:bottom w:w="28" w:type="dxa"/>
          <w:right w:w="28" w:type="dxa"/>
        </w:tblCellMar>
      </w:tblPr>
      <w:tblGrid>
        <w:gridCol w:w="458"/>
        <w:gridCol w:w="403"/>
        <w:gridCol w:w="403"/>
        <w:gridCol w:w="403"/>
        <w:gridCol w:w="403"/>
        <w:gridCol w:w="403"/>
        <w:gridCol w:w="403"/>
        <w:gridCol w:w="403"/>
        <w:gridCol w:w="403"/>
        <w:gridCol w:w="403"/>
        <w:gridCol w:w="403"/>
        <w:gridCol w:w="403"/>
        <w:gridCol w:w="403"/>
        <w:gridCol w:w="403"/>
        <w:gridCol w:w="586"/>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2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DYCOM INDUSTRIES, INC.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156"/>
        <w:gridCol w:w="1018"/>
        <w:gridCol w:w="1023"/>
        <w:gridCol w:w="109"/>
        <w:gridCol w:w="109"/>
        <w:gridCol w:w="109"/>
        <w:gridCol w:w="604"/>
        <w:gridCol w:w="590"/>
        <w:gridCol w:w="574"/>
        <w:gridCol w:w="313"/>
        <w:gridCol w:w="313"/>
        <w:gridCol w:w="313"/>
        <w:gridCol w:w="343"/>
        <w:gridCol w:w="328"/>
        <w:gridCol w:w="330"/>
        <w:gridCol w:w="109"/>
        <w:gridCol w:w="109"/>
        <w:gridCol w:w="109"/>
        <w:gridCol w:w="769"/>
        <w:gridCol w:w="769"/>
        <w:gridCol w:w="1108"/>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59-1277135</w:t>
            </w:r>
          </w:p>
        </w:tc>
      </w:tr>
      <w:tr>
        <w:trPr/>
        <w:tc>
          <w:tcPr>
            <w:tcW w:w="31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 Banyan Blvd., Suite 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 Palm Beach,</w:t>
            </w:r>
          </w:p>
        </w:tc>
        <w:tc>
          <w:tcPr>
            <w:tcW w:w="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w:t>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(561) 627-7171 </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103" w:type="dxa"/>
        <w:jc w:val="center"/>
        <w:tblInd w:w="0" w:type="dxa"/>
        <w:tblLayout w:type="fixed"/>
        <w:tblCellMar>
          <w:top w:w="28" w:type="dxa"/>
          <w:left w:w="28" w:type="dxa"/>
          <w:bottom w:w="28" w:type="dxa"/>
          <w:right w:w="28" w:type="dxa"/>
        </w:tblCellMar>
      </w:tblPr>
      <w:tblGrid>
        <w:gridCol w:w="1426"/>
        <w:gridCol w:w="1256"/>
        <w:gridCol w:w="1263"/>
        <w:gridCol w:w="109"/>
        <w:gridCol w:w="109"/>
        <w:gridCol w:w="109"/>
        <w:gridCol w:w="539"/>
        <w:gridCol w:w="539"/>
        <w:gridCol w:w="541"/>
        <w:gridCol w:w="109"/>
        <w:gridCol w:w="109"/>
        <w:gridCol w:w="109"/>
        <w:gridCol w:w="1138"/>
        <w:gridCol w:w="1138"/>
        <w:gridCol w:w="1609"/>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$0.33 1/3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0"/>
        </w:rPr>
        <w:t xml:space="preserve">On August 4, 2026, the Board of Directors (the “Board”) of Dycom Industries, Inc. (the “Company”) appointed each of Mr. David J. Fallon and Mr. Michael C. Lenz </w:t>
      </w:r>
      <w:r>
        <w:rPr>
          <w:rFonts w:ascii="Times New Roman;serif" w:hAnsi="Times New Roman;serif"/>
          <w:b w:val="false"/>
          <w:color w:val="222222"/>
          <w:sz w:val="20"/>
          <w:shd w:fill="FFFFFF" w:val="clear"/>
        </w:rPr>
        <w:t xml:space="preserve">to its Board, effective the same date.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Mr. Fallon and Mr. Lenz will be entitled to director compensation consistent with that of other non-employee directors, as further described under the caption “Director Compensation” in the Company’s proxy statement for its 2026 Annual Meeting of Shareholders, filed with the Securities and Exchange Commission on April 16, 2026. Each of Mr. Fallon’s and Mr. Lenz’s compensation will be prorated based upon the date he was appointed to the Board and their respective compensation, together with that of the other non-employee directors, is subject to change upon an action of the Board. </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0"/>
        </w:rPr>
        <w:t xml:space="preserve">Mr. Fallon and Mr. Lenz were each appointed for a term to expire concurrently with the terms of the other members of the Board at the Company’s calendar year 2027 Annual Meeting of Shareholders, at which each of Mr. Fallon and Mr. Lenz will stand for election. Mr. Fallon and Mr. Lenz </w:t>
      </w:r>
      <w:r>
        <w:rPr>
          <w:rFonts w:ascii="Times New Roman;serif" w:hAnsi="Times New Roman;serif"/>
          <w:b w:val="false"/>
          <w:color w:val="000000"/>
          <w:sz w:val="20"/>
          <w:shd w:fill="FFFFFF" w:val="clear"/>
        </w:rPr>
        <w:t>were each determined by the Board to be independent under the requirements of the New York Stock Exchange and under the Company’s Corporate Governance Guidelines.</w:t>
      </w:r>
      <w:r>
        <w:rPr>
          <w:color w:val="222222"/>
          <w:shd w:fill="FFFFFF" w:val="clear"/>
        </w:rPr>
        <w:t xml:space="preserve"> </w:t>
      </w:r>
      <w:r>
        <w:rPr>
          <w:rFonts w:ascii="Times New Roman;serif" w:hAnsi="Times New Roman;serif"/>
          <w:b w:val="false"/>
          <w:color w:val="222222"/>
          <w:sz w:val="20"/>
          <w:shd w:fill="FFFFFF" w:val="clear"/>
        </w:rPr>
        <w:t>The Board has not appointed either Mr. Fallon or Mr. Lenz to any committees of the Board.</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Neither Mr. Fallon nor Mr. Lenz is a party to any arrangement or understanding regarding their respective appointments to the Board and neither has any family relationship with any of the Company’s executive officers or directors. Neither Mr. Fallon nor Mr. Lenz is a party to any transaction with the Company that would be required to be disclosed pursuant to Item 404(a) of Regulation S-K.</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Fallon’s and Mr. Lenz’s appointments, the Board has increased the number of board members from nine to eleven.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2845"/>
        <w:gridCol w:w="2845"/>
        <w:gridCol w:w="403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fy2027q3pressrelease-bod.htm">
              <w:r>
                <w:rPr>
                  <w:rStyle w:val="InternetLink"/>
                  <w:rFonts w:ascii="Times New Roman;serif" w:hAnsi="Times New Roman;serif"/>
                  <w:b w:val="false"/>
                  <w:color w:val="0000FF"/>
                  <w:sz w:val="20"/>
                  <w:u w:val="single"/>
                </w:rPr>
                <w:t>99.1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yfy2027q3pressrelease-bod.htm">
              <w:r>
                <w:rPr>
                  <w:rStyle w:val="InternetLink"/>
                  <w:rFonts w:ascii="Times New Roman;serif" w:hAnsi="Times New Roman;serif"/>
                  <w:b w:val="false"/>
                  <w:color w:val="0000FF"/>
                  <w:sz w:val="20"/>
                  <w:u w:val="single"/>
                </w:rPr>
                <w:t>Press release, dated as of August 4, 2026, issued by the Company regarding the appointment of Mr. Fallon and Mr. Lenz to the Board of Directors.</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p>
            <w:pPr>
              <w:pStyle w:val="TableContents"/>
              <w:bidi w:val="0"/>
              <w:spacing w:before="0" w:after="0"/>
              <w:ind w:left="0" w:right="0" w:hanging="72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4, 2026</w:t>
      </w:r>
    </w:p>
    <w:tbl>
      <w:tblPr>
        <w:tblW w:w="6520" w:type="dxa"/>
        <w:jc w:val="right"/>
        <w:tblInd w:w="0" w:type="dxa"/>
        <w:tblLayout w:type="fixed"/>
        <w:tblCellMar>
          <w:top w:w="28" w:type="dxa"/>
          <w:left w:w="28" w:type="dxa"/>
          <w:bottom w:w="28" w:type="dxa"/>
          <w:right w:w="28" w:type="dxa"/>
        </w:tblCellMar>
      </w:tblPr>
      <w:tblGrid>
        <w:gridCol w:w="434"/>
        <w:gridCol w:w="381"/>
        <w:gridCol w:w="381"/>
        <w:gridCol w:w="1550"/>
        <w:gridCol w:w="1550"/>
        <w:gridCol w:w="222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652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DYCOM INDUSTRIES, INC.</w:t>
              <w:br/>
              <w:t>(Registrant)</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Ryan F. Urness</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w:t>
            </w:r>
          </w:p>
        </w:tc>
        <w:tc>
          <w:tcPr>
            <w:tcW w:w="53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Ryan F. Urness</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7346" w:type="dxa"/>
        <w:jc w:val="left"/>
        <w:tblInd w:w="0" w:type="dxa"/>
        <w:tblLayout w:type="fixed"/>
        <w:tblCellMar>
          <w:top w:w="28" w:type="dxa"/>
          <w:left w:w="28" w:type="dxa"/>
          <w:bottom w:w="28" w:type="dxa"/>
          <w:right w:w="28" w:type="dxa"/>
        </w:tblCellMar>
      </w:tblPr>
      <w:tblGrid>
        <w:gridCol w:w="1776"/>
        <w:gridCol w:w="1562"/>
        <w:gridCol w:w="1563"/>
        <w:gridCol w:w="716"/>
        <w:gridCol w:w="716"/>
        <w:gridCol w:w="1013"/>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49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048000" cy="5619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048000" cy="561975"/>
                          </a:xfrm>
                          <a:prstGeom prst="rect">
                            <a:avLst/>
                          </a:prstGeom>
                        </pic:spPr>
                      </pic:pic>
                    </a:graphicData>
                  </a:graphic>
                </wp:inline>
              </w:drawing>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NEWS RELEASE</w:t>
            </w:r>
          </w:p>
        </w:tc>
      </w:tr>
      <w:tr>
        <w:trPr/>
        <w:tc>
          <w:tcPr>
            <w:tcW w:w="4901" w:type="dxa"/>
            <w:gridSpan w:val="3"/>
            <w:vMerge w:val="continue"/>
            <w:tcBorders/>
            <w:tcMar>
              <w:top w:w="0" w:type="dxa"/>
              <w:left w:w="0" w:type="dxa"/>
              <w:bottom w:w="0" w:type="dxa"/>
              <w:right w:w="0" w:type="dxa"/>
            </w:tcMar>
            <w:vAlign w:val="center"/>
          </w:tcPr>
          <w:p>
            <w:pPr>
              <w:pStyle w:val="Normal"/>
              <w:bidi w:val="0"/>
              <w:jc w:val="left"/>
              <w:rPr/>
            </w:pPr>
            <w:r>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August 4,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Dycom Industries, Inc. Appoints David Fallon and Michael Lenz to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West Palm Beach, Florida, August 4, 2026 - Dycom Industries, Inc. (NYSE: DY) today announced the appointment of </w:t>
      </w:r>
      <w:r>
        <w:rPr>
          <w:rFonts w:ascii="Times New Roman;serif" w:hAnsi="Times New Roman;serif"/>
          <w:b/>
          <w:color w:val="000000"/>
          <w:sz w:val="20"/>
        </w:rPr>
        <w:t xml:space="preserve">David Fallon </w:t>
      </w:r>
      <w:r>
        <w:rPr>
          <w:rFonts w:ascii="Times New Roman;serif" w:hAnsi="Times New Roman;serif"/>
          <w:b w:val="false"/>
          <w:color w:val="000000"/>
          <w:sz w:val="20"/>
        </w:rPr>
        <w:t xml:space="preserve">and </w:t>
      </w:r>
      <w:r>
        <w:rPr>
          <w:rFonts w:ascii="Times New Roman;serif" w:hAnsi="Times New Roman;serif"/>
          <w:b/>
          <w:color w:val="000000"/>
          <w:sz w:val="20"/>
        </w:rPr>
        <w:t xml:space="preserve">Michael Lenz </w:t>
      </w:r>
      <w:r>
        <w:rPr>
          <w:rFonts w:ascii="Times New Roman;serif" w:hAnsi="Times New Roman;serif"/>
          <w:b w:val="false"/>
          <w:color w:val="000000"/>
          <w:sz w:val="20"/>
        </w:rPr>
        <w:t xml:space="preserve">to its Board of Directors, effective August 4,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Fallon and Mr. Lenz are accomplished business leaders with deep financial expertise and strong track records across complex public companies. Their appointments further strengthen the Board’s collective capabilities as Dycom continues to advance its long-term strategic objectives.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We are pleased to welcome David and Mike to the Dycom Board of Directors,” said </w:t>
      </w:r>
      <w:r>
        <w:rPr>
          <w:rFonts w:ascii="Times New Roman;serif" w:hAnsi="Times New Roman;serif"/>
          <w:b/>
          <w:color w:val="000000"/>
          <w:sz w:val="20"/>
        </w:rPr>
        <w:t>Richard K. Sykes</w:t>
      </w:r>
      <w:r>
        <w:rPr>
          <w:rFonts w:ascii="Times New Roman;serif" w:hAnsi="Times New Roman;serif"/>
          <w:b w:val="false"/>
          <w:color w:val="000000"/>
          <w:sz w:val="20"/>
        </w:rPr>
        <w:t>, Dycom’s Independent Chairman of the Board. “Their perspective on capital allocation and large-scale operations will serve us well as Dycom continues to expand market leadership and create long-term value for its shareholders.”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David and Mike are exceptional additions to our Board,” said </w:t>
      </w:r>
      <w:r>
        <w:rPr>
          <w:rFonts w:ascii="Times New Roman;serif" w:hAnsi="Times New Roman;serif"/>
          <w:b/>
          <w:color w:val="000000"/>
          <w:sz w:val="20"/>
        </w:rPr>
        <w:t>Dan Peyovich</w:t>
      </w:r>
      <w:r>
        <w:rPr>
          <w:rFonts w:ascii="Times New Roman;serif" w:hAnsi="Times New Roman;serif"/>
          <w:b w:val="false"/>
          <w:color w:val="000000"/>
          <w:sz w:val="20"/>
        </w:rPr>
        <w:t>, Dycom’s President and Chief Executive Officer. “David has led finance for a company at the center of digital infrastructure and understands the demand drivers shaping our customers’ capital programs. Mike served as CFO of one of the largest logistics networks in the world, where success hinges on deploying people and assets efficiently at scale—a discipline central to our business. Their combined insights will be invaluable as we invest in our workforce and capabilities during a period of unprecedented industry demand.”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David Fallon</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Fallon most recently served as Chief Financial Officer at Vertiv Holdings Co. (NYSE: VRT), a global leader in critical digital infrastructure for applications in data centers, communication networks, and commercial and industrial environments. Prior to Vertiv, he spent eight years at CLARCOR, Inc., serving in progressive financial leadership roles including Chief Financial Officer. Mr. Fallon also previously served as Chief Financial Officer at Noble International Ltd.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Fallon has more than 25 years of experience in financial management with global companies. His experience leading finance at Vertiv gives him direct insight into the data center and critical digital infrastructure end markets, complemented by a track record in M&amp;A, investor relations, cost management, and cash flow generation. Mr. Fallon holds an MBA from the Wharton School of the University of Pennsylvania and a Bachelor of Science in Finance and Accounting from the University of Dayton. He is a Chartered Financial Analyst and a Certified Public Accountant (inactive).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Michael Lenz</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Lenz most recently served as Executive Vice President and Interim Chief Financial Officer at Hexcel Corporation (NYSE: HXL), a global leader in advanced composite materials. Prior to Hexcel, he spent eighteen years in executive leadership at FedEx Corporation (NYSE: FDX), most recently as Executive Vice President and Chief Financial Officer. Mr. Lenz also spent over a decade at American Airlines Group Inc. (NASDAQ: AAL), serving in leadership roles across finance, investor relations, logistics, and planning.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his role at Dycom, Mr. Lenz currently serves on the Board of Directors of Republic Airways and Methodist LeBonheur Healthcare, as well as the Board of Visitors for the Duke University Pratt School of Engineering.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His tenure as CFO of a Fortune 50 logistics company brings perspective on managing large, distributed, asset- and labor-intensive operations, alongside expertise in financial strategy, M&amp;A integration, and enterprise-wide optimization programs. He holds a Bachelor of Science in Engineering and an MBA from Duke University.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Dycom Industries, Inc.</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Dycom is a leading provider of specialty contracting services to the telecommunications infrastructure and utility industries throughout the United States. These services include program management, planning, engineering and design; aerial, underground, and wireless construction; maintenance; and fulfillment services for telecommunications providers. Additionally, Dycom provides electrical contracting services for data centers and other vital industries, underground facility locating services for various utilities, including telecommunications providers, as well as other construction and maintenance services for electric and gas utilities.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For more information, contact:</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Callie Tomasso, Vice President Investor Relations &amp; Corporate Communications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Email: investorrelations@dycomind.com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Phone: (561) 627-7171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1384</Words>
  <Characters>7755</Characters>
  <CharactersWithSpaces>9116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