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Lenz Michael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24: Power of Attorney, incorporated herein by reference.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Ryan F. Urness, Attorney-in-Fact for LENZ MICHAEL 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lenz-poa_08042026.txt"/>
      <w:bookmarkStart w:id="3" w:name="kslenzpoa_08042026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Ryan F. Urness and H. Andrew DeFerrari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and agent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Dycom Industries, Inc. (the "Company"),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required or permitted to be filed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 rules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the Company, any and all other documents,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Form 144 or Form ID, necessary or desirable to facilitate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of any Forms 3, 4, or 5;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desirable,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assuming,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authority of the foregoing attorneys-in-fact under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remain in full force and effect until the earliest to occur of (a)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revocation 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attorneys-in-fact; or (c) as to any attorney-in-fact individually, until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is no longer employed by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and supersedes all prior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relating to the reporting of the Company's securities under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shall remain in effect until revoked and superseded by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subsequently filed instrument.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08/04/2026.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/s/Michael C. Lenz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MICHAEL C. LENZ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3573" TargetMode="External"/><Relationship Id="rId3" Type="http://schemas.openxmlformats.org/officeDocument/2006/relationships/hyperlink" Target="http://www.sec.gov/cgi-bin/browse-edgar?action=getcompany&amp;CIK=00000672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972</Words>
  <Characters>5165</Characters>
  <CharactersWithSpaces>6039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